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40D" w:rsidRDefault="00924879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413671" cy="3457575"/>
            <wp:effectExtent l="0" t="0" r="0" b="0"/>
            <wp:docPr id="1" name="图片 1" descr="D:\正在进行的论文\刘奇2020微生物\Report\2020H24jywA41_shenchenjia_report\src\summary_part\8_FunctionalProfiling\KEGG\KEGG_categor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正在进行的论文\刘奇2020微生物\Report\2020H24jywA41_shenchenjia_report\src\summary_part\8_FunctionalProfiling\KEGG\KEGG_category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r="60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671" cy="345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4879" w:rsidRPr="00924879" w:rsidRDefault="00924879">
      <w:pPr>
        <w:rPr>
          <w:rFonts w:ascii="Times New Roman" w:hAnsi="Times New Roman" w:cs="Times New Roman"/>
          <w:sz w:val="24"/>
          <w:szCs w:val="24"/>
        </w:rPr>
      </w:pPr>
      <w:r w:rsidRPr="00924879">
        <w:rPr>
          <w:rFonts w:ascii="Times New Roman" w:hAnsi="Times New Roman" w:cs="Times New Roman"/>
          <w:sz w:val="24"/>
          <w:szCs w:val="24"/>
        </w:rPr>
        <w:t xml:space="preserve">Figure S4 </w:t>
      </w:r>
      <w:r>
        <w:rPr>
          <w:rFonts w:ascii="Times New Roman" w:hAnsi="Times New Roman" w:cs="Times New Roman" w:hint="eastAsia"/>
          <w:sz w:val="24"/>
          <w:szCs w:val="24"/>
        </w:rPr>
        <w:t xml:space="preserve">KEGG analysis of </w:t>
      </w:r>
      <w:r w:rsidR="004B6032">
        <w:rPr>
          <w:rFonts w:ascii="Times New Roman" w:hAnsi="Times New Roman" w:cs="Times New Roman" w:hint="eastAsia"/>
          <w:sz w:val="24"/>
          <w:szCs w:val="24"/>
        </w:rPr>
        <w:t xml:space="preserve">all the predicted unigenes. </w:t>
      </w:r>
    </w:p>
    <w:sectPr w:rsidR="00924879" w:rsidRPr="00924879" w:rsidSect="008B16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24879"/>
    <w:rsid w:val="002E545B"/>
    <w:rsid w:val="004B6032"/>
    <w:rsid w:val="008B16B5"/>
    <w:rsid w:val="00924879"/>
    <w:rsid w:val="00F36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6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2487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248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2021-02-02T08:33:00Z</dcterms:created>
  <dcterms:modified xsi:type="dcterms:W3CDTF">2021-02-02T08:50:00Z</dcterms:modified>
</cp:coreProperties>
</file>