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818857" w14:textId="77777777" w:rsidR="005A32EC" w:rsidRPr="005A32EC" w:rsidRDefault="005A32EC" w:rsidP="005A32EC">
      <w:pPr>
        <w:pStyle w:val="Heading1"/>
        <w:spacing w:before="0" w:line="240" w:lineRule="auto"/>
        <w:jc w:val="both"/>
        <w:rPr>
          <w:rFonts w:asciiTheme="majorBidi" w:hAnsiTheme="majorBidi"/>
          <w:b/>
          <w:color w:val="auto"/>
          <w:sz w:val="24"/>
          <w:szCs w:val="24"/>
        </w:rPr>
      </w:pPr>
      <w:bookmarkStart w:id="0" w:name="_GoBack"/>
      <w:bookmarkEnd w:id="0"/>
      <w:r w:rsidRPr="005A32EC">
        <w:rPr>
          <w:rFonts w:asciiTheme="majorBidi" w:hAnsiTheme="majorBidi"/>
          <w:b/>
          <w:color w:val="auto"/>
          <w:sz w:val="24"/>
          <w:szCs w:val="24"/>
        </w:rPr>
        <w:t xml:space="preserve">Decellularization of kidney tissue: Comparison of sodium lauryl ether sulfate and sodium dodecyl sulfate for </w:t>
      </w:r>
      <w:r w:rsidRPr="005A32EC">
        <w:rPr>
          <w:rFonts w:asciiTheme="majorBidi" w:hAnsiTheme="majorBidi"/>
          <w:b/>
          <w:bCs/>
          <w:color w:val="auto"/>
          <w:sz w:val="24"/>
          <w:szCs w:val="24"/>
          <w:lang w:bidi="fa-IR"/>
        </w:rPr>
        <w:t xml:space="preserve">allotransplantation </w:t>
      </w:r>
      <w:r w:rsidRPr="005A32EC">
        <w:rPr>
          <w:rFonts w:asciiTheme="majorBidi" w:hAnsiTheme="majorBidi"/>
          <w:b/>
          <w:color w:val="auto"/>
          <w:sz w:val="24"/>
          <w:szCs w:val="24"/>
        </w:rPr>
        <w:t>in rat</w:t>
      </w:r>
    </w:p>
    <w:p w14:paraId="58585B1A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bCs/>
          <w:sz w:val="24"/>
          <w:szCs w:val="24"/>
        </w:rPr>
      </w:pPr>
    </w:p>
    <w:p w14:paraId="50ABEB0E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vertAlign w:val="superscript"/>
          <w:lang w:bidi="fa-IR"/>
        </w:rPr>
      </w:pPr>
      <w:r w:rsidRPr="005A32EC">
        <w:rPr>
          <w:rFonts w:asciiTheme="majorBidi" w:hAnsiTheme="majorBidi" w:cstheme="majorBidi"/>
          <w:sz w:val="24"/>
          <w:szCs w:val="24"/>
        </w:rPr>
        <w:t>Mohammad Amin Keshvari</w:t>
      </w:r>
      <w:proofErr w:type="gramStart"/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1,*</w:t>
      </w:r>
      <w:proofErr w:type="gramEnd"/>
      <w:r w:rsidRPr="005A32EC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A32EC">
        <w:rPr>
          <w:rFonts w:asciiTheme="majorBidi" w:hAnsiTheme="majorBidi" w:cstheme="majorBidi"/>
          <w:sz w:val="24"/>
          <w:szCs w:val="24"/>
        </w:rPr>
        <w:t>Alireza</w:t>
      </w:r>
      <w:proofErr w:type="spellEnd"/>
      <w:r w:rsidRPr="005A32EC">
        <w:rPr>
          <w:rFonts w:asciiTheme="majorBidi" w:hAnsiTheme="majorBidi" w:cstheme="majorBidi"/>
          <w:sz w:val="24"/>
          <w:szCs w:val="24"/>
        </w:rPr>
        <w:t xml:space="preserve"> Afshar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1,2*</w:t>
      </w:r>
      <w:r w:rsidRPr="005A32EC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A32EC">
        <w:rPr>
          <w:rFonts w:asciiTheme="majorBidi" w:hAnsiTheme="majorBidi" w:cstheme="majorBidi"/>
          <w:sz w:val="24"/>
          <w:szCs w:val="24"/>
        </w:rPr>
        <w:t>Sajad</w:t>
      </w:r>
      <w:proofErr w:type="spellEnd"/>
      <w:r w:rsidRPr="005A32EC">
        <w:rPr>
          <w:rFonts w:asciiTheme="majorBidi" w:hAnsiTheme="majorBidi" w:cstheme="majorBidi"/>
          <w:sz w:val="24"/>
          <w:szCs w:val="24"/>
        </w:rPr>
        <w:t xml:space="preserve"> Daneshi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3,*</w:t>
      </w:r>
      <w:r w:rsidRPr="005A32EC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A32EC">
        <w:rPr>
          <w:rFonts w:asciiTheme="majorBidi" w:hAnsiTheme="majorBidi" w:cstheme="majorBidi"/>
          <w:sz w:val="24"/>
          <w:szCs w:val="24"/>
        </w:rPr>
        <w:t>Arezoo</w:t>
      </w:r>
      <w:proofErr w:type="spellEnd"/>
      <w:r w:rsidRPr="005A32EC">
        <w:rPr>
          <w:rFonts w:asciiTheme="majorBidi" w:hAnsiTheme="majorBidi" w:cstheme="majorBidi"/>
          <w:sz w:val="24"/>
          <w:szCs w:val="24"/>
        </w:rPr>
        <w:t xml:space="preserve"> Khoradmehr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1,*</w:t>
      </w:r>
      <w:r w:rsidRPr="005A32EC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A32EC">
        <w:rPr>
          <w:rFonts w:asciiTheme="majorBidi" w:hAnsiTheme="majorBidi" w:cstheme="majorBidi"/>
          <w:sz w:val="24"/>
          <w:szCs w:val="24"/>
        </w:rPr>
        <w:t>Mandana</w:t>
      </w:r>
      <w:proofErr w:type="spellEnd"/>
      <w:r w:rsidRPr="005A32EC">
        <w:rPr>
          <w:rFonts w:asciiTheme="majorBidi" w:hAnsiTheme="majorBidi" w:cstheme="majorBidi"/>
          <w:sz w:val="24"/>
          <w:szCs w:val="24"/>
        </w:rPr>
        <w:t xml:space="preserve"> Baghban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4,*</w:t>
      </w:r>
      <w:r w:rsidRPr="005A32EC">
        <w:rPr>
          <w:rFonts w:asciiTheme="majorBidi" w:hAnsiTheme="majorBidi" w:cstheme="majorBidi"/>
          <w:sz w:val="24"/>
          <w:szCs w:val="24"/>
        </w:rPr>
        <w:t>, Mahdi Muhaddesi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1,2</w:t>
      </w:r>
      <w:r w:rsidRPr="005A32EC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A32EC">
        <w:rPr>
          <w:rFonts w:asciiTheme="majorBidi" w:hAnsiTheme="majorBidi" w:cstheme="majorBidi"/>
          <w:sz w:val="24"/>
          <w:szCs w:val="24"/>
        </w:rPr>
        <w:t>Pouya</w:t>
      </w:r>
      <w:proofErr w:type="spellEnd"/>
      <w:r w:rsidRPr="005A32EC">
        <w:rPr>
          <w:rFonts w:asciiTheme="majorBidi" w:hAnsiTheme="majorBidi" w:cstheme="majorBidi"/>
          <w:sz w:val="24"/>
          <w:szCs w:val="24"/>
        </w:rPr>
        <w:t xml:space="preserve"> Behrouzi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1,2</w:t>
      </w:r>
      <w:r w:rsidRPr="005A32EC">
        <w:rPr>
          <w:rFonts w:asciiTheme="majorBidi" w:hAnsiTheme="majorBidi" w:cstheme="majorBidi"/>
          <w:sz w:val="24"/>
          <w:szCs w:val="24"/>
        </w:rPr>
        <w:t>, Mohammad Reza Miri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5A32EC">
        <w:rPr>
          <w:rFonts w:asciiTheme="majorBidi" w:hAnsiTheme="majorBidi" w:cstheme="majorBidi"/>
          <w:sz w:val="24"/>
          <w:szCs w:val="24"/>
        </w:rPr>
        <w:t>, Hossein Azari</w:t>
      </w:r>
      <w:r w:rsidRPr="005A32EC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5A32EC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5A32EC">
        <w:rPr>
          <w:rFonts w:asciiTheme="majorBidi" w:hAnsiTheme="majorBidi" w:cstheme="majorBidi"/>
          <w:sz w:val="24"/>
          <w:szCs w:val="24"/>
          <w:lang w:bidi="fa-IR"/>
        </w:rPr>
        <w:t>Iraj</w:t>
      </w:r>
      <w:proofErr w:type="spellEnd"/>
      <w:r w:rsidRPr="005A32EC">
        <w:rPr>
          <w:rFonts w:asciiTheme="majorBidi" w:hAnsiTheme="majorBidi" w:cstheme="majorBidi"/>
          <w:sz w:val="24"/>
          <w:szCs w:val="24"/>
          <w:lang w:bidi="fa-IR"/>
        </w:rPr>
        <w:t xml:space="preserve"> Nabipour</w:t>
      </w:r>
      <w:r w:rsidRPr="005A32EC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1</w:t>
      </w:r>
      <w:r w:rsidRPr="005A32EC">
        <w:rPr>
          <w:rFonts w:asciiTheme="majorBidi" w:hAnsiTheme="majorBidi" w:cstheme="majorBidi"/>
          <w:sz w:val="24"/>
          <w:szCs w:val="24"/>
          <w:lang w:bidi="fa-IR"/>
        </w:rPr>
        <w:t>,</w:t>
      </w:r>
      <w:r w:rsidRPr="005A32EC">
        <w:rPr>
          <w:rFonts w:asciiTheme="majorBidi" w:hAnsiTheme="majorBidi" w:cstheme="majorBidi"/>
          <w:sz w:val="24"/>
          <w:szCs w:val="24"/>
        </w:rPr>
        <w:t xml:space="preserve"> Reza Shirazi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5A32EC">
        <w:rPr>
          <w:rFonts w:asciiTheme="majorBidi" w:hAnsiTheme="majorBidi" w:cstheme="majorBidi"/>
          <w:sz w:val="24"/>
          <w:szCs w:val="24"/>
        </w:rPr>
        <w:t>, Mehdi Mahmudpour</w:t>
      </w: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6,</w:t>
      </w:r>
      <w:r w:rsidRPr="005A32EC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†</w:t>
      </w:r>
      <w:r w:rsidRPr="005A32EC">
        <w:rPr>
          <w:rFonts w:asciiTheme="majorBidi" w:hAnsiTheme="majorBidi" w:cstheme="majorBidi"/>
          <w:sz w:val="24"/>
          <w:szCs w:val="24"/>
        </w:rPr>
        <w:t>,</w:t>
      </w:r>
      <w:r w:rsidRPr="005A32EC">
        <w:rPr>
          <w:rFonts w:asciiTheme="majorBidi" w:hAnsiTheme="majorBidi" w:cstheme="majorBidi"/>
          <w:sz w:val="24"/>
          <w:szCs w:val="24"/>
          <w:lang w:bidi="fa-IR"/>
        </w:rPr>
        <w:t xml:space="preserve"> Amin Tamadon</w:t>
      </w:r>
      <w:r w:rsidRPr="005A32EC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 xml:space="preserve">1,† </w:t>
      </w:r>
    </w:p>
    <w:p w14:paraId="6E656687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31B3F34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</w:rPr>
        <w:t>1- The Persian Gulf Marine Biotechnology Research Center, The Persian Gulf Biomedical Sciences Research Institute, Bushehr University of Medical Sciences, Bushehr, Iran</w:t>
      </w:r>
    </w:p>
    <w:p w14:paraId="075498F8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</w:rPr>
        <w:t xml:space="preserve">2- </w:t>
      </w:r>
      <w:proofErr w:type="spellStart"/>
      <w:r w:rsidRPr="005A32EC">
        <w:rPr>
          <w:rFonts w:asciiTheme="majorBidi" w:hAnsiTheme="majorBidi" w:cstheme="majorBidi"/>
          <w:sz w:val="24"/>
          <w:szCs w:val="24"/>
        </w:rPr>
        <w:t>Percia</w:t>
      </w:r>
      <w:proofErr w:type="spellEnd"/>
      <w:r w:rsidRPr="005A32EC">
        <w:rPr>
          <w:rFonts w:asciiTheme="majorBidi" w:hAnsiTheme="majorBidi" w:cstheme="majorBidi"/>
          <w:sz w:val="24"/>
          <w:szCs w:val="24"/>
        </w:rPr>
        <w:t xml:space="preserve"> Vista Biotechnology Company, Bushehr, Iran</w:t>
      </w:r>
    </w:p>
    <w:p w14:paraId="537D04DC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</w:rPr>
        <w:t>3- Department of Anatomical Sciences, Shiraz University of Medical Sciences, Shiraz, Iran</w:t>
      </w:r>
    </w:p>
    <w:p w14:paraId="7E30508C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</w:rPr>
        <w:t>4- Department of Obstetrics and Gynecology, School of Medicine, Shiraz University of Medical Sciences, Shiraz, Iran</w:t>
      </w:r>
    </w:p>
    <w:p w14:paraId="1E8F08E4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</w:rPr>
        <w:t>5-</w:t>
      </w:r>
      <w:r w:rsidRPr="005A32EC">
        <w:rPr>
          <w:rFonts w:asciiTheme="majorBidi" w:hAnsiTheme="majorBidi" w:cstheme="majorBidi"/>
          <w:sz w:val="24"/>
          <w:szCs w:val="24"/>
          <w:shd w:val="clear" w:color="auto" w:fill="FFFFFF"/>
        </w:rPr>
        <w:t xml:space="preserve"> Department of Anatomy, School of Medical Sciences, Medicine, UNSW Sydney, Sydney, Australia</w:t>
      </w:r>
    </w:p>
    <w:p w14:paraId="7054DA62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</w:rPr>
        <w:t>6- The Persian Gulf Tropical Medicine Research Center, The Persian Gulf Biomedical Sciences Research Institute, Bushehr University of Medical Sciences, Bushehr, Iran</w:t>
      </w:r>
    </w:p>
    <w:p w14:paraId="024ACD5A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0AB4B0F8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  <w:vertAlign w:val="superscript"/>
        </w:rPr>
        <w:t>*</w:t>
      </w:r>
      <w:r w:rsidRPr="005A32EC">
        <w:rPr>
          <w:rFonts w:asciiTheme="majorBidi" w:hAnsiTheme="majorBidi" w:cstheme="majorBidi"/>
          <w:sz w:val="24"/>
          <w:szCs w:val="24"/>
        </w:rPr>
        <w:t xml:space="preserve"> These authors have same contributions to this work as the first authors.</w:t>
      </w:r>
    </w:p>
    <w:p w14:paraId="50F5C135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7F01F80A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  <w:lang w:bidi="fa-IR"/>
        </w:rPr>
      </w:pPr>
      <w:r w:rsidRPr="005A32EC">
        <w:rPr>
          <w:rFonts w:asciiTheme="majorBidi" w:hAnsiTheme="majorBidi" w:cstheme="majorBidi"/>
          <w:b/>
          <w:bCs/>
          <w:sz w:val="24"/>
          <w:szCs w:val="24"/>
          <w:vertAlign w:val="superscript"/>
          <w:lang w:bidi="fa-IR"/>
        </w:rPr>
        <w:t>†</w:t>
      </w:r>
      <w:r w:rsidRPr="005A32EC">
        <w:rPr>
          <w:rFonts w:asciiTheme="majorBidi" w:hAnsiTheme="majorBidi" w:cstheme="majorBidi"/>
          <w:b/>
          <w:bCs/>
          <w:sz w:val="24"/>
          <w:szCs w:val="24"/>
          <w:lang w:bidi="fa-IR"/>
        </w:rPr>
        <w:t xml:space="preserve"> Corresponding authors:</w:t>
      </w:r>
    </w:p>
    <w:p w14:paraId="09959AD6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5A32EC">
        <w:rPr>
          <w:rFonts w:asciiTheme="majorBidi" w:hAnsiTheme="majorBidi" w:cstheme="majorBidi"/>
          <w:sz w:val="24"/>
          <w:szCs w:val="24"/>
          <w:lang w:bidi="fa-IR"/>
        </w:rPr>
        <w:t xml:space="preserve">Amin Tamadon, DVM, PhD; The Persian Gulf Marine Biotechnology Research Center, The Persian Gulf Biomedical Sciences Research Institute, Bushehr University of Medical Sciences, Bushehr, Iran; Postal Code: 7514633196; Tel/fax: +98-77-3332-8724; Email: </w:t>
      </w:r>
      <w:r w:rsidRPr="005A32EC">
        <w:rPr>
          <w:rFonts w:asciiTheme="majorBidi" w:hAnsiTheme="majorBidi" w:cstheme="majorBidi"/>
          <w:sz w:val="24"/>
          <w:szCs w:val="24"/>
        </w:rPr>
        <w:t>amintamaddon@yahoo.com</w:t>
      </w:r>
    </w:p>
    <w:p w14:paraId="4B61B951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 w:rsidRPr="005A32EC">
        <w:rPr>
          <w:rFonts w:asciiTheme="majorBidi" w:hAnsiTheme="majorBidi" w:cstheme="majorBidi"/>
          <w:sz w:val="24"/>
          <w:szCs w:val="24"/>
        </w:rPr>
        <w:t xml:space="preserve">Mehdi </w:t>
      </w:r>
      <w:proofErr w:type="spellStart"/>
      <w:r w:rsidRPr="005A32EC">
        <w:rPr>
          <w:rFonts w:asciiTheme="majorBidi" w:hAnsiTheme="majorBidi" w:cstheme="majorBidi"/>
          <w:sz w:val="24"/>
          <w:szCs w:val="24"/>
        </w:rPr>
        <w:t>Mahmudpour</w:t>
      </w:r>
      <w:proofErr w:type="spellEnd"/>
      <w:r w:rsidRPr="005A32EC">
        <w:rPr>
          <w:rFonts w:asciiTheme="majorBidi" w:hAnsiTheme="majorBidi" w:cstheme="majorBidi"/>
          <w:sz w:val="24"/>
          <w:szCs w:val="24"/>
        </w:rPr>
        <w:t>,</w:t>
      </w:r>
      <w:r w:rsidRPr="005A32EC">
        <w:rPr>
          <w:rFonts w:asciiTheme="majorBidi" w:hAnsiTheme="majorBidi" w:cstheme="majorBidi"/>
          <w:sz w:val="24"/>
          <w:szCs w:val="24"/>
          <w:lang w:bidi="fa-IR"/>
        </w:rPr>
        <w:t xml:space="preserve"> MD; The Persian Gulf Tropical Medicine Research Center, The Persian Gulf Biomedical Sciences Research Institute, Bushehr University of Medical Sciences, Bushehr, Iran; Postal Code: 7514633196; Tel/fax: +98-77-3332-8724; Email: mehdimpr@gmail.com</w:t>
      </w:r>
    </w:p>
    <w:p w14:paraId="5762F98F" w14:textId="2262AD81" w:rsidR="009B5A30" w:rsidRPr="005A32EC" w:rsidRDefault="009B5A30" w:rsidP="005A32EC">
      <w:pPr>
        <w:spacing w:after="0" w:line="240" w:lineRule="auto"/>
        <w:rPr>
          <w:rFonts w:asciiTheme="majorBidi" w:hAnsiTheme="majorBidi" w:cstheme="majorBidi"/>
          <w:sz w:val="24"/>
          <w:szCs w:val="24"/>
          <w:lang w:bidi="fa-IR"/>
        </w:rPr>
      </w:pPr>
    </w:p>
    <w:p w14:paraId="0B0CCCC0" w14:textId="2505626C" w:rsidR="009B5A30" w:rsidRDefault="009B5A30" w:rsidP="005A32EC">
      <w:pPr>
        <w:pStyle w:val="Heading1"/>
        <w:spacing w:before="0" w:line="240" w:lineRule="auto"/>
        <w:jc w:val="both"/>
        <w:rPr>
          <w:rFonts w:asciiTheme="majorBidi" w:eastAsiaTheme="minorHAnsi" w:hAnsiTheme="majorBidi"/>
          <w:b/>
          <w:bCs/>
          <w:color w:val="auto"/>
          <w:sz w:val="24"/>
          <w:szCs w:val="24"/>
        </w:rPr>
      </w:pPr>
      <w:r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 xml:space="preserve">Supplementary Table </w:t>
      </w:r>
    </w:p>
    <w:p w14:paraId="1DA87D3D" w14:textId="77777777" w:rsidR="005A32EC" w:rsidRPr="005A32EC" w:rsidRDefault="005A32EC" w:rsidP="005A32EC">
      <w:pPr>
        <w:spacing w:after="0" w:line="240" w:lineRule="auto"/>
      </w:pPr>
    </w:p>
    <w:p w14:paraId="5524C9AF" w14:textId="387C0297" w:rsidR="005A32EC" w:rsidRPr="005A32EC" w:rsidRDefault="005A32EC" w:rsidP="005A32EC">
      <w:pPr>
        <w:pStyle w:val="Heading2"/>
        <w:spacing w:before="0" w:line="240" w:lineRule="auto"/>
        <w:jc w:val="both"/>
        <w:rPr>
          <w:rFonts w:asciiTheme="majorBidi" w:eastAsiaTheme="minorHAnsi" w:hAnsiTheme="majorBidi"/>
          <w:b/>
          <w:bCs/>
          <w:color w:val="auto"/>
          <w:sz w:val="24"/>
          <w:szCs w:val="24"/>
        </w:rPr>
      </w:pPr>
      <w:r>
        <w:rPr>
          <w:rFonts w:asciiTheme="majorBidi" w:eastAsiaTheme="minorHAnsi" w:hAnsiTheme="majorBidi"/>
          <w:b/>
          <w:bCs/>
          <w:color w:val="auto"/>
          <w:sz w:val="24"/>
          <w:szCs w:val="24"/>
        </w:rPr>
        <w:t>Table</w:t>
      </w:r>
      <w:r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 xml:space="preserve"> S1.</w:t>
      </w:r>
    </w:p>
    <w:p w14:paraId="42E02756" w14:textId="5D56B925" w:rsidR="009B5A30" w:rsidRPr="005A32EC" w:rsidRDefault="009B5A30" w:rsidP="005A32EC">
      <w:pPr>
        <w:spacing w:after="0" w:line="240" w:lineRule="auto"/>
        <w:rPr>
          <w:rFonts w:asciiTheme="majorBidi" w:hAnsiTheme="majorBidi" w:cstheme="majorBidi"/>
          <w:sz w:val="24"/>
          <w:szCs w:val="24"/>
          <w:lang w:bidi="fa-IR"/>
        </w:rPr>
      </w:pPr>
      <w:r w:rsidRPr="005A32EC">
        <w:rPr>
          <w:rFonts w:asciiTheme="majorBidi" w:hAnsiTheme="majorBidi" w:cstheme="majorBidi"/>
          <w:sz w:val="24"/>
          <w:szCs w:val="24"/>
          <w:lang w:bidi="fa-IR"/>
        </w:rPr>
        <w:t>The 3D printing parameter of sectioning matrix in the Simplify3D software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9"/>
        <w:gridCol w:w="4172"/>
      </w:tblGrid>
      <w:tr w:rsidR="009B5A30" w:rsidRPr="005A32EC" w14:paraId="6560D831" w14:textId="77777777" w:rsidTr="00E146B7">
        <w:tc>
          <w:tcPr>
            <w:tcW w:w="43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E9048C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Parameter name</w:t>
            </w:r>
          </w:p>
        </w:tc>
        <w:tc>
          <w:tcPr>
            <w:tcW w:w="41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60671F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Value</w:t>
            </w:r>
          </w:p>
        </w:tc>
      </w:tr>
      <w:tr w:rsidR="009B5A30" w:rsidRPr="005A32EC" w14:paraId="1F253DA6" w14:textId="77777777" w:rsidTr="00E146B7">
        <w:tc>
          <w:tcPr>
            <w:tcW w:w="4369" w:type="dxa"/>
            <w:tcBorders>
              <w:top w:val="single" w:sz="4" w:space="0" w:color="auto"/>
            </w:tcBorders>
            <w:shd w:val="clear" w:color="auto" w:fill="auto"/>
          </w:tcPr>
          <w:p w14:paraId="4F52B807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Infill percentage</w:t>
            </w:r>
          </w:p>
        </w:tc>
        <w:tc>
          <w:tcPr>
            <w:tcW w:w="4172" w:type="dxa"/>
            <w:tcBorders>
              <w:top w:val="single" w:sz="4" w:space="0" w:color="auto"/>
            </w:tcBorders>
            <w:shd w:val="clear" w:color="auto" w:fill="auto"/>
          </w:tcPr>
          <w:p w14:paraId="336AB16C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20%</w:t>
            </w:r>
          </w:p>
        </w:tc>
      </w:tr>
      <w:tr w:rsidR="009B5A30" w:rsidRPr="005A32EC" w14:paraId="3FA19FF2" w14:textId="77777777" w:rsidTr="00E146B7">
        <w:tc>
          <w:tcPr>
            <w:tcW w:w="4369" w:type="dxa"/>
            <w:shd w:val="clear" w:color="auto" w:fill="auto"/>
          </w:tcPr>
          <w:p w14:paraId="72BAD2BB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Nozzle diameter</w:t>
            </w:r>
          </w:p>
        </w:tc>
        <w:tc>
          <w:tcPr>
            <w:tcW w:w="4172" w:type="dxa"/>
            <w:shd w:val="clear" w:color="auto" w:fill="auto"/>
          </w:tcPr>
          <w:p w14:paraId="04335071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0.40mm</w:t>
            </w:r>
          </w:p>
        </w:tc>
      </w:tr>
      <w:tr w:rsidR="009B5A30" w:rsidRPr="005A32EC" w14:paraId="2F267DF4" w14:textId="77777777" w:rsidTr="00E146B7">
        <w:tc>
          <w:tcPr>
            <w:tcW w:w="4369" w:type="dxa"/>
            <w:shd w:val="clear" w:color="auto" w:fill="auto"/>
          </w:tcPr>
          <w:p w14:paraId="3681D6CA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Include raft</w:t>
            </w:r>
          </w:p>
        </w:tc>
        <w:tc>
          <w:tcPr>
            <w:tcW w:w="4172" w:type="dxa"/>
            <w:shd w:val="clear" w:color="auto" w:fill="auto"/>
          </w:tcPr>
          <w:p w14:paraId="2E19CEFD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</w:t>
            </w:r>
          </w:p>
        </w:tc>
      </w:tr>
      <w:tr w:rsidR="009B5A30" w:rsidRPr="005A32EC" w14:paraId="5BB40146" w14:textId="77777777" w:rsidTr="00E146B7">
        <w:tc>
          <w:tcPr>
            <w:tcW w:w="4369" w:type="dxa"/>
            <w:shd w:val="clear" w:color="auto" w:fill="auto"/>
          </w:tcPr>
          <w:p w14:paraId="72BABC66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Generate support</w:t>
            </w:r>
          </w:p>
        </w:tc>
        <w:tc>
          <w:tcPr>
            <w:tcW w:w="4172" w:type="dxa"/>
            <w:shd w:val="clear" w:color="auto" w:fill="auto"/>
          </w:tcPr>
          <w:p w14:paraId="00DA8F31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</w:t>
            </w:r>
          </w:p>
        </w:tc>
      </w:tr>
      <w:tr w:rsidR="009B5A30" w:rsidRPr="005A32EC" w14:paraId="2D81FF50" w14:textId="77777777" w:rsidTr="00E146B7">
        <w:tc>
          <w:tcPr>
            <w:tcW w:w="4369" w:type="dxa"/>
            <w:shd w:val="clear" w:color="auto" w:fill="auto"/>
          </w:tcPr>
          <w:p w14:paraId="23A1B64C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Extruder temperature</w:t>
            </w:r>
          </w:p>
        </w:tc>
        <w:tc>
          <w:tcPr>
            <w:tcW w:w="4172" w:type="dxa"/>
            <w:shd w:val="clear" w:color="auto" w:fill="auto"/>
          </w:tcPr>
          <w:p w14:paraId="0DDB34B7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 xml:space="preserve">190 </w:t>
            </w:r>
            <w:r w:rsidRPr="005A32EC">
              <w:rPr>
                <w:rFonts w:asciiTheme="majorBidi" w:hAnsiTheme="majorBidi" w:cstheme="majorBidi"/>
                <w:color w:val="202124"/>
                <w:sz w:val="24"/>
                <w:szCs w:val="24"/>
                <w:shd w:val="clear" w:color="auto" w:fill="FFFFFF"/>
              </w:rPr>
              <w:t>°C</w:t>
            </w:r>
          </w:p>
        </w:tc>
      </w:tr>
      <w:tr w:rsidR="009B5A30" w:rsidRPr="005A32EC" w14:paraId="3F424AE4" w14:textId="77777777" w:rsidTr="00E146B7">
        <w:tc>
          <w:tcPr>
            <w:tcW w:w="4369" w:type="dxa"/>
            <w:shd w:val="clear" w:color="auto" w:fill="auto"/>
          </w:tcPr>
          <w:p w14:paraId="6F2C67B1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Heated build platform</w:t>
            </w:r>
            <w:r w:rsidRPr="005A32EC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temperature</w:t>
            </w:r>
          </w:p>
        </w:tc>
        <w:tc>
          <w:tcPr>
            <w:tcW w:w="4172" w:type="dxa"/>
            <w:shd w:val="clear" w:color="auto" w:fill="auto"/>
          </w:tcPr>
          <w:p w14:paraId="1592E405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Not used</w:t>
            </w:r>
            <w:r w:rsidRPr="005A32EC"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  <w:t xml:space="preserve"> </w:t>
            </w: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(N/A)</w:t>
            </w:r>
          </w:p>
        </w:tc>
      </w:tr>
      <w:tr w:rsidR="009B5A30" w:rsidRPr="005A32EC" w14:paraId="3F4B41E0" w14:textId="77777777" w:rsidTr="00E146B7">
        <w:tc>
          <w:tcPr>
            <w:tcW w:w="4369" w:type="dxa"/>
            <w:shd w:val="clear" w:color="auto" w:fill="auto"/>
          </w:tcPr>
          <w:p w14:paraId="6D3FD3B5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Default printing speed</w:t>
            </w:r>
          </w:p>
        </w:tc>
        <w:tc>
          <w:tcPr>
            <w:tcW w:w="4172" w:type="dxa"/>
            <w:shd w:val="clear" w:color="auto" w:fill="auto"/>
          </w:tcPr>
          <w:p w14:paraId="44A9C083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1080 mm/min</w:t>
            </w:r>
          </w:p>
        </w:tc>
      </w:tr>
      <w:tr w:rsidR="009B5A30" w:rsidRPr="005A32EC" w14:paraId="18604630" w14:textId="77777777" w:rsidTr="00E146B7">
        <w:tc>
          <w:tcPr>
            <w:tcW w:w="4369" w:type="dxa"/>
            <w:shd w:val="clear" w:color="auto" w:fill="auto"/>
          </w:tcPr>
          <w:p w14:paraId="452AF183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X/Y axis movement speed</w:t>
            </w:r>
          </w:p>
        </w:tc>
        <w:tc>
          <w:tcPr>
            <w:tcW w:w="4172" w:type="dxa"/>
            <w:shd w:val="clear" w:color="auto" w:fill="auto"/>
          </w:tcPr>
          <w:p w14:paraId="1B7FFED7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1440 mm/min</w:t>
            </w:r>
          </w:p>
        </w:tc>
      </w:tr>
      <w:tr w:rsidR="009B5A30" w:rsidRPr="005A32EC" w14:paraId="5B93C345" w14:textId="77777777" w:rsidTr="009B5A30">
        <w:tc>
          <w:tcPr>
            <w:tcW w:w="4369" w:type="dxa"/>
            <w:shd w:val="clear" w:color="auto" w:fill="auto"/>
          </w:tcPr>
          <w:p w14:paraId="40716F3D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Z axis movement speed</w:t>
            </w:r>
          </w:p>
        </w:tc>
        <w:tc>
          <w:tcPr>
            <w:tcW w:w="4172" w:type="dxa"/>
            <w:shd w:val="clear" w:color="auto" w:fill="auto"/>
          </w:tcPr>
          <w:p w14:paraId="5AC53BCB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300 mm/min</w:t>
            </w:r>
          </w:p>
        </w:tc>
      </w:tr>
      <w:tr w:rsidR="009B5A30" w:rsidRPr="005A32EC" w14:paraId="6B345A45" w14:textId="77777777" w:rsidTr="009B5A30">
        <w:tc>
          <w:tcPr>
            <w:tcW w:w="4369" w:type="dxa"/>
            <w:tcBorders>
              <w:bottom w:val="single" w:sz="4" w:space="0" w:color="auto"/>
            </w:tcBorders>
            <w:shd w:val="clear" w:color="auto" w:fill="auto"/>
          </w:tcPr>
          <w:p w14:paraId="4EB716D1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rtl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Retraction speed</w:t>
            </w:r>
          </w:p>
        </w:tc>
        <w:tc>
          <w:tcPr>
            <w:tcW w:w="4172" w:type="dxa"/>
            <w:tcBorders>
              <w:bottom w:val="single" w:sz="4" w:space="0" w:color="auto"/>
            </w:tcBorders>
            <w:shd w:val="clear" w:color="auto" w:fill="auto"/>
          </w:tcPr>
          <w:p w14:paraId="60F32737" w14:textId="77777777" w:rsidR="009B5A30" w:rsidRPr="005A32EC" w:rsidRDefault="009B5A30" w:rsidP="005A32EC">
            <w:pPr>
              <w:jc w:val="both"/>
              <w:rPr>
                <w:rFonts w:asciiTheme="majorBidi" w:hAnsiTheme="majorBidi" w:cstheme="majorBidi"/>
                <w:sz w:val="24"/>
                <w:szCs w:val="24"/>
                <w:lang w:bidi="fa-IR"/>
              </w:rPr>
            </w:pPr>
            <w:r w:rsidRPr="005A32EC">
              <w:rPr>
                <w:rFonts w:asciiTheme="majorBidi" w:hAnsiTheme="majorBidi" w:cstheme="majorBidi"/>
                <w:sz w:val="24"/>
                <w:szCs w:val="24"/>
                <w:lang w:bidi="fa-IR"/>
              </w:rPr>
              <w:t>540 mm/min</w:t>
            </w:r>
          </w:p>
        </w:tc>
      </w:tr>
    </w:tbl>
    <w:p w14:paraId="7361ADAE" w14:textId="0D02BAC7" w:rsidR="00B24028" w:rsidRPr="005A32EC" w:rsidRDefault="00B24028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4C9C7209" w14:textId="77777777" w:rsidR="002B21E1" w:rsidRPr="005A32EC" w:rsidRDefault="002B21E1" w:rsidP="005A32EC">
      <w:pPr>
        <w:pStyle w:val="Heading1"/>
        <w:spacing w:before="0" w:line="240" w:lineRule="auto"/>
        <w:jc w:val="both"/>
        <w:rPr>
          <w:rFonts w:asciiTheme="majorBidi" w:eastAsiaTheme="minorHAnsi" w:hAnsiTheme="majorBidi"/>
          <w:b/>
          <w:bCs/>
          <w:color w:val="auto"/>
          <w:sz w:val="24"/>
          <w:szCs w:val="24"/>
        </w:rPr>
      </w:pPr>
      <w:r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lastRenderedPageBreak/>
        <w:t>Supplementary Figures</w:t>
      </w:r>
    </w:p>
    <w:p w14:paraId="28CFA654" w14:textId="77777777" w:rsidR="002B21E1" w:rsidRPr="005A32EC" w:rsidRDefault="002B21E1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A44730D" wp14:editId="5EFEAA1D">
            <wp:extent cx="4638675" cy="1636271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346" cy="1653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C9CF0" w14:textId="5F20E7AA" w:rsidR="002B21E1" w:rsidRPr="005A32EC" w:rsidRDefault="002B21E1" w:rsidP="005A32EC">
      <w:pPr>
        <w:pStyle w:val="Heading2"/>
        <w:spacing w:before="0" w:line="240" w:lineRule="auto"/>
        <w:jc w:val="both"/>
        <w:rPr>
          <w:rFonts w:asciiTheme="majorBidi" w:eastAsiaTheme="minorHAnsi" w:hAnsiTheme="majorBidi"/>
          <w:b/>
          <w:bCs/>
          <w:color w:val="auto"/>
          <w:sz w:val="24"/>
          <w:szCs w:val="24"/>
        </w:rPr>
      </w:pPr>
      <w:r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 xml:space="preserve">Figure </w:t>
      </w:r>
      <w:r w:rsidR="005A32EC"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>S</w:t>
      </w:r>
      <w:r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>1</w:t>
      </w:r>
      <w:r w:rsidR="005A32EC"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>.</w:t>
      </w:r>
    </w:p>
    <w:p w14:paraId="678D7468" w14:textId="12DDB978" w:rsidR="002B21E1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</w:rPr>
        <w:t>Preview</w:t>
      </w:r>
      <w:r w:rsidR="002B21E1" w:rsidRPr="005A32EC">
        <w:rPr>
          <w:rFonts w:asciiTheme="majorBidi" w:hAnsiTheme="majorBidi" w:cstheme="majorBidi"/>
          <w:sz w:val="24"/>
          <w:szCs w:val="24"/>
        </w:rPr>
        <w:t xml:space="preserve"> of the sectioning matrix 3D reconstruction in Simplify3D</w:t>
      </w:r>
    </w:p>
    <w:p w14:paraId="33A0E135" w14:textId="77777777" w:rsidR="005A32EC" w:rsidRPr="005A32EC" w:rsidRDefault="005A32EC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p w14:paraId="38B7B617" w14:textId="77777777" w:rsidR="002B21E1" w:rsidRPr="005A32EC" w:rsidRDefault="002B21E1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AD1060E" wp14:editId="6FE23A06">
            <wp:extent cx="1905000" cy="19716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97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D150F1" w14:textId="0C645202" w:rsidR="002B21E1" w:rsidRPr="005A32EC" w:rsidRDefault="002B21E1" w:rsidP="005A32EC">
      <w:pPr>
        <w:pStyle w:val="Heading2"/>
        <w:spacing w:before="0" w:line="240" w:lineRule="auto"/>
        <w:jc w:val="both"/>
        <w:rPr>
          <w:rFonts w:asciiTheme="majorBidi" w:eastAsiaTheme="minorHAnsi" w:hAnsiTheme="majorBidi"/>
          <w:b/>
          <w:bCs/>
          <w:color w:val="auto"/>
          <w:sz w:val="24"/>
          <w:szCs w:val="24"/>
        </w:rPr>
      </w:pPr>
      <w:r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 xml:space="preserve">Figure </w:t>
      </w:r>
      <w:r w:rsidR="005A32EC"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>S</w:t>
      </w:r>
      <w:r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>2</w:t>
      </w:r>
      <w:r w:rsidR="005A32EC" w:rsidRPr="005A32EC">
        <w:rPr>
          <w:rFonts w:asciiTheme="majorBidi" w:eastAsiaTheme="minorHAnsi" w:hAnsiTheme="majorBidi"/>
          <w:b/>
          <w:bCs/>
          <w:color w:val="auto"/>
          <w:sz w:val="24"/>
          <w:szCs w:val="24"/>
        </w:rPr>
        <w:t>.</w:t>
      </w:r>
    </w:p>
    <w:p w14:paraId="4B1B1D6B" w14:textId="77777777" w:rsidR="002B21E1" w:rsidRPr="005A32EC" w:rsidRDefault="002B21E1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  <w:r w:rsidRPr="005A32EC">
        <w:rPr>
          <w:rFonts w:asciiTheme="majorBidi" w:hAnsiTheme="majorBidi" w:cstheme="majorBidi"/>
          <w:sz w:val="24"/>
          <w:szCs w:val="24"/>
        </w:rPr>
        <w:t>The 3D printed of sectioning matrix printed by fused deposition modeling (FDM) 3D printer. Scale bar: 2 cm</w:t>
      </w:r>
    </w:p>
    <w:p w14:paraId="3CC42A6D" w14:textId="77777777" w:rsidR="002B21E1" w:rsidRPr="005A32EC" w:rsidRDefault="002B21E1" w:rsidP="005A32EC">
      <w:pPr>
        <w:spacing w:after="0" w:line="240" w:lineRule="auto"/>
        <w:jc w:val="both"/>
        <w:rPr>
          <w:rFonts w:asciiTheme="majorBidi" w:hAnsiTheme="majorBidi" w:cstheme="majorBidi"/>
          <w:sz w:val="24"/>
          <w:szCs w:val="24"/>
        </w:rPr>
      </w:pPr>
    </w:p>
    <w:sectPr w:rsidR="002B21E1" w:rsidRPr="005A32EC" w:rsidSect="00E709B8">
      <w:pgSz w:w="11906" w:h="16838" w:code="9"/>
      <w:pgMar w:top="1440" w:right="1440" w:bottom="1440" w:left="1440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0A35"/>
    <w:rsid w:val="001460A8"/>
    <w:rsid w:val="00272294"/>
    <w:rsid w:val="002B21E1"/>
    <w:rsid w:val="00382F32"/>
    <w:rsid w:val="003C0226"/>
    <w:rsid w:val="005A32EC"/>
    <w:rsid w:val="00620A35"/>
    <w:rsid w:val="0082764F"/>
    <w:rsid w:val="009B5A30"/>
    <w:rsid w:val="009C44C2"/>
    <w:rsid w:val="00B24028"/>
    <w:rsid w:val="00BA3169"/>
    <w:rsid w:val="00CC0AD2"/>
    <w:rsid w:val="00E70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28F34"/>
  <w15:chartTrackingRefBased/>
  <w15:docId w15:val="{13448BC1-F084-4E41-9CC9-B03A551AB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AD2"/>
  </w:style>
  <w:style w:type="paragraph" w:styleId="Heading1">
    <w:name w:val="heading 1"/>
    <w:basedOn w:val="Normal"/>
    <w:next w:val="Normal"/>
    <w:link w:val="Heading1Char"/>
    <w:uiPriority w:val="9"/>
    <w:qFormat/>
    <w:rsid w:val="00620A3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5A3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0A3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620A35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9B5A30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9B5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353</Words>
  <Characters>2017</Characters>
  <Application>Microsoft Office Word</Application>
  <DocSecurity>0</DocSecurity>
  <Lines>16</Lines>
  <Paragraphs>4</Paragraphs>
  <ScaleCrop>false</ScaleCrop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Amin Tamadon</dc:creator>
  <cp:keywords/>
  <dc:description/>
  <cp:lastModifiedBy>Amin Tamadon</cp:lastModifiedBy>
  <cp:revision>3</cp:revision>
  <dcterms:created xsi:type="dcterms:W3CDTF">2021-02-10T04:04:00Z</dcterms:created>
  <dcterms:modified xsi:type="dcterms:W3CDTF">2021-02-10T04:08:00Z</dcterms:modified>
</cp:coreProperties>
</file>