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A56" w:rsidRDefault="0029245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0"/>
          <w:szCs w:val="20"/>
        </w:rPr>
        <w:t>Collagen III deposition and basement membrane integrity alterations: relevant predictive markers in metastatic prostate cancer</w:t>
      </w:r>
    </w:p>
    <w:p w:rsidR="00DC6A56" w:rsidRDefault="00DC6A5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C6A56" w:rsidRPr="00C2472B" w:rsidRDefault="0029245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C2472B">
        <w:rPr>
          <w:rFonts w:ascii="Times New Roman" w:eastAsia="Times New Roman" w:hAnsi="Times New Roman" w:cs="Times New Roman"/>
          <w:sz w:val="20"/>
          <w:szCs w:val="20"/>
          <w:lang w:val="pt-BR"/>
        </w:rPr>
        <w:t>Laís Capelasso Lucas Pinheiro</w:t>
      </w:r>
      <w:r w:rsidRPr="00C2472B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1</w:t>
      </w:r>
      <w:r w:rsidRPr="00C2472B">
        <w:rPr>
          <w:rFonts w:ascii="Times New Roman" w:eastAsia="Times New Roman" w:hAnsi="Times New Roman" w:cs="Times New Roman"/>
          <w:sz w:val="20"/>
          <w:szCs w:val="20"/>
          <w:lang w:val="pt-BR"/>
        </w:rPr>
        <w:t>, Andreia Carla Eugenio Pupim</w:t>
      </w:r>
      <w:r w:rsidRPr="00C2472B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2</w:t>
      </w:r>
      <w:r w:rsidRPr="00C2472B">
        <w:rPr>
          <w:rFonts w:ascii="Times New Roman" w:eastAsia="Times New Roman" w:hAnsi="Times New Roman" w:cs="Times New Roman"/>
          <w:sz w:val="20"/>
          <w:szCs w:val="20"/>
          <w:lang w:val="pt-BR"/>
        </w:rPr>
        <w:t>, Marilia Folini Tomeleri</w:t>
      </w:r>
      <w:r w:rsidRPr="00C2472B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3</w:t>
      </w:r>
      <w:r w:rsidRPr="00C2472B">
        <w:rPr>
          <w:rFonts w:ascii="Times New Roman" w:eastAsia="Times New Roman" w:hAnsi="Times New Roman" w:cs="Times New Roman"/>
          <w:sz w:val="20"/>
          <w:szCs w:val="20"/>
          <w:lang w:val="pt-BR"/>
        </w:rPr>
        <w:t>, Érica Romão Pereira</w:t>
      </w:r>
      <w:r w:rsidRPr="00C2472B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1</w:t>
      </w:r>
      <w:r w:rsidRPr="00C2472B">
        <w:rPr>
          <w:rFonts w:ascii="Times New Roman" w:eastAsia="Times New Roman" w:hAnsi="Times New Roman" w:cs="Times New Roman"/>
          <w:sz w:val="20"/>
          <w:szCs w:val="20"/>
          <w:lang w:val="pt-BR"/>
        </w:rPr>
        <w:t>, Eduardo José de Almeida Araújo</w:t>
      </w:r>
      <w:r w:rsidRPr="00C2472B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2</w:t>
      </w:r>
      <w:r w:rsidRPr="00C2472B">
        <w:rPr>
          <w:rFonts w:ascii="Times New Roman" w:eastAsia="Times New Roman" w:hAnsi="Times New Roman" w:cs="Times New Roman"/>
          <w:sz w:val="20"/>
          <w:szCs w:val="20"/>
          <w:lang w:val="pt-BR"/>
        </w:rPr>
        <w:t>, Alda Fiorina Maria Losi Guembarovski</w:t>
      </w:r>
      <w:r w:rsidRPr="00C2472B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4</w:t>
      </w:r>
      <w:r w:rsidRPr="00C2472B">
        <w:rPr>
          <w:rFonts w:ascii="Times New Roman" w:eastAsia="Times New Roman" w:hAnsi="Times New Roman" w:cs="Times New Roman"/>
          <w:sz w:val="20"/>
          <w:szCs w:val="20"/>
          <w:lang w:val="pt-BR"/>
        </w:rPr>
        <w:t>, Paulo Emilio Fuganti</w:t>
      </w:r>
      <w:r w:rsidRPr="00C2472B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5</w:t>
      </w:r>
      <w:r w:rsidRPr="00C2472B">
        <w:rPr>
          <w:rFonts w:ascii="Times New Roman" w:eastAsia="Times New Roman" w:hAnsi="Times New Roman" w:cs="Times New Roman"/>
          <w:sz w:val="20"/>
          <w:szCs w:val="20"/>
          <w:lang w:val="pt-BR"/>
        </w:rPr>
        <w:t>, Carlos Alberto Miqueloto</w:t>
      </w:r>
      <w:r w:rsidRPr="00C2472B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3</w:t>
      </w:r>
      <w:r w:rsidRPr="00C2472B">
        <w:rPr>
          <w:rFonts w:ascii="Times New Roman" w:eastAsia="Times New Roman" w:hAnsi="Times New Roman" w:cs="Times New Roman"/>
          <w:sz w:val="20"/>
          <w:szCs w:val="20"/>
          <w:lang w:val="pt-BR"/>
        </w:rPr>
        <w:t>, Roberta Losi Guembarovski</w:t>
      </w:r>
      <w:r w:rsidRPr="00C2472B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1</w:t>
      </w:r>
      <w:r w:rsidRPr="00C2472B">
        <w:rPr>
          <w:rFonts w:ascii="Times New Roman" w:eastAsia="Times New Roman" w:hAnsi="Times New Roman" w:cs="Times New Roman"/>
          <w:sz w:val="20"/>
          <w:szCs w:val="20"/>
          <w:lang w:val="pt-BR"/>
        </w:rPr>
        <w:t>*.</w:t>
      </w:r>
    </w:p>
    <w:p w:rsidR="00DC6A56" w:rsidRPr="00C2472B" w:rsidRDefault="00DC6A5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DC6A56" w:rsidRDefault="0029245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Laboratory of Mutagenesis and Oncogenetics, Department of General Biology, Londrina State University</w:t>
      </w:r>
      <w:r>
        <w:rPr>
          <w:rFonts w:ascii="Times New Roman" w:eastAsia="Times New Roman" w:hAnsi="Times New Roman" w:cs="Times New Roman"/>
          <w:sz w:val="20"/>
          <w:szCs w:val="20"/>
        </w:rPr>
        <w:t>, Londrina, PR, Brazil.</w:t>
      </w:r>
    </w:p>
    <w:p w:rsidR="00DC6A56" w:rsidRDefault="00DC6A5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C6A56" w:rsidRDefault="0029245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Laboratory of Enteric Neuroscience, Department of Histology, Londrina State University, Londrina, PR, Brazil.</w:t>
      </w:r>
    </w:p>
    <w:p w:rsidR="00DC6A56" w:rsidRDefault="00DC6A5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C6A56" w:rsidRDefault="0029245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Laboratory of Tissue Bioengineering and Stem Cells, Department of General Biology, Londrina State University, Londri</w:t>
      </w:r>
      <w:r>
        <w:rPr>
          <w:rFonts w:ascii="Times New Roman" w:eastAsia="Times New Roman" w:hAnsi="Times New Roman" w:cs="Times New Roman"/>
          <w:sz w:val="20"/>
          <w:szCs w:val="20"/>
        </w:rPr>
        <w:t>na, PR, Brazil.</w:t>
      </w:r>
    </w:p>
    <w:p w:rsidR="00DC6A56" w:rsidRDefault="00DC6A5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C6A56" w:rsidRPr="00C2472B" w:rsidRDefault="0029245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C2472B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4</w:t>
      </w:r>
      <w:r w:rsidRPr="00C2472B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Micropar Private Laboratory, Londrina, PR, Brazil.</w:t>
      </w:r>
    </w:p>
    <w:p w:rsidR="00DC6A56" w:rsidRPr="00C2472B" w:rsidRDefault="00DC6A5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DC6A56" w:rsidRPr="00C2472B" w:rsidRDefault="0029245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C2472B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5</w:t>
      </w:r>
      <w:r w:rsidRPr="00C2472B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Cancer Hospital of Londrina - HCL, Londrina, PR, Brazil.</w:t>
      </w:r>
    </w:p>
    <w:p w:rsidR="00DC6A56" w:rsidRPr="00C2472B" w:rsidRDefault="00DC6A5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DC6A56" w:rsidRDefault="0029245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*Corresponding author: Tel: +55 (43) 33715149; E-mail: robertalosi@uel.br</w:t>
      </w:r>
    </w:p>
    <w:p w:rsidR="00DC6A56" w:rsidRDefault="00DC6A5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C6A56" w:rsidRDefault="00DC6A5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C6A56" w:rsidRDefault="00DC6A5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C6A56" w:rsidRDefault="00DC6A5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C6A56" w:rsidRDefault="00DC6A5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C6A56" w:rsidRDefault="00DC6A5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C6A56" w:rsidRDefault="00DC6A5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C6A56" w:rsidRDefault="00DC6A5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C6A56" w:rsidRDefault="00DC6A5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C6A56" w:rsidRDefault="00DC6A56">
      <w:pPr>
        <w:jc w:val="both"/>
        <w:rPr>
          <w:rFonts w:ascii="Times New Roman" w:eastAsia="Times New Roman" w:hAnsi="Times New Roman" w:cs="Times New Roman"/>
          <w:sz w:val="20"/>
          <w:szCs w:val="20"/>
        </w:rPr>
        <w:sectPr w:rsidR="00DC6A56">
          <w:headerReference w:type="default" r:id="rId7"/>
          <w:pgSz w:w="11906" w:h="16838"/>
          <w:pgMar w:top="1417" w:right="1701" w:bottom="1417" w:left="1701" w:header="708" w:footer="708" w:gutter="0"/>
          <w:pgNumType w:start="1"/>
          <w:cols w:space="720"/>
        </w:sectPr>
      </w:pPr>
    </w:p>
    <w:p w:rsidR="00DC6A56" w:rsidRDefault="00C2472B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Online Resource</w:t>
      </w:r>
      <w:bookmarkStart w:id="1" w:name="_GoBack"/>
      <w:bookmarkEnd w:id="1"/>
      <w:r w:rsidR="00292450">
        <w:rPr>
          <w:rFonts w:ascii="Times New Roman" w:eastAsia="Times New Roman" w:hAnsi="Times New Roman" w:cs="Times New Roman"/>
          <w:b/>
          <w:sz w:val="20"/>
          <w:szCs w:val="20"/>
        </w:rPr>
        <w:t xml:space="preserve"> 7 </w:t>
      </w:r>
      <w:r w:rsidR="00292450">
        <w:rPr>
          <w:rFonts w:ascii="Times New Roman" w:eastAsia="Times New Roman" w:hAnsi="Times New Roman" w:cs="Times New Roman"/>
          <w:sz w:val="20"/>
          <w:szCs w:val="20"/>
        </w:rPr>
        <w:t>PAS analysis of worse prognosis samples of PCa</w:t>
      </w:r>
    </w:p>
    <w:tbl>
      <w:tblPr>
        <w:tblStyle w:val="a"/>
        <w:tblW w:w="3343" w:type="dxa"/>
        <w:jc w:val="center"/>
        <w:tblLayout w:type="fixed"/>
        <w:tblLook w:val="0400" w:firstRow="0" w:lastRow="0" w:firstColumn="0" w:lastColumn="0" w:noHBand="0" w:noVBand="1"/>
      </w:tblPr>
      <w:tblGrid>
        <w:gridCol w:w="1080"/>
        <w:gridCol w:w="1330"/>
        <w:gridCol w:w="933"/>
      </w:tblGrid>
      <w:tr w:rsidR="00DC6A56">
        <w:trPr>
          <w:trHeight w:val="315"/>
          <w:jc w:val="center"/>
        </w:trPr>
        <w:tc>
          <w:tcPr>
            <w:tcW w:w="3343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Worse Prognosis</w:t>
            </w:r>
          </w:p>
        </w:tc>
      </w:tr>
      <w:tr w:rsidR="00DC6A56">
        <w:trPr>
          <w:trHeight w:val="315"/>
          <w:jc w:val="center"/>
        </w:trPr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Pacient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Basement Membrane</w:t>
            </w:r>
          </w:p>
        </w:tc>
      </w:tr>
      <w:tr w:rsidR="00DC6A56">
        <w:trPr>
          <w:trHeight w:val="315"/>
          <w:jc w:val="center"/>
        </w:trPr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Adjacent non-tumor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Tumor</w:t>
            </w:r>
          </w:p>
        </w:tc>
      </w:tr>
      <w:tr w:rsidR="00DC6A56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PT12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DC6A56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PT74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DC6A56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PT89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</w:tr>
      <w:tr w:rsidR="00DC6A56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PT116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DC6A56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PT126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</w:tr>
      <w:tr w:rsidR="00DC6A56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PT148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</w:tr>
      <w:tr w:rsidR="00DC6A56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PT175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DC6A56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PT199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DC6A56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PT212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DC6A56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PT247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DC6A56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PT248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DC6A56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PT259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DC6A56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PT263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</w:tr>
      <w:tr w:rsidR="00DC6A56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PT281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DC6A56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PT282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DC6A56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PT283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DC6A56">
        <w:trPr>
          <w:trHeight w:val="31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PT288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DC6A56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PT291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DC6A56">
        <w:trPr>
          <w:trHeight w:val="31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PT324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DC6A56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PT339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</w:tr>
      <w:tr w:rsidR="00DC6A56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PT357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</w:tr>
      <w:tr w:rsidR="00DC6A56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PT371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DC6A56">
        <w:trPr>
          <w:trHeight w:val="315"/>
          <w:jc w:val="center"/>
        </w:trPr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PT379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C6A56" w:rsidRDefault="0029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</w:tr>
    </w:tbl>
    <w:p w:rsidR="00DC6A56" w:rsidRDefault="0029245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Analysis of PAS staining patterns for visualization of the basement membrane of tumor and adjacent non-tumor from PCa patients’ samples. The G1 pattern represented barely visible and discontinuous colorations. The G2 is assigned to markings seen relatively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easily, but with varying thickness and discontinuity in some places. And G3, on the other hand, represented thick, well-visible and continuous stains.</w:t>
      </w:r>
    </w:p>
    <w:p w:rsidR="00DC6A56" w:rsidRDefault="00DC6A5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DC6A56">
      <w:pgSz w:w="11906" w:h="16838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450" w:rsidRDefault="00292450">
      <w:pPr>
        <w:spacing w:after="0" w:line="240" w:lineRule="auto"/>
      </w:pPr>
      <w:r>
        <w:separator/>
      </w:r>
    </w:p>
  </w:endnote>
  <w:endnote w:type="continuationSeparator" w:id="0">
    <w:p w:rsidR="00292450" w:rsidRDefault="00292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450" w:rsidRDefault="00292450">
      <w:pPr>
        <w:spacing w:after="0" w:line="240" w:lineRule="auto"/>
      </w:pPr>
      <w:r>
        <w:separator/>
      </w:r>
    </w:p>
  </w:footnote>
  <w:footnote w:type="continuationSeparator" w:id="0">
    <w:p w:rsidR="00292450" w:rsidRDefault="00292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A56" w:rsidRDefault="0029245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C2472B">
      <w:rPr>
        <w:color w:val="000000"/>
      </w:rPr>
      <w:fldChar w:fldCharType="separate"/>
    </w:r>
    <w:r w:rsidR="00C2472B">
      <w:rPr>
        <w:noProof/>
        <w:color w:val="000000"/>
      </w:rPr>
      <w:t>1</w:t>
    </w:r>
    <w:r>
      <w:rPr>
        <w:color w:val="000000"/>
      </w:rPr>
      <w:fldChar w:fldCharType="end"/>
    </w:r>
  </w:p>
  <w:p w:rsidR="00DC6A56" w:rsidRDefault="00DC6A5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A56"/>
    <w:rsid w:val="00292450"/>
    <w:rsid w:val="00C2472B"/>
    <w:rsid w:val="00DC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09AAFD-8102-46C8-9700-95BA80E34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000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61C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C68"/>
  </w:style>
  <w:style w:type="paragraph" w:styleId="Footer">
    <w:name w:val="footer"/>
    <w:basedOn w:val="Normal"/>
    <w:link w:val="FooterChar"/>
    <w:uiPriority w:val="99"/>
    <w:unhideWhenUsed/>
    <w:rsid w:val="00F61C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C68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BzU06s57YDSbq/2lOApg/74ANQ==">AMUW2mWA3AMY0YFztN4kgXrHaivTT5uvmZIc6Tk003IY4+qeao4dcv6Kp+k2WkEDOVWfdAGrYLZNXs+pJ6GyvLj3jkxZKlZeUCxOn7NQ1lcfy1j2CneztQH0cqx0tyBK2fsUjDgoR81Q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Pinheiro</dc:creator>
  <cp:lastModifiedBy>Laís Pinheiro</cp:lastModifiedBy>
  <cp:revision>2</cp:revision>
  <dcterms:created xsi:type="dcterms:W3CDTF">2022-09-29T17:41:00Z</dcterms:created>
  <dcterms:modified xsi:type="dcterms:W3CDTF">2022-11-21T11:55:00Z</dcterms:modified>
</cp:coreProperties>
</file>