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ABC" w:rsidRDefault="002E7986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Collagen III deposition and basement membrane integrity alterations: relevant predictive markers in metastatic prostate cancer</w:t>
      </w:r>
    </w:p>
    <w:p w:rsidR="00894ABC" w:rsidRDefault="00894ABC">
      <w:pPr>
        <w:spacing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894ABC" w:rsidRPr="0017745E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Laís Capelasso Lucas Pinheiro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Andreia Carla Eugenio Pupim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Marilia Folini Tomeleri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Érica Romão Pereira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Eduardo José de Almeida Araújo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2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Alda Fiorina Maria Losi Guembarovski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Paulo Emilio Fuganti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Carlos Alberto Miqueloto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3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, Roberta Losi Guembarovski</w:t>
      </w: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1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>*.</w:t>
      </w:r>
    </w:p>
    <w:p w:rsidR="00894ABC" w:rsidRPr="0017745E" w:rsidRDefault="00894A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894ABC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Mutagenesis and Oncogenetics, Department of General Biology, Londrina State University</w:t>
      </w:r>
      <w:r>
        <w:rPr>
          <w:rFonts w:ascii="Times New Roman" w:eastAsia="Times New Roman" w:hAnsi="Times New Roman" w:cs="Times New Roman"/>
          <w:sz w:val="20"/>
          <w:szCs w:val="20"/>
        </w:rPr>
        <w:t>, Londrina, PR, Brazil.</w:t>
      </w:r>
    </w:p>
    <w:p w:rsidR="00894ABC" w:rsidRDefault="00894A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Enteric Neuroscience, Department of Histology, Londrina State University, Londrina, PR, Brazil.</w:t>
      </w:r>
    </w:p>
    <w:p w:rsidR="00894ABC" w:rsidRDefault="00894A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Laboratory of Tissue Bioengineering and Stem Cells, Department of General Biology, Londrina State University, Londri</w:t>
      </w:r>
      <w:r>
        <w:rPr>
          <w:rFonts w:ascii="Times New Roman" w:eastAsia="Times New Roman" w:hAnsi="Times New Roman" w:cs="Times New Roman"/>
          <w:sz w:val="20"/>
          <w:szCs w:val="20"/>
        </w:rPr>
        <w:t>na, PR, Brazil.</w:t>
      </w:r>
    </w:p>
    <w:p w:rsidR="00894ABC" w:rsidRDefault="00894A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Pr="0017745E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4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Micropar Private Laboratory, Londrina, PR, Brazil.</w:t>
      </w:r>
    </w:p>
    <w:p w:rsidR="00894ABC" w:rsidRPr="0017745E" w:rsidRDefault="00894A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894ABC" w:rsidRPr="0017745E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17745E">
        <w:rPr>
          <w:rFonts w:ascii="Times New Roman" w:eastAsia="Times New Roman" w:hAnsi="Times New Roman" w:cs="Times New Roman"/>
          <w:sz w:val="20"/>
          <w:szCs w:val="20"/>
          <w:vertAlign w:val="superscript"/>
          <w:lang w:val="pt-BR"/>
        </w:rPr>
        <w:t>5</w:t>
      </w:r>
      <w:r w:rsidRPr="0017745E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Cancer Hospital of Londrina - HCL, Londrina, PR, Brazil.</w:t>
      </w:r>
    </w:p>
    <w:p w:rsidR="00894ABC" w:rsidRPr="0017745E" w:rsidRDefault="00894ABC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t-BR"/>
        </w:rPr>
      </w:pPr>
    </w:p>
    <w:p w:rsidR="00894ABC" w:rsidRDefault="002E7986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*Corresponding author: Tel: +55 (43) 33715149; E-mail: robertalosi@uel.br</w:t>
      </w: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  <w:sectPr w:rsidR="00894ABC">
          <w:headerReference w:type="default" r:id="rId7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:rsidR="00894ABC" w:rsidRDefault="0017745E">
      <w:pPr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Online Resource</w:t>
      </w:r>
      <w:bookmarkStart w:id="0" w:name="_GoBack"/>
      <w:bookmarkEnd w:id="0"/>
      <w:r w:rsidR="002E7986">
        <w:rPr>
          <w:rFonts w:ascii="Times New Roman" w:eastAsia="Times New Roman" w:hAnsi="Times New Roman" w:cs="Times New Roman"/>
          <w:b/>
          <w:sz w:val="20"/>
          <w:szCs w:val="20"/>
        </w:rPr>
        <w:t xml:space="preserve"> 5 </w:t>
      </w:r>
      <w:r w:rsidR="002E7986">
        <w:rPr>
          <w:rFonts w:ascii="Times New Roman" w:eastAsia="Times New Roman" w:hAnsi="Times New Roman" w:cs="Times New Roman"/>
          <w:sz w:val="20"/>
          <w:szCs w:val="20"/>
        </w:rPr>
        <w:t>Picrosirius analysis of normal prostate sample.</w:t>
      </w:r>
    </w:p>
    <w:tbl>
      <w:tblPr>
        <w:tblStyle w:val="a"/>
        <w:tblW w:w="6521" w:type="dxa"/>
        <w:jc w:val="center"/>
        <w:tblLayout w:type="fixed"/>
        <w:tblLook w:val="0400" w:firstRow="0" w:lastRow="0" w:firstColumn="0" w:lastColumn="0" w:noHBand="0" w:noVBand="1"/>
      </w:tblPr>
      <w:tblGrid>
        <w:gridCol w:w="960"/>
        <w:gridCol w:w="1308"/>
        <w:gridCol w:w="1418"/>
        <w:gridCol w:w="1276"/>
        <w:gridCol w:w="1559"/>
      </w:tblGrid>
      <w:tr w:rsidR="00894ABC">
        <w:trPr>
          <w:trHeight w:val="315"/>
          <w:jc w:val="center"/>
        </w:trPr>
        <w:tc>
          <w:tcPr>
            <w:tcW w:w="96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Patient</w:t>
            </w:r>
          </w:p>
        </w:tc>
        <w:tc>
          <w:tcPr>
            <w:tcW w:w="130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Photo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Collagen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Collagen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III 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Total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Collagen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PTN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16229.97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21684.52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129654.66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22557.34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12398.38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101567.30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17877.80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18888.09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72701.55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28479.51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20040.90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93430.59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21002.70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8470.23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96347.61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 (pixels)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106147.32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81482.12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493701.71</w:t>
            </w:r>
          </w:p>
        </w:tc>
      </w:tr>
      <w:tr w:rsidR="00894ABC">
        <w:trPr>
          <w:trHeight w:val="300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Percentage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21.50%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16.50%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100.00%</w:t>
            </w:r>
          </w:p>
        </w:tc>
      </w:tr>
      <w:tr w:rsidR="00894ABC">
        <w:trPr>
          <w:trHeight w:val="315"/>
          <w:jc w:val="center"/>
        </w:trPr>
        <w:tc>
          <w:tcPr>
            <w:tcW w:w="96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:rsidR="00894ABC" w:rsidRDefault="00894AB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Area (µm²)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44757.68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34357.45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</w:tcPr>
          <w:p w:rsidR="00894ABC" w:rsidRDefault="002E79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208172.42</w:t>
            </w:r>
          </w:p>
        </w:tc>
      </w:tr>
    </w:tbl>
    <w:p w:rsidR="00894ABC" w:rsidRDefault="002E7986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Quantification of collagen fibers by Picrosirius analysis.</w:t>
      </w: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894ABC" w:rsidRDefault="00894ABC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1" w:name="_heading=h.gjdgxs" w:colFirst="0" w:colLast="0"/>
      <w:bookmarkEnd w:id="1"/>
    </w:p>
    <w:sectPr w:rsidR="00894ABC"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986" w:rsidRDefault="002E7986">
      <w:pPr>
        <w:spacing w:after="0" w:line="240" w:lineRule="auto"/>
      </w:pPr>
      <w:r>
        <w:separator/>
      </w:r>
    </w:p>
  </w:endnote>
  <w:endnote w:type="continuationSeparator" w:id="0">
    <w:p w:rsidR="002E7986" w:rsidRDefault="002E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986" w:rsidRDefault="002E7986">
      <w:pPr>
        <w:spacing w:after="0" w:line="240" w:lineRule="auto"/>
      </w:pPr>
      <w:r>
        <w:separator/>
      </w:r>
    </w:p>
  </w:footnote>
  <w:footnote w:type="continuationSeparator" w:id="0">
    <w:p w:rsidR="002E7986" w:rsidRDefault="002E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ABC" w:rsidRDefault="002E798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7745E">
      <w:rPr>
        <w:color w:val="000000"/>
      </w:rPr>
      <w:fldChar w:fldCharType="separate"/>
    </w:r>
    <w:r w:rsidR="0017745E">
      <w:rPr>
        <w:noProof/>
        <w:color w:val="000000"/>
      </w:rPr>
      <w:t>1</w:t>
    </w:r>
    <w:r>
      <w:rPr>
        <w:color w:val="000000"/>
      </w:rPr>
      <w:fldChar w:fldCharType="end"/>
    </w:r>
  </w:p>
  <w:p w:rsidR="00894ABC" w:rsidRDefault="00894A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BC"/>
    <w:rsid w:val="0017745E"/>
    <w:rsid w:val="002E7986"/>
    <w:rsid w:val="0089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E0B4A-70C8-4FC7-866D-894B9FBFA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-US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000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semiHidden/>
    <w:unhideWhenUsed/>
    <w:rsid w:val="00226A1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6A1E"/>
    <w:rPr>
      <w:color w:val="954F72"/>
      <w:u w:val="single"/>
    </w:rPr>
  </w:style>
  <w:style w:type="paragraph" w:customStyle="1" w:styleId="msonormal0">
    <w:name w:val="msonormal"/>
    <w:basedOn w:val="Normal"/>
    <w:rsid w:val="00226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26A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Normal"/>
    <w:rsid w:val="00226A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Normal"/>
    <w:rsid w:val="00226A1E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226A1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9">
    <w:name w:val="xl69"/>
    <w:basedOn w:val="Normal"/>
    <w:rsid w:val="00226A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226A1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32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2D32"/>
  </w:style>
  <w:style w:type="paragraph" w:styleId="Footer">
    <w:name w:val="footer"/>
    <w:basedOn w:val="Normal"/>
    <w:link w:val="FooterChar"/>
    <w:uiPriority w:val="99"/>
    <w:unhideWhenUsed/>
    <w:rsid w:val="00F32D3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2D32"/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tv3wD0UCcUndoxABoeiudd8zTkQ==">AMUW2mWZW2Ev2akpGdAVJYT5xMwkywteJ/9MeV7ICH1LHpK3rKibn+JlRYdtWlfzi68FHIprtWoYemzafhBXNIuPDPhpogX6wkJNp1wCnE+t02t67Rt4tNVhk79vM1CLK6DEFUHqWkUr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Pinheiro</dc:creator>
  <cp:lastModifiedBy>Laís Pinheiro</cp:lastModifiedBy>
  <cp:revision>2</cp:revision>
  <dcterms:created xsi:type="dcterms:W3CDTF">2022-11-03T18:04:00Z</dcterms:created>
  <dcterms:modified xsi:type="dcterms:W3CDTF">2022-11-21T11:55:00Z</dcterms:modified>
</cp:coreProperties>
</file>