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69F" w:rsidRPr="00113434" w:rsidRDefault="003620C5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bookmarkStart w:id="0" w:name="_heading=h.gjdgxs" w:colFirst="0" w:colLast="0"/>
      <w:bookmarkEnd w:id="0"/>
      <w:r w:rsidRPr="00113434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Collagen III deposition and basement membrane integrity alterations: relevant predictive markers in metastatic prostate cancer</w:t>
      </w:r>
    </w:p>
    <w:p w:rsidR="00E4769F" w:rsidRPr="00113434" w:rsidRDefault="00E4769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E4769F" w:rsidRDefault="003620C5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Laís Capelasso Lucas Pinheiro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>, Andreia Carla Eugenio Pupim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, Marilia Folini Tomeleri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3</w:t>
      </w:r>
      <w:r>
        <w:rPr>
          <w:rFonts w:ascii="Times New Roman" w:eastAsia="Times New Roman" w:hAnsi="Times New Roman" w:cs="Times New Roman"/>
          <w:sz w:val="20"/>
          <w:szCs w:val="20"/>
        </w:rPr>
        <w:t>, Érica Romão Pereira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>, Eduardo José de Almeida Araújo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, Alda Fiorina Maria Losi Guembarovski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4</w:t>
      </w:r>
      <w:r>
        <w:rPr>
          <w:rFonts w:ascii="Times New Roman" w:eastAsia="Times New Roman" w:hAnsi="Times New Roman" w:cs="Times New Roman"/>
          <w:sz w:val="20"/>
          <w:szCs w:val="20"/>
        </w:rPr>
        <w:t>, Paulo Emilio Fuganti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5</w:t>
      </w:r>
      <w:r>
        <w:rPr>
          <w:rFonts w:ascii="Times New Roman" w:eastAsia="Times New Roman" w:hAnsi="Times New Roman" w:cs="Times New Roman"/>
          <w:sz w:val="20"/>
          <w:szCs w:val="20"/>
        </w:rPr>
        <w:t>, Carlos Alberto Miqueloto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3</w:t>
      </w:r>
      <w:r>
        <w:rPr>
          <w:rFonts w:ascii="Times New Roman" w:eastAsia="Times New Roman" w:hAnsi="Times New Roman" w:cs="Times New Roman"/>
          <w:sz w:val="20"/>
          <w:szCs w:val="20"/>
        </w:rPr>
        <w:t>, Roberta Losi Guembarovski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>*.</w:t>
      </w:r>
    </w:p>
    <w:p w:rsidR="00E4769F" w:rsidRDefault="00E4769F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4769F" w:rsidRPr="00113434" w:rsidRDefault="003620C5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113434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/>
        </w:rPr>
        <w:t>1</w:t>
      </w:r>
      <w:r w:rsidRPr="00113434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Laboratory of Mutagenesis and Oncogenetics, Department of General Biology, Londrina State University</w:t>
      </w:r>
      <w:r w:rsidRPr="00113434">
        <w:rPr>
          <w:rFonts w:ascii="Times New Roman" w:eastAsia="Times New Roman" w:hAnsi="Times New Roman" w:cs="Times New Roman"/>
          <w:sz w:val="20"/>
          <w:szCs w:val="20"/>
          <w:lang w:val="en-US"/>
        </w:rPr>
        <w:t>, Londrina, PR, Brazil.</w:t>
      </w:r>
    </w:p>
    <w:p w:rsidR="00E4769F" w:rsidRPr="00113434" w:rsidRDefault="00E4769F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E4769F" w:rsidRPr="00113434" w:rsidRDefault="003620C5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113434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/>
        </w:rPr>
        <w:t>2</w:t>
      </w:r>
      <w:r w:rsidRPr="00113434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Laboratory of Enteric Neuroscience, Department of Histology, Londrina State University, Londrina, PR, Brazil.</w:t>
      </w:r>
    </w:p>
    <w:p w:rsidR="00E4769F" w:rsidRPr="00113434" w:rsidRDefault="00E4769F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E4769F" w:rsidRPr="00113434" w:rsidRDefault="003620C5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113434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/>
        </w:rPr>
        <w:t>3</w:t>
      </w:r>
      <w:r w:rsidRPr="00113434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Laboratory of Tissue Bioengineering and Stem Cells, Department of General Biology, Londrina State University, Londri</w:t>
      </w:r>
      <w:r w:rsidRPr="00113434">
        <w:rPr>
          <w:rFonts w:ascii="Times New Roman" w:eastAsia="Times New Roman" w:hAnsi="Times New Roman" w:cs="Times New Roman"/>
          <w:sz w:val="20"/>
          <w:szCs w:val="20"/>
          <w:lang w:val="en-US"/>
        </w:rPr>
        <w:t>na, PR, Brazil.</w:t>
      </w:r>
    </w:p>
    <w:p w:rsidR="00E4769F" w:rsidRPr="00113434" w:rsidRDefault="00E4769F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E4769F" w:rsidRDefault="003620C5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4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Micropar Private Laboratory, Londrina, PR, Brazil.</w:t>
      </w:r>
    </w:p>
    <w:p w:rsidR="00E4769F" w:rsidRDefault="00E4769F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4769F" w:rsidRDefault="003620C5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5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Cancer Hospital of Londrina - HCL, Londrina, PR, Brazil.</w:t>
      </w:r>
    </w:p>
    <w:p w:rsidR="00E4769F" w:rsidRDefault="00E4769F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4769F" w:rsidRPr="00113434" w:rsidRDefault="003620C5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113434">
        <w:rPr>
          <w:rFonts w:ascii="Times New Roman" w:eastAsia="Times New Roman" w:hAnsi="Times New Roman" w:cs="Times New Roman"/>
          <w:sz w:val="20"/>
          <w:szCs w:val="20"/>
          <w:lang w:val="en-US"/>
        </w:rPr>
        <w:t>*Corresponding author: Tel: +55 (43) 33715149; E-mail: robertalosi@uel.br</w:t>
      </w:r>
    </w:p>
    <w:p w:rsidR="00E4769F" w:rsidRPr="00113434" w:rsidRDefault="00E4769F">
      <w:pPr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E4769F" w:rsidRPr="00113434" w:rsidRDefault="00E4769F">
      <w:pPr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E4769F" w:rsidRPr="00113434" w:rsidRDefault="00E4769F">
      <w:pPr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E4769F" w:rsidRPr="00113434" w:rsidRDefault="00E4769F">
      <w:pPr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E4769F" w:rsidRPr="00113434" w:rsidRDefault="00E4769F">
      <w:pPr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E4769F" w:rsidRPr="00113434" w:rsidRDefault="00E4769F">
      <w:pPr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E4769F" w:rsidRPr="00113434" w:rsidRDefault="00E4769F">
      <w:pPr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E4769F" w:rsidRPr="00113434" w:rsidRDefault="00E4769F">
      <w:pPr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E4769F" w:rsidRPr="00113434" w:rsidRDefault="00E4769F">
      <w:pPr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E4769F" w:rsidRPr="00113434" w:rsidRDefault="00E4769F">
      <w:pPr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  <w:sectPr w:rsidR="00E4769F" w:rsidRPr="00113434">
          <w:headerReference w:type="default" r:id="rId7"/>
          <w:pgSz w:w="11906" w:h="16838"/>
          <w:pgMar w:top="1417" w:right="1701" w:bottom="1417" w:left="1701" w:header="708" w:footer="708" w:gutter="0"/>
          <w:pgNumType w:start="1"/>
          <w:cols w:space="720"/>
        </w:sectPr>
      </w:pPr>
    </w:p>
    <w:p w:rsidR="00E4769F" w:rsidRPr="00113434" w:rsidRDefault="00113434">
      <w:pPr>
        <w:jc w:val="center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lastRenderedPageBreak/>
        <w:t xml:space="preserve">Online Resource </w:t>
      </w:r>
      <w:r w:rsidR="003620C5" w:rsidRPr="00113434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1</w:t>
      </w:r>
      <w:r w:rsidR="003620C5" w:rsidRPr="00113434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Patients clinical and histopathological characteristics</w:t>
      </w:r>
      <w:bookmarkStart w:id="1" w:name="_GoBack"/>
      <w:bookmarkEnd w:id="1"/>
    </w:p>
    <w:tbl>
      <w:tblPr>
        <w:tblStyle w:val="a"/>
        <w:tblW w:w="14074" w:type="dxa"/>
        <w:jc w:val="center"/>
        <w:tblLayout w:type="fixed"/>
        <w:tblLook w:val="0400" w:firstRow="0" w:lastRow="0" w:firstColumn="0" w:lastColumn="0" w:noHBand="0" w:noVBand="1"/>
      </w:tblPr>
      <w:tblGrid>
        <w:gridCol w:w="874"/>
        <w:gridCol w:w="1843"/>
        <w:gridCol w:w="728"/>
        <w:gridCol w:w="630"/>
        <w:gridCol w:w="556"/>
        <w:gridCol w:w="1009"/>
        <w:gridCol w:w="1326"/>
        <w:gridCol w:w="947"/>
        <w:gridCol w:w="1560"/>
        <w:gridCol w:w="1660"/>
        <w:gridCol w:w="1217"/>
        <w:gridCol w:w="1724"/>
      </w:tblGrid>
      <w:tr w:rsidR="00E4769F">
        <w:trPr>
          <w:trHeight w:val="915"/>
          <w:jc w:val="center"/>
        </w:trPr>
        <w:tc>
          <w:tcPr>
            <w:tcW w:w="8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Patient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Experimental Group</w:t>
            </w:r>
          </w:p>
        </w:tc>
        <w:tc>
          <w:tcPr>
            <w:tcW w:w="7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Exam Type</w:t>
            </w:r>
          </w:p>
        </w:tc>
        <w:tc>
          <w:tcPr>
            <w:tcW w:w="6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Year</w:t>
            </w:r>
          </w:p>
        </w:tc>
        <w:tc>
          <w:tcPr>
            <w:tcW w:w="55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Age</w:t>
            </w:r>
          </w:p>
        </w:tc>
        <w:tc>
          <w:tcPr>
            <w:tcW w:w="10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Gleason Score</w:t>
            </w:r>
          </w:p>
        </w:tc>
        <w:tc>
          <w:tcPr>
            <w:tcW w:w="13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TNM Staging</w:t>
            </w:r>
          </w:p>
        </w:tc>
        <w:tc>
          <w:tcPr>
            <w:tcW w:w="94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PSA (ng/mL)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Seminal Vesicle Invasion</w:t>
            </w:r>
          </w:p>
        </w:tc>
        <w:tc>
          <w:tcPr>
            <w:tcW w:w="16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Extraprostatic Extension </w:t>
            </w:r>
          </w:p>
        </w:tc>
        <w:tc>
          <w:tcPr>
            <w:tcW w:w="121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Perineural Invasion</w:t>
            </w:r>
          </w:p>
        </w:tc>
        <w:tc>
          <w:tcPr>
            <w:tcW w:w="172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Biochemical Recurrence</w:t>
            </w:r>
          </w:p>
        </w:tc>
      </w:tr>
      <w:tr w:rsidR="00E4769F">
        <w:trPr>
          <w:trHeight w:val="300"/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PT144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Better Prognosis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RP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pT2a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04.62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</w:tr>
      <w:tr w:rsidR="00E4769F">
        <w:trPr>
          <w:trHeight w:val="300"/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PT149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Better Prognosis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RP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pT2a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08.61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</w:tr>
      <w:tr w:rsidR="00E4769F">
        <w:trPr>
          <w:trHeight w:val="300"/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PT178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Better Prognosis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RP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pT2a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04.24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</w:tr>
      <w:tr w:rsidR="00E4769F">
        <w:trPr>
          <w:trHeight w:val="300"/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PT180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Better Prognosis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RP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pT2a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</w:tr>
      <w:tr w:rsidR="00E4769F">
        <w:trPr>
          <w:trHeight w:val="300"/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PT188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Better Prognosis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RP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pT2a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12.33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</w:tr>
      <w:tr w:rsidR="00E4769F">
        <w:trPr>
          <w:trHeight w:val="300"/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PT235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Better Prognosis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RP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pT2a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03.62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</w:tr>
      <w:tr w:rsidR="00E4769F">
        <w:trPr>
          <w:trHeight w:val="300"/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PT240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Better Prognosis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RP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pT2a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03.68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</w:tr>
      <w:tr w:rsidR="00E4769F">
        <w:trPr>
          <w:trHeight w:val="300"/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PT246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Better Prognosis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RP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(3+4)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pT2a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4769F">
        <w:trPr>
          <w:trHeight w:val="300"/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PT266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Better Prognosis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RP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pT2a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04.04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</w:tr>
      <w:tr w:rsidR="00E4769F">
        <w:trPr>
          <w:trHeight w:val="300"/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PT271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Better Prognosis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RP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(3+4)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pT2b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07.74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4769F">
        <w:trPr>
          <w:trHeight w:val="300"/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PT308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Better Prognosis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RP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pT2b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07.14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4769F">
        <w:trPr>
          <w:trHeight w:val="300"/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PT318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Better Prognosis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RP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(3+4)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pT2b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05.65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</w:tr>
      <w:tr w:rsidR="00E4769F">
        <w:trPr>
          <w:trHeight w:val="300"/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PT320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Better Prognosis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RP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pT2a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07.88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</w:tr>
      <w:tr w:rsidR="00E4769F">
        <w:trPr>
          <w:trHeight w:val="300"/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PT332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Better Prognosis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RP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(3+4)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pT2c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06.34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</w:tr>
      <w:tr w:rsidR="00E4769F">
        <w:trPr>
          <w:trHeight w:val="300"/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PT345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Better Prognosis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RP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pT2b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05.78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</w:tr>
      <w:tr w:rsidR="00E4769F">
        <w:trPr>
          <w:trHeight w:val="300"/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PT347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Better Prognosis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RP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pT2a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06.69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</w:tr>
      <w:tr w:rsidR="00E4769F">
        <w:trPr>
          <w:trHeight w:val="300"/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PT359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Better Prognosis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RP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(3+4)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pT2b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08.90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4769F">
        <w:trPr>
          <w:trHeight w:val="300"/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PT374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Better Prognosis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RP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(3+4)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pT2b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05.87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4769F">
        <w:trPr>
          <w:trHeight w:val="300"/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PT383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Better Prognosis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RP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pT1a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06.00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4769F">
        <w:trPr>
          <w:trHeight w:val="300"/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PT384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Better Prognosis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RP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pT2a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06.79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4769F">
        <w:trPr>
          <w:trHeight w:val="300"/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PT012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Worse Prognosis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RP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(4+4)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pT3a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09.63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</w:tr>
      <w:tr w:rsidR="00E4769F">
        <w:trPr>
          <w:trHeight w:val="300"/>
          <w:jc w:val="center"/>
        </w:trPr>
        <w:tc>
          <w:tcPr>
            <w:tcW w:w="87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PT074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Worse Prognosis</w:t>
            </w:r>
          </w:p>
        </w:tc>
        <w:tc>
          <w:tcPr>
            <w:tcW w:w="72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RP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55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00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(4+3)</w:t>
            </w:r>
          </w:p>
        </w:tc>
        <w:tc>
          <w:tcPr>
            <w:tcW w:w="132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pT3a</w:t>
            </w:r>
          </w:p>
        </w:tc>
        <w:tc>
          <w:tcPr>
            <w:tcW w:w="94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23.69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6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1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72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</w:tr>
      <w:tr w:rsidR="00E4769F">
        <w:trPr>
          <w:trHeight w:val="300"/>
          <w:jc w:val="center"/>
        </w:trPr>
        <w:tc>
          <w:tcPr>
            <w:tcW w:w="874" w:type="dxa"/>
            <w:tcBorders>
              <w:top w:val="single" w:sz="4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PT089</w:t>
            </w:r>
          </w:p>
        </w:tc>
        <w:tc>
          <w:tcPr>
            <w:tcW w:w="1843" w:type="dxa"/>
            <w:tcBorders>
              <w:top w:val="single" w:sz="4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Worse Prognosis</w:t>
            </w:r>
          </w:p>
        </w:tc>
        <w:tc>
          <w:tcPr>
            <w:tcW w:w="728" w:type="dxa"/>
            <w:tcBorders>
              <w:top w:val="single" w:sz="4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RP</w:t>
            </w:r>
          </w:p>
        </w:tc>
        <w:tc>
          <w:tcPr>
            <w:tcW w:w="630" w:type="dxa"/>
            <w:tcBorders>
              <w:top w:val="single" w:sz="4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556" w:type="dxa"/>
            <w:tcBorders>
              <w:top w:val="single" w:sz="4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009" w:type="dxa"/>
            <w:tcBorders>
              <w:top w:val="single" w:sz="4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26" w:type="dxa"/>
            <w:tcBorders>
              <w:top w:val="single" w:sz="4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pT3a</w:t>
            </w:r>
          </w:p>
        </w:tc>
        <w:tc>
          <w:tcPr>
            <w:tcW w:w="947" w:type="dxa"/>
            <w:tcBorders>
              <w:top w:val="single" w:sz="4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23.15</w:t>
            </w:r>
          </w:p>
        </w:tc>
        <w:tc>
          <w:tcPr>
            <w:tcW w:w="1560" w:type="dxa"/>
            <w:tcBorders>
              <w:top w:val="single" w:sz="4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 </w:t>
            </w:r>
          </w:p>
        </w:tc>
        <w:tc>
          <w:tcPr>
            <w:tcW w:w="1660" w:type="dxa"/>
            <w:tcBorders>
              <w:top w:val="single" w:sz="4" w:space="0" w:color="FFFFFF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17" w:type="dxa"/>
            <w:tcBorders>
              <w:top w:val="single" w:sz="4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 </w:t>
            </w:r>
          </w:p>
        </w:tc>
        <w:tc>
          <w:tcPr>
            <w:tcW w:w="1724" w:type="dxa"/>
            <w:tcBorders>
              <w:top w:val="single" w:sz="4" w:space="0" w:color="FFFFFF"/>
              <w:left w:val="nil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</w:tr>
      <w:tr w:rsidR="00E4769F">
        <w:trPr>
          <w:trHeight w:val="915"/>
          <w:jc w:val="center"/>
        </w:trPr>
        <w:tc>
          <w:tcPr>
            <w:tcW w:w="874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Patient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Experimental Group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Exam Type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Year</w:t>
            </w:r>
          </w:p>
        </w:tc>
        <w:tc>
          <w:tcPr>
            <w:tcW w:w="556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Age</w:t>
            </w:r>
          </w:p>
        </w:tc>
        <w:tc>
          <w:tcPr>
            <w:tcW w:w="1009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Gleason Score</w:t>
            </w:r>
          </w:p>
        </w:tc>
        <w:tc>
          <w:tcPr>
            <w:tcW w:w="1326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TNM Staging</w:t>
            </w:r>
          </w:p>
        </w:tc>
        <w:tc>
          <w:tcPr>
            <w:tcW w:w="947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PSA (ng/mL)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Seminal Vesicle Invasion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Extraprostatic Extension 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Perineural Invasion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Biochemical Recurrence</w:t>
            </w:r>
          </w:p>
        </w:tc>
      </w:tr>
      <w:tr w:rsidR="00E4769F">
        <w:trPr>
          <w:trHeight w:val="300"/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PT116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Worse Prognosis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RP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(3+5)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pT3c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09.26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</w:tr>
      <w:tr w:rsidR="00E4769F">
        <w:trPr>
          <w:trHeight w:val="300"/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PT126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Worse Prognosis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RP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(3+5)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pT3a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09.38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 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</w:tr>
      <w:tr w:rsidR="00E4769F">
        <w:trPr>
          <w:trHeight w:val="300"/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PT148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Worse Prognosis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RP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(5+3)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pT3b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31.00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</w:tr>
      <w:tr w:rsidR="00E4769F">
        <w:trPr>
          <w:trHeight w:val="300"/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PT175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Worse Prognosis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RP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(4+3)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pT3b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9.36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</w:tr>
      <w:tr w:rsidR="00E4769F">
        <w:trPr>
          <w:trHeight w:val="300"/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PT199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Worse Prognosis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RP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(4+4)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pT3a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19.29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</w:tr>
      <w:tr w:rsidR="00E4769F">
        <w:trPr>
          <w:trHeight w:val="300"/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PT212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Worse Prognosis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TUR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28.31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4769F">
        <w:trPr>
          <w:trHeight w:val="300"/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PT247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Worse Prognosis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RP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(3+4)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pT3b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31.51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</w:tr>
      <w:tr w:rsidR="00E4769F">
        <w:trPr>
          <w:trHeight w:val="300"/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PT248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Worse Prognosis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RP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(3+5)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pT3b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14.30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</w:tr>
      <w:tr w:rsidR="00E4769F">
        <w:trPr>
          <w:trHeight w:val="300"/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PT259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Worse Prognosis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RP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(3+5)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pT3a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26.43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</w:tr>
      <w:tr w:rsidR="00E4769F">
        <w:trPr>
          <w:trHeight w:val="300"/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PT263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Worse Prognosis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RP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(3+4)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pT3b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22.93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</w:tr>
      <w:tr w:rsidR="00E4769F">
        <w:trPr>
          <w:trHeight w:val="300"/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PT281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Worse Prognosis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RP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(4+3)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pT3b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4769F">
        <w:trPr>
          <w:trHeight w:val="300"/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PT282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Worse Prognosis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RP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(3+4)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pT3a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06.15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4769F">
        <w:trPr>
          <w:trHeight w:val="300"/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PT283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Worse Prognosis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RP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(3+4)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pT2c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18.82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</w:tr>
      <w:tr w:rsidR="00E4769F">
        <w:trPr>
          <w:trHeight w:val="300"/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PT288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Worse Prognosis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RP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(4+3)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pT3a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09.13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</w:tr>
      <w:tr w:rsidR="00E4769F">
        <w:trPr>
          <w:trHeight w:val="300"/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PT291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Worse Prognosis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RP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(3+4)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pT3a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19.36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</w:tr>
      <w:tr w:rsidR="00E4769F">
        <w:trPr>
          <w:trHeight w:val="300"/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PT324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Worse Prognosis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RP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(3+4)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pT3a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21.69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4769F">
        <w:trPr>
          <w:trHeight w:val="300"/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PT339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Worse Prognosis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RP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(3+4)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pT3a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13.37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</w:tr>
      <w:tr w:rsidR="00E4769F">
        <w:trPr>
          <w:trHeight w:val="300"/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PT357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Worse Prognosis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RP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(3+4)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pT3a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16.74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4769F">
        <w:trPr>
          <w:trHeight w:val="300"/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PT371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Worse Prognosis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RP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(3+4)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pT3a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14.77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</w:tr>
      <w:tr w:rsidR="00E4769F">
        <w:trPr>
          <w:trHeight w:val="300"/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PT379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Worse Prognosis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RP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(3+4)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pT3a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21.32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4769F">
        <w:trPr>
          <w:trHeight w:val="300"/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PT024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Metastatic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RP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pT2c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30.69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</w:tr>
      <w:tr w:rsidR="00E4769F">
        <w:trPr>
          <w:trHeight w:val="300"/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PT129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Metastatic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RP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(4+4)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30.85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</w:tr>
      <w:tr w:rsidR="00E4769F">
        <w:trPr>
          <w:trHeight w:val="300"/>
          <w:jc w:val="center"/>
        </w:trPr>
        <w:tc>
          <w:tcPr>
            <w:tcW w:w="87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PT140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Metastatic</w:t>
            </w:r>
          </w:p>
        </w:tc>
        <w:tc>
          <w:tcPr>
            <w:tcW w:w="72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TUR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55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00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(3+4)</w:t>
            </w:r>
          </w:p>
        </w:tc>
        <w:tc>
          <w:tcPr>
            <w:tcW w:w="132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pT2a</w:t>
            </w:r>
          </w:p>
        </w:tc>
        <w:tc>
          <w:tcPr>
            <w:tcW w:w="94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618.7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2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</w:tr>
      <w:tr w:rsidR="00E4769F">
        <w:trPr>
          <w:trHeight w:val="300"/>
          <w:jc w:val="center"/>
        </w:trPr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PT163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Metastatic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(4+5)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000000"/>
              <w:right w:val="single" w:sz="4" w:space="0" w:color="FFFFFF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</w:tr>
      <w:tr w:rsidR="00E4769F">
        <w:trPr>
          <w:trHeight w:val="915"/>
          <w:jc w:val="center"/>
        </w:trPr>
        <w:tc>
          <w:tcPr>
            <w:tcW w:w="8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Patient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Experimental Group</w:t>
            </w:r>
          </w:p>
        </w:tc>
        <w:tc>
          <w:tcPr>
            <w:tcW w:w="7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Exam Type</w:t>
            </w:r>
          </w:p>
        </w:tc>
        <w:tc>
          <w:tcPr>
            <w:tcW w:w="6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Year</w:t>
            </w:r>
          </w:p>
        </w:tc>
        <w:tc>
          <w:tcPr>
            <w:tcW w:w="55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Age</w:t>
            </w:r>
          </w:p>
        </w:tc>
        <w:tc>
          <w:tcPr>
            <w:tcW w:w="10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Gleason Score</w:t>
            </w:r>
          </w:p>
        </w:tc>
        <w:tc>
          <w:tcPr>
            <w:tcW w:w="13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TNM Staging</w:t>
            </w:r>
          </w:p>
        </w:tc>
        <w:tc>
          <w:tcPr>
            <w:tcW w:w="94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PSA (ng/mL)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Seminal Vesicle Invasion</w:t>
            </w:r>
          </w:p>
        </w:tc>
        <w:tc>
          <w:tcPr>
            <w:tcW w:w="16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Extraprostatic Extension </w:t>
            </w:r>
          </w:p>
        </w:tc>
        <w:tc>
          <w:tcPr>
            <w:tcW w:w="121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Perineural Invasion</w:t>
            </w:r>
          </w:p>
        </w:tc>
        <w:tc>
          <w:tcPr>
            <w:tcW w:w="17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FFFFFF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Biochemical Recurrence</w:t>
            </w:r>
          </w:p>
        </w:tc>
      </w:tr>
      <w:tr w:rsidR="00E4769F">
        <w:trPr>
          <w:trHeight w:val="300"/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PT202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Metastatic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RP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pT2b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04.48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</w:tr>
      <w:tr w:rsidR="00E4769F">
        <w:trPr>
          <w:trHeight w:val="300"/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PT249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Metastatic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RP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(3+5)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pT3bN1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18.09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</w:tr>
      <w:tr w:rsidR="00E4769F">
        <w:trPr>
          <w:trHeight w:val="300"/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PT269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Metastatic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RP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(3+4)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pT3aN1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18.05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4769F">
        <w:trPr>
          <w:trHeight w:val="300"/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PT280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Metastatic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BIOP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(3+4)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pT3a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520.7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4769F">
        <w:trPr>
          <w:trHeight w:val="300"/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PT284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Metastatic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RP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(4+4)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pT3bN1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</w:tr>
      <w:tr w:rsidR="00E4769F">
        <w:trPr>
          <w:trHeight w:val="300"/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PT287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Metastatic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RP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(4+3)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pT3b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141.7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</w:tr>
      <w:tr w:rsidR="00E4769F">
        <w:trPr>
          <w:trHeight w:val="300"/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PT295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Metastatic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BIOP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(4+4)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15.70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4769F">
        <w:trPr>
          <w:trHeight w:val="300"/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PT326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Metastatic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BIOP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pT2cNxM1a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23.27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</w:tr>
      <w:tr w:rsidR="00E4769F">
        <w:trPr>
          <w:trHeight w:val="300"/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PT333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Metastatic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BIOP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(3+4)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11.81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4769F">
        <w:trPr>
          <w:trHeight w:val="300"/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PT338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Metastatic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BIOP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(4+3)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4769F">
        <w:trPr>
          <w:trHeight w:val="300"/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PT361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Metastatic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RP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(4+3)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pT3b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56.03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</w:tr>
      <w:tr w:rsidR="00E4769F">
        <w:trPr>
          <w:trHeight w:val="300"/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PT377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Metastatic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TUR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(3+4)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</w:tr>
      <w:tr w:rsidR="00E4769F">
        <w:trPr>
          <w:trHeight w:val="315"/>
          <w:jc w:val="center"/>
        </w:trPr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PT385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Metastatic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RP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(4+4)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pT3a+bN1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4769F" w:rsidRDefault="0036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</w:tr>
    </w:tbl>
    <w:p w:rsidR="00E4769F" w:rsidRPr="00113434" w:rsidRDefault="003620C5">
      <w:pPr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113434">
        <w:rPr>
          <w:rFonts w:ascii="Times New Roman" w:eastAsia="Times New Roman" w:hAnsi="Times New Roman" w:cs="Times New Roman"/>
          <w:sz w:val="20"/>
          <w:szCs w:val="20"/>
          <w:lang w:val="en-US"/>
        </w:rPr>
        <w:t>The Exam type is presented as follows: (RP) Radical Prostatectomy; (TUR) Transurethral Resection; (BIOP) Biopsy; (-) no data. Due to lack of data, some variables did not include the total of patients.</w:t>
      </w:r>
    </w:p>
    <w:sectPr w:rsidR="00E4769F" w:rsidRPr="00113434">
      <w:pgSz w:w="16838" w:h="11906" w:orient="landscape"/>
      <w:pgMar w:top="1701" w:right="1417" w:bottom="1701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20C5" w:rsidRDefault="003620C5">
      <w:pPr>
        <w:spacing w:after="0" w:line="240" w:lineRule="auto"/>
      </w:pPr>
      <w:r>
        <w:separator/>
      </w:r>
    </w:p>
  </w:endnote>
  <w:endnote w:type="continuationSeparator" w:id="0">
    <w:p w:rsidR="003620C5" w:rsidRDefault="00362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20C5" w:rsidRDefault="003620C5">
      <w:pPr>
        <w:spacing w:after="0" w:line="240" w:lineRule="auto"/>
      </w:pPr>
      <w:r>
        <w:separator/>
      </w:r>
    </w:p>
  </w:footnote>
  <w:footnote w:type="continuationSeparator" w:id="0">
    <w:p w:rsidR="003620C5" w:rsidRDefault="00362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769F" w:rsidRDefault="003620C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113434">
      <w:rPr>
        <w:color w:val="000000"/>
      </w:rPr>
      <w:fldChar w:fldCharType="separate"/>
    </w:r>
    <w:r w:rsidR="00113434">
      <w:rPr>
        <w:noProof/>
        <w:color w:val="000000"/>
      </w:rPr>
      <w:t>3</w:t>
    </w:r>
    <w:r>
      <w:rPr>
        <w:color w:val="000000"/>
      </w:rPr>
      <w:fldChar w:fldCharType="end"/>
    </w:r>
  </w:p>
  <w:p w:rsidR="00E4769F" w:rsidRDefault="00E4769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69F"/>
    <w:rsid w:val="00113434"/>
    <w:rsid w:val="003620C5"/>
    <w:rsid w:val="00E47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289EB"/>
  <w15:docId w15:val="{4895B926-EADF-437E-A776-EB4663F56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5FE6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DC1D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DF0"/>
  </w:style>
  <w:style w:type="paragraph" w:styleId="Footer">
    <w:name w:val="footer"/>
    <w:basedOn w:val="Normal"/>
    <w:link w:val="FooterChar"/>
    <w:uiPriority w:val="99"/>
    <w:unhideWhenUsed/>
    <w:rsid w:val="00DC1D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1DF0"/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NcZiQ/aSiroFeawiojIoHtu4dQ==">AMUW2mULdue0389OJILI2DHaPEp4TBHa+k6ebciPoC5YhSPUCUBwUcAc9yj11+OtnCIs68yWf1VCfMT634AHEaFlZ7Q2yYjUFqa3g8DQzYGJh4UcsP2aLd4DaUMJjTaNl+pqFR/Q7tyh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865</Words>
  <Characters>4671</Characters>
  <Application>Microsoft Office Word</Application>
  <DocSecurity>0</DocSecurity>
  <Lines>38</Lines>
  <Paragraphs>11</Paragraphs>
  <ScaleCrop>false</ScaleCrop>
  <Company/>
  <LinksUpToDate>false</LinksUpToDate>
  <CharactersWithSpaces>5525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Laís Pinheiro</dc:creator>
  <cp:lastModifiedBy>Laís Pinheiro</cp:lastModifiedBy>
  <cp:revision>2</cp:revision>
  <dcterms:created xsi:type="dcterms:W3CDTF">2022-09-29T17:07:00Z</dcterms:created>
  <dcterms:modified xsi:type="dcterms:W3CDTF">2022-11-21T11:53:00Z</dcterms:modified>
</cp:coreProperties>
</file>