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07765" w14:textId="77777777" w:rsidR="0014395F" w:rsidRPr="00297730" w:rsidRDefault="0014395F" w:rsidP="0014395F">
      <w:pPr>
        <w:widowControl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297730">
        <w:rPr>
          <w:rFonts w:ascii="Times New Roman" w:hAnsi="Times New Roman" w:cs="Times New Roman"/>
          <w:b/>
          <w:sz w:val="20"/>
          <w:szCs w:val="20"/>
        </w:rPr>
        <w:t>Supplementary materials</w:t>
      </w:r>
    </w:p>
    <w:p w14:paraId="48412194" w14:textId="77777777" w:rsidR="0014395F" w:rsidRPr="00297730" w:rsidRDefault="0014395F" w:rsidP="0014395F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5B1F3F9" w14:textId="77777777" w:rsidR="0014395F" w:rsidRPr="00297730" w:rsidRDefault="0014395F" w:rsidP="0014395F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97730">
        <w:rPr>
          <w:rFonts w:ascii="Times New Roman" w:hAnsi="Times New Roman" w:cs="Times New Roman"/>
          <w:sz w:val="20"/>
          <w:szCs w:val="20"/>
        </w:rPr>
        <w:t>Supplementary Table 1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782"/>
        <w:gridCol w:w="1689"/>
        <w:gridCol w:w="1908"/>
        <w:gridCol w:w="1924"/>
      </w:tblGrid>
      <w:tr w:rsidR="0014395F" w:rsidRPr="00297730" w14:paraId="0A7BC919" w14:textId="77777777" w:rsidTr="00260167">
        <w:trPr>
          <w:trHeight w:val="424"/>
        </w:trPr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</w:tcPr>
          <w:p w14:paraId="16E95CB2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IFN</w:t>
            </w:r>
            <w:proofErr w:type="spellEnd"/>
            <w:r w:rsidRPr="00297730">
              <w:rPr>
                <w:rFonts w:eastAsia="SimSun"/>
                <w:sz w:val="20"/>
                <w:szCs w:val="20"/>
              </w:rPr>
              <w:t>-gamma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</w:tcPr>
          <w:p w14:paraId="1195C5D9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17A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FFFFFF"/>
          </w:tcPr>
          <w:p w14:paraId="39D3DD9D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TNF-beta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</w:tcPr>
          <w:p w14:paraId="0FE9AA54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EGF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FFFFFF"/>
          </w:tcPr>
          <w:p w14:paraId="12380746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IDO</w:t>
            </w:r>
            <w:proofErr w:type="spellEnd"/>
          </w:p>
        </w:tc>
      </w:tr>
      <w:tr w:rsidR="0014395F" w:rsidRPr="00297730" w14:paraId="5860FD16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49DE6E31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12p70</w:t>
            </w:r>
            <w:proofErr w:type="spellEnd"/>
          </w:p>
        </w:tc>
        <w:tc>
          <w:tcPr>
            <w:tcW w:w="1782" w:type="dxa"/>
            <w:shd w:val="clear" w:color="auto" w:fill="FFFFFF"/>
          </w:tcPr>
          <w:p w14:paraId="75362AC9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IL-21</w:t>
            </w:r>
          </w:p>
        </w:tc>
        <w:tc>
          <w:tcPr>
            <w:tcW w:w="1689" w:type="dxa"/>
            <w:shd w:val="clear" w:color="auto" w:fill="FFFFFF"/>
          </w:tcPr>
          <w:p w14:paraId="3A144AD2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CCL11</w:t>
            </w:r>
            <w:proofErr w:type="spellEnd"/>
          </w:p>
        </w:tc>
        <w:tc>
          <w:tcPr>
            <w:tcW w:w="1908" w:type="dxa"/>
            <w:shd w:val="clear" w:color="auto" w:fill="FFFFFF"/>
          </w:tcPr>
          <w:p w14:paraId="3787200C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FGF-2</w:t>
            </w:r>
          </w:p>
        </w:tc>
        <w:tc>
          <w:tcPr>
            <w:tcW w:w="1924" w:type="dxa"/>
            <w:shd w:val="clear" w:color="auto" w:fill="FFFFFF"/>
          </w:tcPr>
          <w:p w14:paraId="55E54A52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LAG-3</w:t>
            </w:r>
          </w:p>
        </w:tc>
      </w:tr>
      <w:tr w:rsidR="0014395F" w:rsidRPr="00297730" w14:paraId="0B46D35D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1BDA11E8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IL-13</w:t>
            </w:r>
          </w:p>
        </w:tc>
        <w:tc>
          <w:tcPr>
            <w:tcW w:w="1782" w:type="dxa"/>
            <w:shd w:val="clear" w:color="auto" w:fill="FFFFFF"/>
          </w:tcPr>
          <w:p w14:paraId="17EDADC0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IL-22</w:t>
            </w:r>
          </w:p>
        </w:tc>
        <w:tc>
          <w:tcPr>
            <w:tcW w:w="1689" w:type="dxa"/>
            <w:shd w:val="clear" w:color="auto" w:fill="FFFFFF"/>
          </w:tcPr>
          <w:p w14:paraId="142F68A2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CXCL1</w:t>
            </w:r>
            <w:proofErr w:type="spellEnd"/>
          </w:p>
        </w:tc>
        <w:tc>
          <w:tcPr>
            <w:tcW w:w="1908" w:type="dxa"/>
            <w:shd w:val="clear" w:color="auto" w:fill="FFFFFF"/>
          </w:tcPr>
          <w:p w14:paraId="79CDC612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HGF</w:t>
            </w:r>
            <w:proofErr w:type="spellEnd"/>
          </w:p>
        </w:tc>
        <w:tc>
          <w:tcPr>
            <w:tcW w:w="1924" w:type="dxa"/>
            <w:shd w:val="clear" w:color="auto" w:fill="FFFFFF"/>
          </w:tcPr>
          <w:p w14:paraId="66349BB8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PD1</w:t>
            </w:r>
            <w:proofErr w:type="spellEnd"/>
          </w:p>
        </w:tc>
      </w:tr>
      <w:tr w:rsidR="0014395F" w:rsidRPr="00297730" w14:paraId="21C1BD25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37275161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1beta</w:t>
            </w:r>
            <w:proofErr w:type="spellEnd"/>
          </w:p>
        </w:tc>
        <w:tc>
          <w:tcPr>
            <w:tcW w:w="1782" w:type="dxa"/>
            <w:shd w:val="clear" w:color="auto" w:fill="FFFFFF"/>
          </w:tcPr>
          <w:p w14:paraId="7A69D1B9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IL-23</w:t>
            </w:r>
          </w:p>
        </w:tc>
        <w:tc>
          <w:tcPr>
            <w:tcW w:w="1689" w:type="dxa"/>
            <w:shd w:val="clear" w:color="auto" w:fill="FFFFFF"/>
          </w:tcPr>
          <w:p w14:paraId="489F9E18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IL-8</w:t>
            </w:r>
          </w:p>
        </w:tc>
        <w:tc>
          <w:tcPr>
            <w:tcW w:w="1908" w:type="dxa"/>
            <w:shd w:val="clear" w:color="auto" w:fill="FFFFFF"/>
          </w:tcPr>
          <w:p w14:paraId="2E80CA2C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LIF</w:t>
            </w:r>
            <w:proofErr w:type="spellEnd"/>
          </w:p>
        </w:tc>
        <w:tc>
          <w:tcPr>
            <w:tcW w:w="1924" w:type="dxa"/>
            <w:shd w:val="clear" w:color="auto" w:fill="FFFFFF"/>
          </w:tcPr>
          <w:p w14:paraId="1DD8D074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PD-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L1</w:t>
            </w:r>
            <w:proofErr w:type="spellEnd"/>
          </w:p>
        </w:tc>
      </w:tr>
      <w:tr w:rsidR="0014395F" w:rsidRPr="00297730" w14:paraId="38D6452D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20820777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IL-2</w:t>
            </w:r>
          </w:p>
        </w:tc>
        <w:tc>
          <w:tcPr>
            <w:tcW w:w="1782" w:type="dxa"/>
            <w:shd w:val="clear" w:color="auto" w:fill="FFFFFF"/>
          </w:tcPr>
          <w:p w14:paraId="37651D99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IL-27</w:t>
            </w:r>
          </w:p>
        </w:tc>
        <w:tc>
          <w:tcPr>
            <w:tcW w:w="1689" w:type="dxa"/>
            <w:shd w:val="clear" w:color="auto" w:fill="FFFFFF"/>
          </w:tcPr>
          <w:p w14:paraId="3D2D475B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IP-10</w:t>
            </w:r>
          </w:p>
        </w:tc>
        <w:tc>
          <w:tcPr>
            <w:tcW w:w="1908" w:type="dxa"/>
            <w:shd w:val="clear" w:color="auto" w:fill="FFFFFF"/>
          </w:tcPr>
          <w:p w14:paraId="0D17408F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PDGF-BB</w:t>
            </w:r>
          </w:p>
        </w:tc>
        <w:tc>
          <w:tcPr>
            <w:tcW w:w="1924" w:type="dxa"/>
            <w:shd w:val="clear" w:color="auto" w:fill="FFFFFF"/>
          </w:tcPr>
          <w:p w14:paraId="501460E6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PD-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L2</w:t>
            </w:r>
            <w:proofErr w:type="spellEnd"/>
          </w:p>
        </w:tc>
      </w:tr>
      <w:tr w:rsidR="0014395F" w:rsidRPr="00297730" w14:paraId="53BF13E2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0F289F39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IL-4</w:t>
            </w:r>
          </w:p>
        </w:tc>
        <w:tc>
          <w:tcPr>
            <w:tcW w:w="1782" w:type="dxa"/>
            <w:shd w:val="clear" w:color="auto" w:fill="FFFFFF"/>
          </w:tcPr>
          <w:p w14:paraId="24711950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IL-9</w:t>
            </w:r>
          </w:p>
        </w:tc>
        <w:tc>
          <w:tcPr>
            <w:tcW w:w="1689" w:type="dxa"/>
            <w:shd w:val="clear" w:color="auto" w:fill="FFFFFF"/>
          </w:tcPr>
          <w:p w14:paraId="21E4D01B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MCP</w:t>
            </w:r>
            <w:proofErr w:type="spellEnd"/>
            <w:r w:rsidRPr="00297730">
              <w:rPr>
                <w:rFonts w:eastAsia="SimSun"/>
                <w:sz w:val="20"/>
                <w:szCs w:val="20"/>
              </w:rPr>
              <w:t>-1</w:t>
            </w:r>
          </w:p>
        </w:tc>
        <w:tc>
          <w:tcPr>
            <w:tcW w:w="1908" w:type="dxa"/>
            <w:shd w:val="clear" w:color="auto" w:fill="FFFFFF"/>
          </w:tcPr>
          <w:p w14:paraId="62105E91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PlGF</w:t>
            </w:r>
            <w:proofErr w:type="spellEnd"/>
            <w:r w:rsidRPr="00297730">
              <w:rPr>
                <w:rFonts w:eastAsia="SimSun"/>
                <w:sz w:val="20"/>
                <w:szCs w:val="20"/>
              </w:rPr>
              <w:t>-1</w:t>
            </w:r>
          </w:p>
        </w:tc>
        <w:tc>
          <w:tcPr>
            <w:tcW w:w="1924" w:type="dxa"/>
            <w:shd w:val="clear" w:color="auto" w:fill="FFFFFF"/>
          </w:tcPr>
          <w:p w14:paraId="2908DAD0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TIM-3</w:t>
            </w:r>
          </w:p>
        </w:tc>
      </w:tr>
      <w:tr w:rsidR="0014395F" w:rsidRPr="00297730" w14:paraId="0B272C07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646AB963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IL-5</w:t>
            </w:r>
          </w:p>
        </w:tc>
        <w:tc>
          <w:tcPr>
            <w:tcW w:w="1782" w:type="dxa"/>
            <w:shd w:val="clear" w:color="auto" w:fill="FFFFFF"/>
          </w:tcPr>
          <w:p w14:paraId="6D570791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IFN</w:t>
            </w:r>
            <w:proofErr w:type="spellEnd"/>
            <w:r w:rsidRPr="00297730">
              <w:rPr>
                <w:rFonts w:eastAsia="SimSun"/>
                <w:sz w:val="20"/>
                <w:szCs w:val="20"/>
              </w:rPr>
              <w:t>-alpha</w:t>
            </w:r>
          </w:p>
        </w:tc>
        <w:tc>
          <w:tcPr>
            <w:tcW w:w="1689" w:type="dxa"/>
            <w:shd w:val="clear" w:color="auto" w:fill="FFFFFF"/>
          </w:tcPr>
          <w:p w14:paraId="3ECA4880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MIP-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1alpha</w:t>
            </w:r>
            <w:proofErr w:type="spellEnd"/>
          </w:p>
        </w:tc>
        <w:tc>
          <w:tcPr>
            <w:tcW w:w="1908" w:type="dxa"/>
            <w:shd w:val="clear" w:color="auto" w:fill="FFFFFF"/>
          </w:tcPr>
          <w:p w14:paraId="714C3608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SCF</w:t>
            </w:r>
            <w:proofErr w:type="spellEnd"/>
          </w:p>
        </w:tc>
        <w:tc>
          <w:tcPr>
            <w:tcW w:w="1924" w:type="dxa"/>
            <w:shd w:val="clear" w:color="auto" w:fill="FFFFFF"/>
          </w:tcPr>
          <w:p w14:paraId="13C1C174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CD28</w:t>
            </w:r>
            <w:proofErr w:type="spellEnd"/>
          </w:p>
        </w:tc>
      </w:tr>
      <w:tr w:rsidR="0014395F" w:rsidRPr="00297730" w14:paraId="724E062C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78D0B473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IL-6</w:t>
            </w:r>
          </w:p>
        </w:tc>
        <w:tc>
          <w:tcPr>
            <w:tcW w:w="1782" w:type="dxa"/>
            <w:shd w:val="clear" w:color="auto" w:fill="FFFFFF"/>
          </w:tcPr>
          <w:p w14:paraId="79A78A8C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IL-31</w:t>
            </w:r>
          </w:p>
        </w:tc>
        <w:tc>
          <w:tcPr>
            <w:tcW w:w="1689" w:type="dxa"/>
            <w:shd w:val="clear" w:color="auto" w:fill="FFFFFF"/>
          </w:tcPr>
          <w:p w14:paraId="2B7B16EB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MIP-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1beta</w:t>
            </w:r>
            <w:proofErr w:type="spellEnd"/>
          </w:p>
        </w:tc>
        <w:tc>
          <w:tcPr>
            <w:tcW w:w="1908" w:type="dxa"/>
            <w:shd w:val="clear" w:color="auto" w:fill="FFFFFF"/>
          </w:tcPr>
          <w:p w14:paraId="2C2B0B2A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VEGF-A</w:t>
            </w:r>
          </w:p>
        </w:tc>
        <w:tc>
          <w:tcPr>
            <w:tcW w:w="1924" w:type="dxa"/>
            <w:shd w:val="clear" w:color="auto" w:fill="FFFFFF"/>
          </w:tcPr>
          <w:p w14:paraId="0A582347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CD80</w:t>
            </w:r>
            <w:proofErr w:type="spellEnd"/>
          </w:p>
        </w:tc>
      </w:tr>
      <w:tr w:rsidR="0014395F" w:rsidRPr="00297730" w14:paraId="47641B0A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364FCCB5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TNF-alpha</w:t>
            </w:r>
          </w:p>
        </w:tc>
        <w:tc>
          <w:tcPr>
            <w:tcW w:w="1782" w:type="dxa"/>
            <w:shd w:val="clear" w:color="auto" w:fill="FFFFFF"/>
          </w:tcPr>
          <w:p w14:paraId="2E6D0602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IL-15</w:t>
            </w:r>
          </w:p>
        </w:tc>
        <w:tc>
          <w:tcPr>
            <w:tcW w:w="1689" w:type="dxa"/>
            <w:shd w:val="clear" w:color="auto" w:fill="FFFFFF"/>
          </w:tcPr>
          <w:p w14:paraId="278C54CB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SDF-1alpha</w:t>
            </w:r>
            <w:proofErr w:type="spellEnd"/>
          </w:p>
        </w:tc>
        <w:tc>
          <w:tcPr>
            <w:tcW w:w="1908" w:type="dxa"/>
            <w:shd w:val="clear" w:color="auto" w:fill="FFFFFF"/>
          </w:tcPr>
          <w:p w14:paraId="4D9DAFF6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VEGF-D</w:t>
            </w:r>
          </w:p>
        </w:tc>
        <w:tc>
          <w:tcPr>
            <w:tcW w:w="1924" w:type="dxa"/>
            <w:shd w:val="clear" w:color="auto" w:fill="FFFFFF"/>
          </w:tcPr>
          <w:p w14:paraId="35743D65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CD137</w:t>
            </w:r>
            <w:proofErr w:type="spellEnd"/>
            <w:r w:rsidRPr="00297730">
              <w:rPr>
                <w:rFonts w:eastAsia="SimSun"/>
                <w:sz w:val="20"/>
                <w:szCs w:val="20"/>
              </w:rPr>
              <w:t>(4-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1BB</w:t>
            </w:r>
            <w:proofErr w:type="spellEnd"/>
            <w:r w:rsidRPr="00297730">
              <w:rPr>
                <w:rFonts w:eastAsia="SimSun"/>
                <w:sz w:val="20"/>
                <w:szCs w:val="20"/>
              </w:rPr>
              <w:t>)</w:t>
            </w:r>
          </w:p>
        </w:tc>
      </w:tr>
      <w:tr w:rsidR="0014395F" w:rsidRPr="00297730" w14:paraId="136AFCC7" w14:textId="77777777" w:rsidTr="00260167">
        <w:trPr>
          <w:trHeight w:val="424"/>
        </w:trPr>
        <w:tc>
          <w:tcPr>
            <w:tcW w:w="1939" w:type="dxa"/>
            <w:shd w:val="clear" w:color="auto" w:fill="FFFFFF"/>
          </w:tcPr>
          <w:p w14:paraId="666E362F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GM-CSF</w:t>
            </w:r>
          </w:p>
        </w:tc>
        <w:tc>
          <w:tcPr>
            <w:tcW w:w="1782" w:type="dxa"/>
            <w:shd w:val="clear" w:color="auto" w:fill="FFFFFF"/>
          </w:tcPr>
          <w:p w14:paraId="2D2183F7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1alpha</w:t>
            </w:r>
            <w:proofErr w:type="spellEnd"/>
          </w:p>
        </w:tc>
        <w:tc>
          <w:tcPr>
            <w:tcW w:w="1689" w:type="dxa"/>
            <w:shd w:val="clear" w:color="auto" w:fill="FFFFFF"/>
          </w:tcPr>
          <w:p w14:paraId="79D05ADE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CCL5</w:t>
            </w:r>
            <w:proofErr w:type="spellEnd"/>
          </w:p>
        </w:tc>
        <w:tc>
          <w:tcPr>
            <w:tcW w:w="1908" w:type="dxa"/>
            <w:shd w:val="clear" w:color="auto" w:fill="FFFFFF"/>
          </w:tcPr>
          <w:p w14:paraId="493AE312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BTLA</w:t>
            </w:r>
            <w:proofErr w:type="spellEnd"/>
          </w:p>
        </w:tc>
        <w:tc>
          <w:tcPr>
            <w:tcW w:w="1924" w:type="dxa"/>
            <w:shd w:val="clear" w:color="auto" w:fill="FFFFFF"/>
          </w:tcPr>
          <w:p w14:paraId="7325FD15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CD27</w:t>
            </w:r>
            <w:proofErr w:type="spellEnd"/>
          </w:p>
        </w:tc>
      </w:tr>
      <w:tr w:rsidR="0014395F" w:rsidRPr="00297730" w14:paraId="30412BA3" w14:textId="77777777" w:rsidTr="00260167">
        <w:trPr>
          <w:trHeight w:val="424"/>
        </w:trPr>
        <w:tc>
          <w:tcPr>
            <w:tcW w:w="1939" w:type="dxa"/>
            <w:tcBorders>
              <w:bottom w:val="nil"/>
            </w:tcBorders>
            <w:shd w:val="clear" w:color="auto" w:fill="FFFFFF"/>
          </w:tcPr>
          <w:p w14:paraId="0A70125F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IL-18</w:t>
            </w:r>
          </w:p>
        </w:tc>
        <w:tc>
          <w:tcPr>
            <w:tcW w:w="1782" w:type="dxa"/>
            <w:tcBorders>
              <w:bottom w:val="nil"/>
            </w:tcBorders>
            <w:shd w:val="clear" w:color="auto" w:fill="FFFFFF"/>
          </w:tcPr>
          <w:p w14:paraId="087D8335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</w:t>
            </w:r>
            <w:proofErr w:type="spellStart"/>
            <w:r w:rsidRPr="00297730">
              <w:rPr>
                <w:rFonts w:eastAsia="SimSun"/>
                <w:sz w:val="20"/>
                <w:szCs w:val="20"/>
              </w:rPr>
              <w:t>1RA</w:t>
            </w:r>
            <w:proofErr w:type="spellEnd"/>
          </w:p>
        </w:tc>
        <w:tc>
          <w:tcPr>
            <w:tcW w:w="1689" w:type="dxa"/>
            <w:tcBorders>
              <w:bottom w:val="nil"/>
            </w:tcBorders>
            <w:shd w:val="clear" w:color="auto" w:fill="FFFFFF"/>
          </w:tcPr>
          <w:p w14:paraId="521F40AD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NGF-beta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FFFFFF"/>
          </w:tcPr>
          <w:p w14:paraId="1400FE13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GITR</w:t>
            </w:r>
            <w:proofErr w:type="spellEnd"/>
          </w:p>
        </w:tc>
        <w:tc>
          <w:tcPr>
            <w:tcW w:w="1924" w:type="dxa"/>
            <w:tcBorders>
              <w:bottom w:val="nil"/>
            </w:tcBorders>
            <w:shd w:val="clear" w:color="auto" w:fill="FFFFFF"/>
          </w:tcPr>
          <w:p w14:paraId="051FCE7C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CTLA</w:t>
            </w:r>
            <w:proofErr w:type="spellEnd"/>
            <w:r w:rsidRPr="00297730">
              <w:rPr>
                <w:rFonts w:eastAsia="SimSun"/>
                <w:sz w:val="20"/>
                <w:szCs w:val="20"/>
              </w:rPr>
              <w:t>-4</w:t>
            </w:r>
          </w:p>
        </w:tc>
      </w:tr>
      <w:tr w:rsidR="0014395F" w:rsidRPr="00297730" w14:paraId="11C93E5D" w14:textId="77777777" w:rsidTr="00260167">
        <w:trPr>
          <w:trHeight w:val="424"/>
        </w:trPr>
        <w:tc>
          <w:tcPr>
            <w:tcW w:w="193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F33D5B8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IL-10</w:t>
            </w:r>
          </w:p>
        </w:tc>
        <w:tc>
          <w:tcPr>
            <w:tcW w:w="178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29AD4F4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IL-7</w:t>
            </w: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8E857B3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r w:rsidRPr="00297730">
              <w:rPr>
                <w:rFonts w:eastAsia="SimSun"/>
                <w:sz w:val="20"/>
                <w:szCs w:val="20"/>
              </w:rPr>
              <w:t>BDNF</w:t>
            </w: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4795DAB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297730">
              <w:rPr>
                <w:rFonts w:eastAsia="SimSun"/>
                <w:sz w:val="20"/>
                <w:szCs w:val="20"/>
              </w:rPr>
              <w:t>HVEM</w:t>
            </w:r>
            <w:proofErr w:type="spellEnd"/>
          </w:p>
        </w:tc>
        <w:tc>
          <w:tcPr>
            <w:tcW w:w="192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0B5BB0" w14:textId="77777777" w:rsidR="0014395F" w:rsidRPr="00297730" w:rsidRDefault="0014395F" w:rsidP="00260167">
            <w:pPr>
              <w:spacing w:line="480" w:lineRule="auto"/>
              <w:rPr>
                <w:rFonts w:eastAsia="SimSun"/>
                <w:sz w:val="20"/>
                <w:szCs w:val="20"/>
              </w:rPr>
            </w:pPr>
          </w:p>
        </w:tc>
      </w:tr>
    </w:tbl>
    <w:p w14:paraId="706A3DF0" w14:textId="77777777" w:rsidR="0014395F" w:rsidRPr="00297730" w:rsidRDefault="0014395F" w:rsidP="0014395F">
      <w:pPr>
        <w:pStyle w:val="Heading2"/>
        <w:widowControl/>
        <w:spacing w:beforeAutospacing="0" w:afterAutospacing="0" w:line="360" w:lineRule="atLeast"/>
        <w:rPr>
          <w:rFonts w:ascii="Times New Roman" w:hAnsi="Times New Roman" w:hint="default"/>
          <w:sz w:val="20"/>
          <w:szCs w:val="20"/>
        </w:rPr>
      </w:pPr>
      <w:proofErr w:type="spellStart"/>
      <w:r w:rsidRPr="00297730">
        <w:rPr>
          <w:rFonts w:ascii="Times New Roman" w:hAnsi="Times New Roman" w:hint="default"/>
          <w:bCs/>
          <w:sz w:val="20"/>
          <w:szCs w:val="20"/>
        </w:rPr>
        <w:t>IFN</w:t>
      </w:r>
      <w:proofErr w:type="spellEnd"/>
      <w:r w:rsidRPr="00297730">
        <w:rPr>
          <w:rFonts w:ascii="Times New Roman" w:hAnsi="Times New Roman" w:hint="default"/>
          <w:bCs/>
          <w:sz w:val="20"/>
          <w:szCs w:val="20"/>
        </w:rPr>
        <w:t>,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Interferon;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Cs/>
          <w:sz w:val="20"/>
          <w:szCs w:val="20"/>
        </w:rPr>
        <w:t>IL,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Interleukin;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Cs/>
          <w:sz w:val="20"/>
          <w:szCs w:val="20"/>
        </w:rPr>
        <w:t>TNF,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Transforming Growth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Cs/>
          <w:sz w:val="20"/>
          <w:szCs w:val="20"/>
        </w:rPr>
        <w:t>GM-CSF,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Granulocyte-macrophage Colony Stimulating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Cs/>
          <w:sz w:val="20"/>
          <w:szCs w:val="20"/>
        </w:rPr>
        <w:t>CCL,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C-C motif chemokine ligand;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bCs/>
          <w:sz w:val="20"/>
          <w:szCs w:val="20"/>
        </w:rPr>
        <w:t>CXCL</w:t>
      </w:r>
      <w:proofErr w:type="spellEnd"/>
      <w:r w:rsidRPr="00297730">
        <w:rPr>
          <w:rFonts w:ascii="Times New Roman" w:hAnsi="Times New Roman" w:hint="default"/>
          <w:bCs/>
          <w:sz w:val="20"/>
          <w:szCs w:val="20"/>
        </w:rPr>
        <w:t>,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C-X-C motif chemokine ligand;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MCP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 xml:space="preserve">, </w:t>
      </w:r>
      <w:hyperlink r:id="rId4" w:tgtFrame="https://cn.bing.com/_blank" w:history="1">
        <w:r w:rsidRPr="00297730">
          <w:rPr>
            <w:rFonts w:ascii="Times New Roman" w:hAnsi="Times New Roman" w:hint="default"/>
            <w:b w:val="0"/>
            <w:bCs/>
            <w:sz w:val="20"/>
            <w:szCs w:val="20"/>
          </w:rPr>
          <w:t>Monocyte chemotactic protein</w:t>
        </w:r>
      </w:hyperlink>
      <w:r w:rsidRPr="00297730">
        <w:rPr>
          <w:rFonts w:ascii="Times New Roman" w:hAnsi="Times New Roman" w:hint="default"/>
          <w:b w:val="0"/>
          <w:bCs/>
          <w:sz w:val="20"/>
          <w:szCs w:val="20"/>
        </w:rPr>
        <w:t>;</w:t>
      </w:r>
      <w:r w:rsidRPr="00297730">
        <w:rPr>
          <w:rFonts w:ascii="Times New Roman" w:hAnsi="Times New Roman" w:hint="default"/>
          <w:sz w:val="20"/>
          <w:szCs w:val="20"/>
        </w:rPr>
        <w:t xml:space="preserve"> MIP,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Macrophage inflammatory protein;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SDF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 xml:space="preserve">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Stromal cell derived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FGF,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Fibroblast Growth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NGF,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Nerve growth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BDNF,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Brain-derived neurotrophic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bCs/>
          <w:sz w:val="20"/>
          <w:szCs w:val="20"/>
        </w:rPr>
        <w:t>EGF</w:t>
      </w:r>
      <w:proofErr w:type="spellEnd"/>
      <w:r w:rsidRPr="00297730">
        <w:rPr>
          <w:rFonts w:ascii="Times New Roman" w:hAnsi="Times New Roman" w:hint="default"/>
          <w:bCs/>
          <w:sz w:val="20"/>
          <w:szCs w:val="20"/>
        </w:rPr>
        <w:t>,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Epidermal growth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FGF,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Fibroblast Growth Factor;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HGF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 xml:space="preserve">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Hepatocyte Growth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LIF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>,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 Leukemia inhibitory factor; PDGF, Platelet-derived Growth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SCF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 xml:space="preserve">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Stem cell factor;</w:t>
      </w:r>
      <w:r w:rsidRPr="00297730">
        <w:rPr>
          <w:rFonts w:ascii="Times New Roman" w:hAnsi="Times New Roman" w:hint="default"/>
          <w:sz w:val="20"/>
          <w:szCs w:val="20"/>
        </w:rPr>
        <w:t xml:space="preserve"> VEGF,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Vascular Endothelial Growth Factor-A;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BTLA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 xml:space="preserve">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B and T lymphocyte attenuator;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GITR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>,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 glucocorticoid-induced TNF receptor;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HVEM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>,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 herpesvirus entry mediator;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IDO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>,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 indoleamine-2,3-dioxygenase; </w:t>
      </w:r>
      <w:r w:rsidRPr="00297730">
        <w:rPr>
          <w:rFonts w:ascii="Times New Roman" w:hAnsi="Times New Roman" w:hint="default"/>
          <w:sz w:val="20"/>
          <w:szCs w:val="20"/>
        </w:rPr>
        <w:t xml:space="preserve">LAG-3,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lymphocyte activation gene 3; </w:t>
      </w:r>
      <w:r w:rsidRPr="00297730">
        <w:rPr>
          <w:rFonts w:ascii="Times New Roman" w:hAnsi="Times New Roman" w:hint="default"/>
          <w:sz w:val="20"/>
          <w:szCs w:val="20"/>
        </w:rPr>
        <w:t xml:space="preserve">PD-1,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Programmed Death-1;</w:t>
      </w:r>
      <w:r w:rsidRPr="00297730">
        <w:rPr>
          <w:rFonts w:ascii="Times New Roman" w:hAnsi="Times New Roman" w:hint="default"/>
          <w:sz w:val="20"/>
          <w:szCs w:val="20"/>
        </w:rPr>
        <w:t xml:space="preserve"> PD-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L1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>,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 Programmed Death Ligand-1;</w:t>
      </w:r>
      <w:r w:rsidRPr="00297730">
        <w:rPr>
          <w:rFonts w:ascii="Times New Roman" w:hAnsi="Times New Roman" w:hint="default"/>
          <w:sz w:val="20"/>
          <w:szCs w:val="20"/>
        </w:rPr>
        <w:t xml:space="preserve"> PD-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L2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 xml:space="preserve">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 xml:space="preserve">Programmed Death Ligand-1; </w:t>
      </w:r>
      <w:r w:rsidRPr="00297730">
        <w:rPr>
          <w:rFonts w:ascii="Times New Roman" w:hAnsi="Times New Roman" w:hint="default"/>
          <w:sz w:val="20"/>
          <w:szCs w:val="20"/>
        </w:rPr>
        <w:t xml:space="preserve">TIM-3,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T cell immunoglobulin and mucin domain 3;</w:t>
      </w:r>
      <w:r w:rsidRPr="00297730">
        <w:rPr>
          <w:rFonts w:ascii="Times New Roman" w:hAnsi="Times New Roman" w:hint="default"/>
          <w:sz w:val="20"/>
          <w:szCs w:val="20"/>
        </w:rPr>
        <w:t xml:space="preserve"> </w:t>
      </w:r>
      <w:proofErr w:type="spellStart"/>
      <w:r w:rsidRPr="00297730">
        <w:rPr>
          <w:rFonts w:ascii="Times New Roman" w:hAnsi="Times New Roman" w:hint="default"/>
          <w:sz w:val="20"/>
          <w:szCs w:val="20"/>
        </w:rPr>
        <w:t>CTLA</w:t>
      </w:r>
      <w:proofErr w:type="spellEnd"/>
      <w:r w:rsidRPr="00297730">
        <w:rPr>
          <w:rFonts w:ascii="Times New Roman" w:hAnsi="Times New Roman" w:hint="default"/>
          <w:sz w:val="20"/>
          <w:szCs w:val="20"/>
        </w:rPr>
        <w:t xml:space="preserve">-4, </w:t>
      </w:r>
      <w:r w:rsidRPr="00297730">
        <w:rPr>
          <w:rFonts w:ascii="Times New Roman" w:hAnsi="Times New Roman" w:hint="default"/>
          <w:b w:val="0"/>
          <w:bCs/>
          <w:sz w:val="20"/>
          <w:szCs w:val="20"/>
        </w:rPr>
        <w:t>Cytotoxic T lymphocyte-associated Antigen-4.</w:t>
      </w:r>
    </w:p>
    <w:p w14:paraId="36D71D52" w14:textId="77777777" w:rsidR="0014395F" w:rsidRPr="00297730" w:rsidRDefault="0014395F" w:rsidP="0014395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297730">
        <w:rPr>
          <w:rFonts w:ascii="Times New Roman" w:hAnsi="Times New Roman" w:cs="Times New Roman"/>
          <w:sz w:val="20"/>
          <w:szCs w:val="20"/>
        </w:rPr>
        <w:br w:type="page"/>
      </w:r>
    </w:p>
    <w:p w14:paraId="758C9373" w14:textId="77777777" w:rsidR="0014395F" w:rsidRPr="00297730" w:rsidRDefault="0014395F" w:rsidP="0014395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97730">
        <w:rPr>
          <w:rFonts w:ascii="Times New Roman" w:hAnsi="Times New Roman" w:cs="Times New Roman" w:hint="eastAsia"/>
          <w:sz w:val="20"/>
          <w:szCs w:val="20"/>
        </w:rPr>
        <w:lastRenderedPageBreak/>
        <w:t>Supplementary</w:t>
      </w:r>
      <w:r w:rsidRPr="00297730">
        <w:rPr>
          <w:rFonts w:ascii="Times New Roman" w:hAnsi="Times New Roman" w:cs="Times New Roman"/>
          <w:sz w:val="20"/>
          <w:szCs w:val="20"/>
        </w:rPr>
        <w:t xml:space="preserve"> Figure 1 The Kaplan-Meier overall survival curve of according to </w:t>
      </w:r>
      <w:proofErr w:type="spellStart"/>
      <w:r w:rsidRPr="00297730">
        <w:rPr>
          <w:rFonts w:ascii="Times New Roman" w:hAnsi="Times New Roman" w:cs="Times New Roman"/>
          <w:sz w:val="20"/>
          <w:szCs w:val="20"/>
        </w:rPr>
        <w:t>CXCL</w:t>
      </w:r>
      <w:proofErr w:type="spellEnd"/>
      <w:r w:rsidRPr="00297730">
        <w:rPr>
          <w:rFonts w:ascii="Times New Roman" w:hAnsi="Times New Roman" w:cs="Times New Roman"/>
          <w:sz w:val="20"/>
          <w:szCs w:val="20"/>
        </w:rPr>
        <w:t xml:space="preserve"> level in (A) cohort 1 and (B) cohort 2.</w:t>
      </w:r>
      <w:r w:rsidRPr="00297730">
        <w:rPr>
          <w:rFonts w:ascii="Times New Roman" w:hAnsi="Times New Roman" w:cs="Times New Roman"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D01999D" wp14:editId="316EF92C">
            <wp:simplePos x="0" y="0"/>
            <wp:positionH relativeFrom="column">
              <wp:posOffset>0</wp:posOffset>
            </wp:positionH>
            <wp:positionV relativeFrom="paragraph">
              <wp:posOffset>861060</wp:posOffset>
            </wp:positionV>
            <wp:extent cx="5731510" cy="2035810"/>
            <wp:effectExtent l="0" t="0" r="2540" b="254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0D1D0" w14:textId="77777777" w:rsidR="00BB7B29" w:rsidRDefault="00BB7B29"/>
    <w:sectPr w:rsidR="00BB7B29" w:rsidSect="008C7BBF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5F"/>
    <w:rsid w:val="0014395F"/>
    <w:rsid w:val="00B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4810"/>
  <w15:chartTrackingRefBased/>
  <w15:docId w15:val="{44C2B97D-10E7-4420-83D7-A29C518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5F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14395F"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395F"/>
    <w:rPr>
      <w:rFonts w:ascii="SimSun" w:eastAsia="SimSun" w:hAnsi="SimSun" w:cs="Times New Roman"/>
      <w:b/>
      <w:sz w:val="36"/>
      <w:szCs w:val="36"/>
      <w:lang w:eastAsia="zh-CN"/>
    </w:rPr>
  </w:style>
  <w:style w:type="table" w:styleId="TableGrid">
    <w:name w:val="Table Grid"/>
    <w:basedOn w:val="TableNormal"/>
    <w:qFormat/>
    <w:rsid w:val="0014395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4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http://www.dictall.com/indu/348/347249230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Scott</dc:creator>
  <cp:keywords/>
  <dc:description/>
  <cp:lastModifiedBy>Terri Scott</cp:lastModifiedBy>
  <cp:revision>1</cp:revision>
  <dcterms:created xsi:type="dcterms:W3CDTF">2021-02-24T16:03:00Z</dcterms:created>
  <dcterms:modified xsi:type="dcterms:W3CDTF">2021-02-24T16:03:00Z</dcterms:modified>
</cp:coreProperties>
</file>