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19443" w14:textId="05B7A5D0" w:rsidR="00994A3D" w:rsidRPr="001549D3" w:rsidRDefault="00D872FC" w:rsidP="007B3E0B">
      <w:pPr>
        <w:keepNext/>
        <w:rPr>
          <w:rFonts w:cs="Times New Roman"/>
          <w:szCs w:val="24"/>
        </w:rPr>
      </w:pPr>
      <w:r>
        <w:rPr>
          <w:noProof/>
        </w:rPr>
        <w:drawing>
          <wp:inline distT="0" distB="0" distL="0" distR="0" wp14:anchorId="033CA873" wp14:editId="4767BB32">
            <wp:extent cx="6208395" cy="6184900"/>
            <wp:effectExtent l="0" t="0" r="1905"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8395" cy="6184900"/>
                    </a:xfrm>
                    <a:prstGeom prst="rect">
                      <a:avLst/>
                    </a:prstGeom>
                    <a:noFill/>
                    <a:ln>
                      <a:noFill/>
                    </a:ln>
                  </pic:spPr>
                </pic:pic>
              </a:graphicData>
            </a:graphic>
          </wp:inline>
        </w:drawing>
      </w:r>
    </w:p>
    <w:p w14:paraId="3AE196DF" w14:textId="6FA7AFCF" w:rsidR="00994A3D" w:rsidRPr="007B3E0B" w:rsidRDefault="00994A3D" w:rsidP="007B3E0B">
      <w:pPr>
        <w:rPr>
          <w:rFonts w:cs="Times New Roman"/>
          <w:szCs w:val="24"/>
        </w:rPr>
      </w:pPr>
      <w:r w:rsidRPr="0001436A">
        <w:rPr>
          <w:rFonts w:cs="Times New Roman"/>
          <w:b/>
          <w:szCs w:val="24"/>
        </w:rPr>
        <w:t>Supplementary Figure</w:t>
      </w:r>
      <w:r w:rsidR="00D872FC">
        <w:rPr>
          <w:rFonts w:cs="Times New Roman"/>
          <w:b/>
          <w:szCs w:val="24"/>
        </w:rPr>
        <w:t xml:space="preserve"> 1</w:t>
      </w:r>
      <w:r w:rsidRPr="0001436A">
        <w:rPr>
          <w:rFonts w:cs="Times New Roman"/>
          <w:b/>
          <w:szCs w:val="24"/>
        </w:rPr>
        <w:t>.</w:t>
      </w:r>
      <w:r w:rsidRPr="001549D3">
        <w:rPr>
          <w:rFonts w:cs="Times New Roman"/>
          <w:szCs w:val="24"/>
        </w:rPr>
        <w:t xml:space="preserve"> </w:t>
      </w:r>
      <w:bookmarkStart w:id="0" w:name="_Hlk110632075"/>
      <w:r w:rsidR="00D872FC" w:rsidRPr="00EA7A2D">
        <w:rPr>
          <w:rFonts w:cs="Times New Roman"/>
          <w:szCs w:val="24"/>
        </w:rPr>
        <w:t>(A) Three outlier samples were removed to perform WGCNA. (B-E) β=4 (scale-free R2=0.91) as the optimal soft threshold to construct a scale-free network. (F-G) Fusing modules with dissimilarity less than 0.25, the dynamic tree-cutting method identified 14 gene co-expression modules. (H) The number of genes included in each module.</w:t>
      </w:r>
      <w:bookmarkEnd w:id="0"/>
    </w:p>
    <w:p w14:paraId="13005CCB" w14:textId="7F79A3B3" w:rsidR="00D872FC" w:rsidRPr="002B4A57" w:rsidRDefault="00D872FC" w:rsidP="00D872FC">
      <w:pPr>
        <w:keepNext/>
        <w:jc w:val="center"/>
        <w:rPr>
          <w:rFonts w:cs="Times New Roman"/>
          <w:b/>
          <w:szCs w:val="24"/>
        </w:rPr>
      </w:pPr>
      <w:r>
        <w:rPr>
          <w:noProof/>
        </w:rPr>
        <w:lastRenderedPageBreak/>
        <w:drawing>
          <wp:inline distT="0" distB="0" distL="0" distR="0" wp14:anchorId="22B60B2C" wp14:editId="7BEC5E3D">
            <wp:extent cx="6208395" cy="5301615"/>
            <wp:effectExtent l="0" t="0" r="19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8395" cy="5301615"/>
                    </a:xfrm>
                    <a:prstGeom prst="rect">
                      <a:avLst/>
                    </a:prstGeom>
                    <a:noFill/>
                    <a:ln>
                      <a:noFill/>
                    </a:ln>
                  </pic:spPr>
                </pic:pic>
              </a:graphicData>
            </a:graphic>
          </wp:inline>
        </w:drawing>
      </w:r>
    </w:p>
    <w:p w14:paraId="6595EE1B" w14:textId="18DE51CA" w:rsidR="00D872FC" w:rsidRPr="00EA7A2D" w:rsidRDefault="00D872FC" w:rsidP="00D872FC">
      <w:pPr>
        <w:rPr>
          <w:rFonts w:cs="Times New Roman"/>
          <w:szCs w:val="24"/>
        </w:rPr>
      </w:pPr>
      <w:r w:rsidRPr="0001436A">
        <w:rPr>
          <w:rFonts w:cs="Times New Roman"/>
          <w:b/>
          <w:szCs w:val="24"/>
        </w:rPr>
        <w:t>Supplementary Figure</w:t>
      </w:r>
      <w:r>
        <w:rPr>
          <w:rFonts w:cs="Times New Roman"/>
          <w:b/>
          <w:szCs w:val="24"/>
        </w:rPr>
        <w:t xml:space="preserve"> 2</w:t>
      </w:r>
      <w:r w:rsidRPr="0001436A">
        <w:rPr>
          <w:rFonts w:cs="Times New Roman"/>
          <w:b/>
          <w:szCs w:val="24"/>
        </w:rPr>
        <w:t>.</w:t>
      </w:r>
      <w:r w:rsidRPr="001549D3">
        <w:rPr>
          <w:rFonts w:cs="Times New Roman"/>
          <w:szCs w:val="24"/>
        </w:rPr>
        <w:t xml:space="preserve"> </w:t>
      </w:r>
      <w:bookmarkStart w:id="1" w:name="_Hlk110632120"/>
      <w:r w:rsidRPr="00EA7A2D">
        <w:rPr>
          <w:rFonts w:cs="Times New Roman"/>
          <w:szCs w:val="24"/>
        </w:rPr>
        <w:t>(A-C) GO, KEGG, REACTOME enrichment analysis of genes in PRKCB-high group in GSE17536 cohort.</w:t>
      </w:r>
      <w:bookmarkEnd w:id="1"/>
      <w:r w:rsidRPr="00EA7A2D">
        <w:rPr>
          <w:rFonts w:cs="Times New Roman"/>
          <w:szCs w:val="24"/>
        </w:rPr>
        <w:t xml:space="preserve"> </w:t>
      </w:r>
    </w:p>
    <w:p w14:paraId="43DC713A" w14:textId="77777777" w:rsidR="00D872FC" w:rsidRPr="00EA7A2D" w:rsidRDefault="00D872FC" w:rsidP="00D872FC">
      <w:pPr>
        <w:rPr>
          <w:rFonts w:cs="Times New Roman"/>
          <w:szCs w:val="24"/>
        </w:rPr>
      </w:pPr>
    </w:p>
    <w:p w14:paraId="0272269F" w14:textId="7CD0156F" w:rsidR="00D872FC" w:rsidRDefault="00D872FC" w:rsidP="00D872FC">
      <w:pPr>
        <w:rPr>
          <w:rFonts w:cs="Times New Roman"/>
          <w:szCs w:val="24"/>
        </w:rPr>
      </w:pPr>
    </w:p>
    <w:p w14:paraId="55D34480" w14:textId="24F7C209" w:rsidR="00D872FC" w:rsidRDefault="00D872FC" w:rsidP="00D872FC">
      <w:pPr>
        <w:rPr>
          <w:rFonts w:cs="Times New Roman"/>
          <w:szCs w:val="24"/>
        </w:rPr>
      </w:pPr>
    </w:p>
    <w:p w14:paraId="4FDB9D73" w14:textId="373417E0" w:rsidR="00D872FC" w:rsidRDefault="00D872FC" w:rsidP="00D872FC">
      <w:pPr>
        <w:rPr>
          <w:rFonts w:cs="Times New Roman"/>
          <w:szCs w:val="24"/>
        </w:rPr>
      </w:pPr>
    </w:p>
    <w:p w14:paraId="6484B0B5" w14:textId="517C02C5" w:rsidR="00D872FC" w:rsidRDefault="00D872FC" w:rsidP="00D872FC">
      <w:pPr>
        <w:rPr>
          <w:rFonts w:cs="Times New Roman"/>
          <w:szCs w:val="24"/>
        </w:rPr>
      </w:pPr>
    </w:p>
    <w:p w14:paraId="1D831271" w14:textId="4867287B" w:rsidR="00D872FC" w:rsidRDefault="00D872FC" w:rsidP="00D872FC">
      <w:pPr>
        <w:rPr>
          <w:rFonts w:cs="Times New Roman"/>
          <w:szCs w:val="24"/>
        </w:rPr>
      </w:pPr>
    </w:p>
    <w:p w14:paraId="3026A74A" w14:textId="58AF205C" w:rsidR="00D872FC" w:rsidRPr="00EA7A2D" w:rsidRDefault="00D872FC" w:rsidP="00D872FC">
      <w:pPr>
        <w:jc w:val="center"/>
        <w:rPr>
          <w:rFonts w:cs="Times New Roman"/>
          <w:szCs w:val="24"/>
        </w:rPr>
      </w:pPr>
      <w:r>
        <w:rPr>
          <w:noProof/>
        </w:rPr>
        <w:lastRenderedPageBreak/>
        <w:drawing>
          <wp:inline distT="0" distB="0" distL="0" distR="0" wp14:anchorId="2E635CDF" wp14:editId="4D719B51">
            <wp:extent cx="6208395" cy="8546465"/>
            <wp:effectExtent l="0" t="0" r="1905"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8395" cy="8546465"/>
                    </a:xfrm>
                    <a:prstGeom prst="rect">
                      <a:avLst/>
                    </a:prstGeom>
                    <a:noFill/>
                    <a:ln>
                      <a:noFill/>
                    </a:ln>
                  </pic:spPr>
                </pic:pic>
              </a:graphicData>
            </a:graphic>
          </wp:inline>
        </w:drawing>
      </w:r>
    </w:p>
    <w:p w14:paraId="7A12FA50" w14:textId="1A603E68" w:rsidR="00D872FC" w:rsidRDefault="00D872FC" w:rsidP="007B3E0B">
      <w:pPr>
        <w:rPr>
          <w:rFonts w:cs="Times New Roman"/>
          <w:szCs w:val="24"/>
        </w:rPr>
      </w:pPr>
      <w:r w:rsidRPr="0001436A">
        <w:rPr>
          <w:rFonts w:cs="Times New Roman"/>
          <w:b/>
          <w:szCs w:val="24"/>
        </w:rPr>
        <w:lastRenderedPageBreak/>
        <w:t>Supplementary Figure</w:t>
      </w:r>
      <w:r>
        <w:rPr>
          <w:rFonts w:cs="Times New Roman"/>
          <w:b/>
          <w:szCs w:val="24"/>
        </w:rPr>
        <w:t xml:space="preserve"> 3</w:t>
      </w:r>
      <w:r w:rsidRPr="0001436A">
        <w:rPr>
          <w:rFonts w:cs="Times New Roman"/>
          <w:b/>
          <w:szCs w:val="24"/>
        </w:rPr>
        <w:t>.</w:t>
      </w:r>
      <w:r w:rsidRPr="001549D3">
        <w:rPr>
          <w:rFonts w:cs="Times New Roman"/>
          <w:szCs w:val="24"/>
        </w:rPr>
        <w:t xml:space="preserve"> </w:t>
      </w:r>
      <w:bookmarkStart w:id="2" w:name="_Hlk110632159"/>
      <w:bookmarkStart w:id="3" w:name="_Hlk110633138"/>
      <w:r w:rsidRPr="00EA7A2D">
        <w:rPr>
          <w:rFonts w:cs="Times New Roman"/>
          <w:szCs w:val="24"/>
        </w:rPr>
        <w:t xml:space="preserve">(A-B) Differences in the expression of MHC between PRKCB-high and -low group and correlation between PRKCB and MHC in GSE17536 cohort. (C) Differences in the expression of chemokines and receptors between PRKCB-high and -low group in GSE17536 cohort. (D-E) Differences in the expression of </w:t>
      </w:r>
      <w:proofErr w:type="spellStart"/>
      <w:r w:rsidRPr="00EA7A2D">
        <w:rPr>
          <w:rFonts w:cs="Times New Roman"/>
          <w:szCs w:val="24"/>
        </w:rPr>
        <w:t>immunoinhibitors</w:t>
      </w:r>
      <w:proofErr w:type="spellEnd"/>
      <w:r w:rsidRPr="00EA7A2D">
        <w:rPr>
          <w:rFonts w:cs="Times New Roman"/>
          <w:szCs w:val="24"/>
        </w:rPr>
        <w:t xml:space="preserve"> between PRKCB-high and -low group; Correlation between PRKCB and </w:t>
      </w:r>
      <w:proofErr w:type="spellStart"/>
      <w:r w:rsidRPr="00EA7A2D">
        <w:rPr>
          <w:rFonts w:cs="Times New Roman"/>
          <w:szCs w:val="24"/>
        </w:rPr>
        <w:t>immunoinhibitors</w:t>
      </w:r>
      <w:proofErr w:type="spellEnd"/>
      <w:r w:rsidRPr="00EA7A2D">
        <w:rPr>
          <w:rFonts w:cs="Times New Roman"/>
          <w:szCs w:val="24"/>
        </w:rPr>
        <w:t xml:space="preserve"> in GSE17536 cohort. (F) Differences in the expression of costimulatory molecules between PRKCB-high and -low group in GSE17536 cohort. The color and the values denote the Spearman correlation coefficient. *p &lt; 0.05, **p ≤ 0.01, and ***p ≤ 0.001.</w:t>
      </w:r>
      <w:bookmarkEnd w:id="2"/>
      <w:bookmarkEnd w:id="3"/>
    </w:p>
    <w:p w14:paraId="70812DED" w14:textId="1AD7C605" w:rsidR="007B3E0B" w:rsidRDefault="007B3E0B" w:rsidP="007B3E0B">
      <w:pPr>
        <w:rPr>
          <w:rFonts w:cs="Times New Roman"/>
          <w:szCs w:val="24"/>
          <w:lang w:eastAsia="zh-CN"/>
        </w:rPr>
      </w:pPr>
    </w:p>
    <w:p w14:paraId="62D4712D" w14:textId="77777777" w:rsidR="007B3E0B" w:rsidRPr="007B3E0B" w:rsidRDefault="007B3E0B" w:rsidP="007B3E0B">
      <w:pPr>
        <w:rPr>
          <w:rFonts w:cs="Times New Roman" w:hint="eastAsia"/>
          <w:szCs w:val="24"/>
        </w:rPr>
      </w:pPr>
    </w:p>
    <w:p w14:paraId="079EF325" w14:textId="32B49A68" w:rsidR="00D872FC" w:rsidRDefault="00D872FC" w:rsidP="00654E8F">
      <w:pPr>
        <w:spacing w:before="240"/>
      </w:pPr>
      <w:r>
        <w:rPr>
          <w:noProof/>
        </w:rPr>
        <w:lastRenderedPageBreak/>
        <w:drawing>
          <wp:inline distT="0" distB="0" distL="0" distR="0" wp14:anchorId="38797BFE" wp14:editId="1A82A22B">
            <wp:extent cx="6208395" cy="6248400"/>
            <wp:effectExtent l="0" t="0" r="190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08395" cy="6248400"/>
                    </a:xfrm>
                    <a:prstGeom prst="rect">
                      <a:avLst/>
                    </a:prstGeom>
                    <a:noFill/>
                    <a:ln>
                      <a:noFill/>
                    </a:ln>
                  </pic:spPr>
                </pic:pic>
              </a:graphicData>
            </a:graphic>
          </wp:inline>
        </w:drawing>
      </w:r>
    </w:p>
    <w:p w14:paraId="5972131D" w14:textId="77777777" w:rsidR="007B3E0B" w:rsidRDefault="00D872FC" w:rsidP="00D872FC">
      <w:pPr>
        <w:rPr>
          <w:rFonts w:cs="Times New Roman"/>
          <w:szCs w:val="24"/>
        </w:rPr>
      </w:pPr>
      <w:r w:rsidRPr="009316EF">
        <w:rPr>
          <w:rFonts w:cs="Times New Roman"/>
          <w:b/>
          <w:szCs w:val="24"/>
        </w:rPr>
        <w:t>Supplementary Figure 4.</w:t>
      </w:r>
      <w:r w:rsidRPr="009316EF">
        <w:rPr>
          <w:rFonts w:cs="Times New Roman"/>
          <w:szCs w:val="24"/>
        </w:rPr>
        <w:t xml:space="preserve"> (A-D) Differences in ESTIMATE Score of GSE17536 cohort, Stromal Score, Immune Score, and Tumor Purity Score between PRKCB-high and -low group by means of the ESTIMATE package. (E-H) Correlation between PRKCB and scores including ESTIMATE Score, Stromal Score, Immune Score, and Tumor Purity Score in GSE17536 cohort applying the ESTIMATE package. (I) Rows denote immune cells, and columns represent samples (red: high infiltration level; blue: low infiltration level) in the clustering heatmap in GSE17536 cohort. (J) Correlation between TIICs (TIMER algorithm) and PRKCB expression level in GSE17536 cohort. The color and the values denote the Spearman correlation coefficient. *p &lt; 0.05, **p ≤ 0.01, and ***p ≤ 0.001.</w:t>
      </w:r>
    </w:p>
    <w:p w14:paraId="55944359" w14:textId="1D3EAAF9" w:rsidR="00D872FC" w:rsidRDefault="007B3E0B" w:rsidP="00D872FC">
      <w:pPr>
        <w:rPr>
          <w:rFonts w:cs="Times New Roman"/>
        </w:rPr>
      </w:pPr>
      <w:r>
        <w:rPr>
          <w:rFonts w:cs="Times New Roman"/>
          <w:noProof/>
        </w:rPr>
        <w:lastRenderedPageBreak/>
        <w:drawing>
          <wp:inline distT="0" distB="0" distL="0" distR="0" wp14:anchorId="1D4FEDFB" wp14:editId="32664157">
            <wp:extent cx="6208395" cy="1940560"/>
            <wp:effectExtent l="0" t="0" r="1905"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08395" cy="1940560"/>
                    </a:xfrm>
                    <a:prstGeom prst="rect">
                      <a:avLst/>
                    </a:prstGeom>
                  </pic:spPr>
                </pic:pic>
              </a:graphicData>
            </a:graphic>
          </wp:inline>
        </w:drawing>
      </w:r>
    </w:p>
    <w:p w14:paraId="0831CC75" w14:textId="7389282B" w:rsidR="007B3E0B" w:rsidRPr="009316EF" w:rsidRDefault="007B3E0B" w:rsidP="00D872FC">
      <w:pPr>
        <w:rPr>
          <w:rFonts w:cs="Times New Roman"/>
        </w:rPr>
      </w:pPr>
      <w:r w:rsidRPr="009316EF">
        <w:rPr>
          <w:rFonts w:cs="Times New Roman"/>
          <w:b/>
          <w:szCs w:val="24"/>
        </w:rPr>
        <w:t xml:space="preserve">Supplementary Figure </w:t>
      </w:r>
      <w:r>
        <w:rPr>
          <w:rFonts w:cs="Times New Roman" w:hint="eastAsia"/>
          <w:b/>
          <w:szCs w:val="24"/>
          <w:lang w:eastAsia="zh-CN"/>
        </w:rPr>
        <w:t>5</w:t>
      </w:r>
      <w:r w:rsidRPr="009316EF">
        <w:rPr>
          <w:rFonts w:cs="Times New Roman"/>
          <w:b/>
          <w:szCs w:val="24"/>
        </w:rPr>
        <w:t>.</w:t>
      </w:r>
      <w:r w:rsidR="00463679">
        <w:rPr>
          <w:rFonts w:cs="Times New Roman"/>
          <w:bCs/>
          <w:szCs w:val="24"/>
        </w:rPr>
        <w:t>T</w:t>
      </w:r>
      <w:r w:rsidR="00463679" w:rsidRPr="00463679">
        <w:rPr>
          <w:rFonts w:cs="Times New Roman"/>
          <w:bCs/>
          <w:szCs w:val="24"/>
        </w:rPr>
        <w:t xml:space="preserve">he high expression of PRKCB promotes the migration and infiltration of immune cells by regulating multiple steps of the tumor immune cycle. </w:t>
      </w:r>
    </w:p>
    <w:sectPr w:rsidR="007B3E0B" w:rsidRPr="009316EF" w:rsidSect="0093429D">
      <w:headerReference w:type="even" r:id="rId13"/>
      <w:footerReference w:type="even" r:id="rId14"/>
      <w:footerReference w:type="default" r:id="rId15"/>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A7191" w14:textId="77777777" w:rsidR="0028706C" w:rsidRDefault="0028706C" w:rsidP="00117666">
      <w:pPr>
        <w:spacing w:after="0"/>
      </w:pPr>
      <w:r>
        <w:separator/>
      </w:r>
    </w:p>
  </w:endnote>
  <w:endnote w:type="continuationSeparator" w:id="0">
    <w:p w14:paraId="604E6F99" w14:textId="77777777" w:rsidR="0028706C" w:rsidRDefault="0028706C"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0283A" w14:textId="77777777" w:rsidR="0028706C" w:rsidRDefault="0028706C" w:rsidP="00117666">
      <w:pPr>
        <w:spacing w:after="0"/>
      </w:pPr>
      <w:r>
        <w:separator/>
      </w:r>
    </w:p>
  </w:footnote>
  <w:footnote w:type="continuationSeparator" w:id="0">
    <w:p w14:paraId="32C0BC7D" w14:textId="77777777" w:rsidR="0028706C" w:rsidRDefault="0028706C"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538589832">
    <w:abstractNumId w:val="0"/>
  </w:num>
  <w:num w:numId="2" w16cid:durableId="1837721158">
    <w:abstractNumId w:val="4"/>
  </w:num>
  <w:num w:numId="3" w16cid:durableId="397635458">
    <w:abstractNumId w:val="1"/>
  </w:num>
  <w:num w:numId="4" w16cid:durableId="524952713">
    <w:abstractNumId w:val="5"/>
  </w:num>
  <w:num w:numId="5" w16cid:durableId="1153913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6784159">
    <w:abstractNumId w:val="3"/>
  </w:num>
  <w:num w:numId="7" w16cid:durableId="669872564">
    <w:abstractNumId w:val="6"/>
  </w:num>
  <w:num w:numId="8" w16cid:durableId="347871370">
    <w:abstractNumId w:val="6"/>
  </w:num>
  <w:num w:numId="9" w16cid:durableId="1760562813">
    <w:abstractNumId w:val="6"/>
  </w:num>
  <w:num w:numId="10" w16cid:durableId="67729408">
    <w:abstractNumId w:val="6"/>
  </w:num>
  <w:num w:numId="11" w16cid:durableId="1977492182">
    <w:abstractNumId w:val="6"/>
  </w:num>
  <w:num w:numId="12" w16cid:durableId="560215313">
    <w:abstractNumId w:val="6"/>
  </w:num>
  <w:num w:numId="13" w16cid:durableId="60104917">
    <w:abstractNumId w:val="3"/>
  </w:num>
  <w:num w:numId="14" w16cid:durableId="1181775195">
    <w:abstractNumId w:val="2"/>
  </w:num>
  <w:num w:numId="15" w16cid:durableId="866677361">
    <w:abstractNumId w:val="2"/>
  </w:num>
  <w:num w:numId="16" w16cid:durableId="71395142">
    <w:abstractNumId w:val="2"/>
  </w:num>
  <w:num w:numId="17" w16cid:durableId="1830560240">
    <w:abstractNumId w:val="2"/>
  </w:num>
  <w:num w:numId="18" w16cid:durableId="1407415389">
    <w:abstractNumId w:val="2"/>
  </w:num>
  <w:num w:numId="19" w16cid:durableId="466820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436A"/>
    <w:rsid w:val="00034304"/>
    <w:rsid w:val="00035434"/>
    <w:rsid w:val="00052A14"/>
    <w:rsid w:val="00077D53"/>
    <w:rsid w:val="00105FD9"/>
    <w:rsid w:val="00117666"/>
    <w:rsid w:val="001549D3"/>
    <w:rsid w:val="00160065"/>
    <w:rsid w:val="00177D84"/>
    <w:rsid w:val="00267D18"/>
    <w:rsid w:val="00274347"/>
    <w:rsid w:val="002868E2"/>
    <w:rsid w:val="002869C3"/>
    <w:rsid w:val="0028706C"/>
    <w:rsid w:val="002936E4"/>
    <w:rsid w:val="002B4A57"/>
    <w:rsid w:val="002C74CA"/>
    <w:rsid w:val="003123F4"/>
    <w:rsid w:val="003544FB"/>
    <w:rsid w:val="003D2F2D"/>
    <w:rsid w:val="00401590"/>
    <w:rsid w:val="00447801"/>
    <w:rsid w:val="00452E9C"/>
    <w:rsid w:val="00463679"/>
    <w:rsid w:val="004735C8"/>
    <w:rsid w:val="004947A6"/>
    <w:rsid w:val="004961FF"/>
    <w:rsid w:val="00517A89"/>
    <w:rsid w:val="005250F2"/>
    <w:rsid w:val="00593EEA"/>
    <w:rsid w:val="00595088"/>
    <w:rsid w:val="005A5EEE"/>
    <w:rsid w:val="006375C7"/>
    <w:rsid w:val="00654E8F"/>
    <w:rsid w:val="00660D05"/>
    <w:rsid w:val="006820B1"/>
    <w:rsid w:val="006B7D14"/>
    <w:rsid w:val="006D181E"/>
    <w:rsid w:val="00701727"/>
    <w:rsid w:val="0070566C"/>
    <w:rsid w:val="00714C50"/>
    <w:rsid w:val="00725A7D"/>
    <w:rsid w:val="007501BE"/>
    <w:rsid w:val="00790BB3"/>
    <w:rsid w:val="007B3E0B"/>
    <w:rsid w:val="007C206C"/>
    <w:rsid w:val="00817DD6"/>
    <w:rsid w:val="0083759F"/>
    <w:rsid w:val="00885156"/>
    <w:rsid w:val="009151AA"/>
    <w:rsid w:val="009316EF"/>
    <w:rsid w:val="0093429D"/>
    <w:rsid w:val="00943573"/>
    <w:rsid w:val="00964134"/>
    <w:rsid w:val="00970F7D"/>
    <w:rsid w:val="00994A3D"/>
    <w:rsid w:val="009C2B12"/>
    <w:rsid w:val="00A174D9"/>
    <w:rsid w:val="00AA4D24"/>
    <w:rsid w:val="00AB6715"/>
    <w:rsid w:val="00B1671E"/>
    <w:rsid w:val="00B25EB8"/>
    <w:rsid w:val="00B37F4D"/>
    <w:rsid w:val="00C52A7B"/>
    <w:rsid w:val="00C56BAF"/>
    <w:rsid w:val="00C679AA"/>
    <w:rsid w:val="00C75972"/>
    <w:rsid w:val="00CD066B"/>
    <w:rsid w:val="00CE4FEE"/>
    <w:rsid w:val="00D060CF"/>
    <w:rsid w:val="00D872FC"/>
    <w:rsid w:val="00DB59C3"/>
    <w:rsid w:val="00DC259A"/>
    <w:rsid w:val="00DE23E8"/>
    <w:rsid w:val="00E52377"/>
    <w:rsid w:val="00E537AD"/>
    <w:rsid w:val="00E64E17"/>
    <w:rsid w:val="00E866C9"/>
    <w:rsid w:val="00EA3D3C"/>
    <w:rsid w:val="00EC090A"/>
    <w:rsid w:val="00ED20B5"/>
    <w:rsid w:val="00F46900"/>
    <w:rsid w:val="00F61D89"/>
    <w:rsid w:val="00F94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0</TotalTime>
  <Pages>6</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793982251@qq.com</cp:lastModifiedBy>
  <cp:revision>2</cp:revision>
  <cp:lastPrinted>2013-10-03T12:51:00Z</cp:lastPrinted>
  <dcterms:created xsi:type="dcterms:W3CDTF">2022-11-18T13:56:00Z</dcterms:created>
  <dcterms:modified xsi:type="dcterms:W3CDTF">2022-11-18T13:56:00Z</dcterms:modified>
</cp:coreProperties>
</file>