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0922C2" w14:textId="77777777" w:rsidR="009332BA" w:rsidRPr="00E42E37" w:rsidRDefault="009332BA" w:rsidP="009332BA">
      <w:pPr>
        <w:widowControl/>
        <w:wordWrap/>
        <w:autoSpaceDE/>
        <w:autoSpaceDN/>
        <w:snapToGrid w:val="0"/>
        <w:spacing w:after="0" w:line="240" w:lineRule="auto"/>
        <w:jc w:val="left"/>
        <w:rPr>
          <w:rFonts w:cs="Times New Roman"/>
          <w:b/>
          <w:bCs/>
          <w:szCs w:val="24"/>
        </w:rPr>
      </w:pPr>
      <w:r w:rsidRPr="00E42E37">
        <w:rPr>
          <w:rFonts w:cs="Times New Roman"/>
          <w:b/>
          <w:bCs/>
          <w:szCs w:val="24"/>
        </w:rPr>
        <w:t>Additional Files</w:t>
      </w:r>
    </w:p>
    <w:p w14:paraId="3487633D" w14:textId="77777777" w:rsidR="009332BA" w:rsidRPr="00E42E37" w:rsidRDefault="009332BA" w:rsidP="009332BA">
      <w:pPr>
        <w:wordWrap/>
        <w:snapToGrid w:val="0"/>
        <w:spacing w:after="0" w:line="240" w:lineRule="auto"/>
        <w:jc w:val="left"/>
        <w:rPr>
          <w:rFonts w:cs="Times New Roman"/>
          <w:b/>
          <w:bCs/>
          <w:szCs w:val="24"/>
        </w:rPr>
      </w:pPr>
      <w:r w:rsidRPr="00E42E37">
        <w:rPr>
          <w:rFonts w:cs="Times New Roman"/>
          <w:b/>
          <w:bCs/>
          <w:szCs w:val="24"/>
        </w:rPr>
        <w:t xml:space="preserve">Additional File 1. </w:t>
      </w:r>
      <w:r w:rsidRPr="00E42E37">
        <w:rPr>
          <w:rFonts w:cs="Times New Roman"/>
          <w:szCs w:val="24"/>
        </w:rPr>
        <w:t>Supplemental Data and Methods.</w:t>
      </w:r>
    </w:p>
    <w:p w14:paraId="48F6F141" w14:textId="77777777" w:rsidR="009332BA" w:rsidRPr="00E42E37" w:rsidRDefault="009332BA" w:rsidP="009332BA">
      <w:pPr>
        <w:wordWrap/>
        <w:snapToGrid w:val="0"/>
        <w:spacing w:after="0" w:line="240" w:lineRule="auto"/>
        <w:jc w:val="left"/>
        <w:rPr>
          <w:rFonts w:cs="Times New Roman"/>
          <w:szCs w:val="24"/>
        </w:rPr>
      </w:pPr>
      <w:r w:rsidRPr="00E42E37">
        <w:rPr>
          <w:rFonts w:cs="Times New Roman"/>
          <w:b/>
          <w:bCs/>
          <w:szCs w:val="24"/>
        </w:rPr>
        <w:t xml:space="preserve">Additional File 2, Figure S1. </w:t>
      </w:r>
      <w:r w:rsidRPr="00E42E37">
        <w:rPr>
          <w:rFonts w:cs="Times New Roman"/>
          <w:szCs w:val="24"/>
        </w:rPr>
        <w:t>Molecular subtype evaluation using six lung cancer cohorts (n = 1587). (A) Overall survival plots for each molecular subtype according to the subtype gene signature score. High and low groups were selected from the upper and lower quartiles. P-values and hazard ratios (HRs) were calculated using the log-rank test and Cox model. (B) HR forest plots for each subtype across six lung cancer cohorts.</w:t>
      </w:r>
    </w:p>
    <w:p w14:paraId="44921923" w14:textId="77777777" w:rsidR="009332BA" w:rsidRPr="00E42E37" w:rsidRDefault="009332BA" w:rsidP="009332BA">
      <w:pPr>
        <w:wordWrap/>
        <w:snapToGrid w:val="0"/>
        <w:spacing w:after="0" w:line="240" w:lineRule="auto"/>
        <w:jc w:val="left"/>
        <w:rPr>
          <w:rFonts w:cs="Times New Roman"/>
          <w:szCs w:val="24"/>
        </w:rPr>
      </w:pPr>
      <w:r w:rsidRPr="00E42E37">
        <w:rPr>
          <w:rFonts w:cs="Times New Roman"/>
          <w:b/>
          <w:bCs/>
          <w:szCs w:val="24"/>
        </w:rPr>
        <w:t>Additional File 2, Figure S2.</w:t>
      </w:r>
      <w:r w:rsidRPr="00E42E37">
        <w:rPr>
          <w:rFonts w:cs="Times New Roman"/>
          <w:szCs w:val="24"/>
        </w:rPr>
        <w:t xml:space="preserve"> Co-occurrent mutation case investigation. (A) Significant co-mutation pairs extracted using the Fisher’s exact test (recurrence &gt; 5%). (B) The status of </w:t>
      </w:r>
      <w:r w:rsidRPr="00E42E37">
        <w:rPr>
          <w:rFonts w:cs="Times New Roman"/>
          <w:i/>
          <w:iCs/>
          <w:szCs w:val="24"/>
        </w:rPr>
        <w:t>RB1</w:t>
      </w:r>
      <w:r w:rsidRPr="00E42E37">
        <w:rPr>
          <w:rFonts w:cs="Times New Roman"/>
          <w:szCs w:val="24"/>
        </w:rPr>
        <w:t>/</w:t>
      </w:r>
      <w:r w:rsidRPr="00E42E37">
        <w:rPr>
          <w:rFonts w:cs="Times New Roman"/>
          <w:i/>
          <w:iCs/>
          <w:szCs w:val="24"/>
        </w:rPr>
        <w:t>TP53</w:t>
      </w:r>
      <w:r w:rsidRPr="00E42E37">
        <w:rPr>
          <w:rFonts w:cs="Times New Roman"/>
          <w:szCs w:val="24"/>
        </w:rPr>
        <w:t xml:space="preserve"> mutation and SCLC type.</w:t>
      </w:r>
    </w:p>
    <w:p w14:paraId="33DB3B57" w14:textId="77777777" w:rsidR="009332BA" w:rsidRPr="00E42E37" w:rsidRDefault="009332BA" w:rsidP="009332BA">
      <w:pPr>
        <w:wordWrap/>
        <w:snapToGrid w:val="0"/>
        <w:spacing w:after="0" w:line="240" w:lineRule="auto"/>
        <w:jc w:val="left"/>
        <w:rPr>
          <w:rFonts w:cs="Times New Roman"/>
          <w:szCs w:val="24"/>
        </w:rPr>
      </w:pPr>
      <w:r w:rsidRPr="00E42E37">
        <w:rPr>
          <w:rFonts w:cs="Times New Roman"/>
          <w:b/>
          <w:bCs/>
          <w:szCs w:val="24"/>
        </w:rPr>
        <w:t xml:space="preserve">Additional File 2, Figure S3. </w:t>
      </w:r>
      <w:r w:rsidRPr="00E42E37">
        <w:rPr>
          <w:rFonts w:cs="Times New Roman"/>
          <w:szCs w:val="24"/>
        </w:rPr>
        <w:t>Heatmap of DEGs between SCLC and NSCLC. The rows of the heatmap are the samples and the columns show the genes. Genes were extracted using limma (adjusted</w:t>
      </w:r>
      <w:r w:rsidRPr="00E42E37">
        <w:rPr>
          <w:rFonts w:eastAsia="Malgun Gothic" w:cs="Times New Roman"/>
          <w:szCs w:val="24"/>
        </w:rPr>
        <w:t xml:space="preserve"> </w:t>
      </w:r>
      <w:r w:rsidRPr="00E42E37">
        <w:rPr>
          <w:rFonts w:cs="Times New Roman"/>
          <w:i/>
          <w:iCs/>
          <w:szCs w:val="24"/>
        </w:rPr>
        <w:t xml:space="preserve">P </w:t>
      </w:r>
      <w:r w:rsidRPr="00E42E37">
        <w:rPr>
          <w:rFonts w:cs="Times New Roman"/>
          <w:szCs w:val="24"/>
        </w:rPr>
        <w:t xml:space="preserve">&lt; 0.005, |log2 FC| &gt; 0.5) and </w:t>
      </w:r>
      <w:r w:rsidRPr="00E42E37">
        <w:rPr>
          <w:rFonts w:eastAsia="Malgun Gothic" w:cs="Times New Roman"/>
          <w:szCs w:val="24"/>
        </w:rPr>
        <w:t xml:space="preserve">the </w:t>
      </w:r>
      <w:r w:rsidRPr="00E42E37">
        <w:rPr>
          <w:rFonts w:cs="Times New Roman"/>
          <w:szCs w:val="24"/>
        </w:rPr>
        <w:t xml:space="preserve">GSEA </w:t>
      </w:r>
      <w:r w:rsidRPr="00E42E37">
        <w:rPr>
          <w:rFonts w:eastAsia="Malgun Gothic" w:cs="Times New Roman"/>
          <w:szCs w:val="24"/>
        </w:rPr>
        <w:t>results</w:t>
      </w:r>
      <w:r w:rsidRPr="00E42E37">
        <w:rPr>
          <w:rFonts w:cs="Times New Roman"/>
          <w:szCs w:val="24"/>
        </w:rPr>
        <w:t xml:space="preserve"> (Table S3, Additional File 5) </w:t>
      </w:r>
      <w:r w:rsidRPr="00E42E37">
        <w:rPr>
          <w:rFonts w:eastAsia="Malgun Gothic" w:cs="Times New Roman"/>
          <w:szCs w:val="24"/>
        </w:rPr>
        <w:t>are</w:t>
      </w:r>
      <w:r w:rsidRPr="00E42E37">
        <w:rPr>
          <w:rFonts w:cs="Times New Roman"/>
          <w:szCs w:val="24"/>
        </w:rPr>
        <w:t xml:space="preserve"> summarized on </w:t>
      </w:r>
      <w:r w:rsidRPr="00E42E37">
        <w:rPr>
          <w:rFonts w:eastAsia="Malgun Gothic" w:cs="Times New Roman"/>
          <w:szCs w:val="24"/>
        </w:rPr>
        <w:t xml:space="preserve">the </w:t>
      </w:r>
      <w:r w:rsidRPr="00E42E37">
        <w:rPr>
          <w:rFonts w:cs="Times New Roman"/>
          <w:szCs w:val="24"/>
        </w:rPr>
        <w:t>left.</w:t>
      </w:r>
    </w:p>
    <w:p w14:paraId="7C805A75" w14:textId="77777777" w:rsidR="009332BA" w:rsidRPr="00E42E37" w:rsidRDefault="009332BA" w:rsidP="009332BA">
      <w:pPr>
        <w:wordWrap/>
        <w:snapToGrid w:val="0"/>
        <w:spacing w:after="0" w:line="240" w:lineRule="auto"/>
        <w:jc w:val="left"/>
        <w:rPr>
          <w:rFonts w:cs="Times New Roman"/>
          <w:szCs w:val="24"/>
        </w:rPr>
      </w:pPr>
      <w:r w:rsidRPr="00E42E37">
        <w:rPr>
          <w:rFonts w:cs="Times New Roman"/>
          <w:b/>
          <w:bCs/>
          <w:szCs w:val="24"/>
        </w:rPr>
        <w:t>Additional File 2, Figure S4.</w:t>
      </w:r>
      <w:r w:rsidRPr="00E42E37">
        <w:rPr>
          <w:rFonts w:cs="Times New Roman"/>
          <w:szCs w:val="24"/>
        </w:rPr>
        <w:t xml:space="preserve"> Validation of</w:t>
      </w:r>
      <w:r w:rsidRPr="00E42E37">
        <w:rPr>
          <w:rFonts w:eastAsia="Malgun Gothic" w:cs="Times New Roman"/>
          <w:szCs w:val="24"/>
        </w:rPr>
        <w:t xml:space="preserve"> the</w:t>
      </w:r>
      <w:r w:rsidRPr="00E42E37">
        <w:rPr>
          <w:rFonts w:cs="Times New Roman"/>
          <w:szCs w:val="24"/>
        </w:rPr>
        <w:t xml:space="preserve"> correlation of </w:t>
      </w:r>
      <w:r w:rsidRPr="00E42E37">
        <w:rPr>
          <w:rFonts w:cs="Times New Roman"/>
          <w:i/>
          <w:iCs/>
          <w:szCs w:val="24"/>
        </w:rPr>
        <w:t>FOXM1</w:t>
      </w:r>
      <w:r w:rsidRPr="00E42E37">
        <w:rPr>
          <w:rFonts w:cs="Times New Roman"/>
          <w:szCs w:val="24"/>
        </w:rPr>
        <w:t xml:space="preserve"> expression and AZD7762 sensitivity in H209 cells. (A) The protein </w:t>
      </w:r>
      <w:r w:rsidRPr="00E42E37">
        <w:rPr>
          <w:rFonts w:eastAsia="Malgun Gothic" w:cs="Times New Roman"/>
          <w:szCs w:val="24"/>
        </w:rPr>
        <w:t>levels</w:t>
      </w:r>
      <w:r w:rsidRPr="00E42E37">
        <w:rPr>
          <w:rFonts w:cs="Times New Roman"/>
          <w:szCs w:val="24"/>
        </w:rPr>
        <w:t xml:space="preserve"> of FOXM1 and β-actin in </w:t>
      </w:r>
      <w:r w:rsidRPr="00E42E37">
        <w:rPr>
          <w:rFonts w:eastAsia="Malgun Gothic" w:cs="Times New Roman"/>
          <w:szCs w:val="24"/>
        </w:rPr>
        <w:t>siRNA-</w:t>
      </w:r>
      <w:r w:rsidRPr="00E42E37">
        <w:rPr>
          <w:rFonts w:cs="Times New Roman"/>
          <w:szCs w:val="24"/>
        </w:rPr>
        <w:t>transfected H209 cells (siFOXM1-#6, #7) analyzed using western blotting. Ctrl represents</w:t>
      </w:r>
      <w:r w:rsidRPr="00E42E37">
        <w:rPr>
          <w:rFonts w:eastAsia="Malgun Gothic" w:cs="Times New Roman"/>
          <w:szCs w:val="24"/>
        </w:rPr>
        <w:t xml:space="preserve"> the</w:t>
      </w:r>
      <w:r w:rsidRPr="00E42E37">
        <w:rPr>
          <w:rFonts w:cs="Times New Roman"/>
          <w:szCs w:val="24"/>
        </w:rPr>
        <w:t xml:space="preserve"> control. H209 cells transfected with siRNAs were incubated for 48 h. (B) After incubation, the cells were analyzed using flow cytometry to evaluate the DNA content. Representative DNA </w:t>
      </w:r>
      <w:r w:rsidRPr="00E42E37">
        <w:rPr>
          <w:rFonts w:eastAsia="Malgun Gothic" w:cs="Times New Roman"/>
          <w:szCs w:val="24"/>
        </w:rPr>
        <w:t>content</w:t>
      </w:r>
      <w:r w:rsidRPr="00E42E37">
        <w:rPr>
          <w:rFonts w:cs="Times New Roman"/>
          <w:szCs w:val="24"/>
        </w:rPr>
        <w:t xml:space="preserve"> profiles from three independent experiments are shown.</w:t>
      </w:r>
      <w:r w:rsidRPr="00E42E37">
        <w:rPr>
          <w:rFonts w:eastAsia="Malgun Gothic" w:cs="Times New Roman"/>
          <w:szCs w:val="24"/>
        </w:rPr>
        <w:t xml:space="preserve"> The graphs show the</w:t>
      </w:r>
      <w:r w:rsidRPr="00E42E37">
        <w:rPr>
          <w:rFonts w:cs="Times New Roman"/>
          <w:szCs w:val="24"/>
        </w:rPr>
        <w:t xml:space="preserve"> proportion of</w:t>
      </w:r>
      <w:r w:rsidRPr="00E42E37">
        <w:rPr>
          <w:rFonts w:eastAsia="Malgun Gothic" w:cs="Times New Roman"/>
          <w:szCs w:val="24"/>
        </w:rPr>
        <w:t xml:space="preserve"> cells in each</w:t>
      </w:r>
      <w:r w:rsidRPr="00E42E37">
        <w:rPr>
          <w:rFonts w:cs="Times New Roman"/>
          <w:szCs w:val="24"/>
        </w:rPr>
        <w:t xml:space="preserve"> cell cycle phase. (C) Drug response curve </w:t>
      </w:r>
      <w:r w:rsidRPr="00E42E37">
        <w:rPr>
          <w:rFonts w:eastAsia="Malgun Gothic" w:cs="Times New Roman"/>
          <w:szCs w:val="24"/>
        </w:rPr>
        <w:t>of</w:t>
      </w:r>
      <w:r w:rsidRPr="00E42E37">
        <w:rPr>
          <w:rFonts w:cs="Times New Roman"/>
          <w:szCs w:val="24"/>
        </w:rPr>
        <w:t xml:space="preserve"> siRNA</w:t>
      </w:r>
      <w:r w:rsidRPr="00E42E37">
        <w:rPr>
          <w:rFonts w:eastAsia="Malgun Gothic" w:cs="Times New Roman"/>
          <w:szCs w:val="24"/>
        </w:rPr>
        <w:t>-</w:t>
      </w:r>
      <w:r w:rsidRPr="00E42E37">
        <w:rPr>
          <w:rFonts w:cs="Times New Roman"/>
          <w:szCs w:val="24"/>
        </w:rPr>
        <w:t xml:space="preserve">transfected H209 cells treated with AZD7762 (x-axis). The area under the receiver operating characteristic curve (AUC) values of </w:t>
      </w:r>
      <w:r w:rsidRPr="00E42E37">
        <w:rPr>
          <w:rFonts w:eastAsia="Malgun Gothic" w:cs="Times New Roman"/>
          <w:szCs w:val="24"/>
        </w:rPr>
        <w:t xml:space="preserve">AZD7762 in </w:t>
      </w:r>
      <w:r w:rsidRPr="00E42E37">
        <w:rPr>
          <w:rFonts w:cs="Times New Roman"/>
          <w:szCs w:val="24"/>
        </w:rPr>
        <w:t>siRNA</w:t>
      </w:r>
      <w:r w:rsidRPr="00E42E37">
        <w:rPr>
          <w:rFonts w:eastAsia="Malgun Gothic" w:cs="Times New Roman"/>
          <w:szCs w:val="24"/>
        </w:rPr>
        <w:t>-</w:t>
      </w:r>
      <w:r w:rsidRPr="00E42E37">
        <w:rPr>
          <w:rFonts w:cs="Times New Roman"/>
          <w:szCs w:val="24"/>
        </w:rPr>
        <w:t xml:space="preserve">transfected cells are shown in </w:t>
      </w:r>
      <w:r w:rsidRPr="00E42E37">
        <w:rPr>
          <w:rFonts w:eastAsia="Malgun Gothic" w:cs="Times New Roman"/>
          <w:szCs w:val="24"/>
        </w:rPr>
        <w:t xml:space="preserve">the </w:t>
      </w:r>
      <w:r w:rsidRPr="00E42E37">
        <w:rPr>
          <w:rFonts w:cs="Times New Roman"/>
          <w:szCs w:val="24"/>
        </w:rPr>
        <w:t xml:space="preserve">panel. All experiments were performed </w:t>
      </w:r>
      <w:r w:rsidRPr="00E42E37">
        <w:rPr>
          <w:rFonts w:eastAsia="Malgun Gothic" w:cs="Times New Roman"/>
          <w:szCs w:val="24"/>
        </w:rPr>
        <w:t>in quadruplicate</w:t>
      </w:r>
      <w:r w:rsidRPr="00E42E37">
        <w:rPr>
          <w:rFonts w:cs="Times New Roman"/>
          <w:szCs w:val="24"/>
        </w:rPr>
        <w:t>. The values represent the mean ±</w:t>
      </w:r>
      <w:r w:rsidRPr="00E42E37">
        <w:rPr>
          <w:rFonts w:eastAsia="Malgun Gothic" w:cs="Times New Roman"/>
          <w:szCs w:val="24"/>
        </w:rPr>
        <w:t xml:space="preserve"> SEM (Student’s </w:t>
      </w:r>
      <w:r w:rsidRPr="00E42E37">
        <w:rPr>
          <w:rFonts w:eastAsia="Malgun Gothic" w:cs="Times New Roman"/>
          <w:i/>
          <w:szCs w:val="24"/>
        </w:rPr>
        <w:t>t-</w:t>
      </w:r>
      <w:r w:rsidRPr="00E42E37">
        <w:rPr>
          <w:rFonts w:eastAsia="Malgun Gothic" w:cs="Times New Roman"/>
          <w:iCs/>
          <w:szCs w:val="24"/>
        </w:rPr>
        <w:t>test</w:t>
      </w:r>
      <w:r w:rsidRPr="00E42E37">
        <w:rPr>
          <w:rFonts w:eastAsia="Malgun Gothic" w:cs="Times New Roman"/>
          <w:szCs w:val="24"/>
        </w:rPr>
        <w:t>, *</w:t>
      </w:r>
      <w:r w:rsidRPr="00E42E37">
        <w:rPr>
          <w:rFonts w:eastAsia="Malgun Gothic" w:cs="Times New Roman"/>
          <w:i/>
          <w:szCs w:val="24"/>
        </w:rPr>
        <w:t xml:space="preserve">P </w:t>
      </w:r>
      <w:r w:rsidRPr="00E42E37">
        <w:rPr>
          <w:rFonts w:eastAsia="Malgun Gothic" w:cs="Times New Roman"/>
          <w:szCs w:val="24"/>
        </w:rPr>
        <w:t>&lt; 0.05; ***</w:t>
      </w:r>
      <w:r w:rsidRPr="00E42E37">
        <w:rPr>
          <w:rFonts w:eastAsia="Malgun Gothic" w:cs="Times New Roman"/>
          <w:i/>
          <w:szCs w:val="24"/>
        </w:rPr>
        <w:t xml:space="preserve">P </w:t>
      </w:r>
      <w:r w:rsidRPr="00E42E37">
        <w:rPr>
          <w:rFonts w:eastAsia="Malgun Gothic" w:cs="Times New Roman"/>
          <w:szCs w:val="24"/>
        </w:rPr>
        <w:t>&lt; 0.001).</w:t>
      </w:r>
    </w:p>
    <w:p w14:paraId="631B433F" w14:textId="77777777" w:rsidR="009332BA" w:rsidRPr="00E42E37" w:rsidRDefault="009332BA" w:rsidP="009332BA">
      <w:pPr>
        <w:wordWrap/>
        <w:snapToGrid w:val="0"/>
        <w:spacing w:after="0" w:line="240" w:lineRule="auto"/>
        <w:jc w:val="left"/>
        <w:rPr>
          <w:rFonts w:cs="Times New Roman"/>
          <w:szCs w:val="24"/>
        </w:rPr>
      </w:pPr>
      <w:r w:rsidRPr="00E42E37">
        <w:rPr>
          <w:rFonts w:cs="Times New Roman"/>
          <w:b/>
          <w:bCs/>
          <w:szCs w:val="24"/>
        </w:rPr>
        <w:t xml:space="preserve">Additional File 2, Figure S5. </w:t>
      </w:r>
      <w:r w:rsidRPr="00E42E37">
        <w:rPr>
          <w:rFonts w:cs="Times New Roman"/>
          <w:szCs w:val="24"/>
        </w:rPr>
        <w:t xml:space="preserve">Pathway </w:t>
      </w:r>
      <w:r w:rsidRPr="00E42E37">
        <w:rPr>
          <w:rFonts w:eastAsia="Malgun Gothic" w:cs="Times New Roman"/>
          <w:szCs w:val="24"/>
        </w:rPr>
        <w:t>score</w:t>
      </w:r>
      <w:r w:rsidRPr="00E42E37">
        <w:rPr>
          <w:rFonts w:cs="Times New Roman"/>
          <w:szCs w:val="24"/>
        </w:rPr>
        <w:t xml:space="preserve"> bar plots of six EGFR-TKI resistance signatures according to four EGFR-TKI therapeutic groups. The numbers on each bar plot indicate the </w:t>
      </w:r>
      <w:r w:rsidRPr="00E42E37">
        <w:rPr>
          <w:rFonts w:cs="Times New Roman"/>
          <w:i/>
          <w:iCs/>
          <w:szCs w:val="24"/>
        </w:rPr>
        <w:t xml:space="preserve">P </w:t>
      </w:r>
      <w:r w:rsidRPr="00E42E37">
        <w:rPr>
          <w:rFonts w:cs="Times New Roman"/>
          <w:szCs w:val="24"/>
        </w:rPr>
        <w:t xml:space="preserve">values obtained using </w:t>
      </w:r>
      <w:r w:rsidRPr="00E42E37">
        <w:rPr>
          <w:rFonts w:eastAsia="Malgun Gothic" w:cs="Times New Roman"/>
          <w:szCs w:val="24"/>
        </w:rPr>
        <w:t>the Wilcoxon</w:t>
      </w:r>
      <w:r w:rsidRPr="00E42E37">
        <w:rPr>
          <w:rFonts w:cs="Times New Roman"/>
          <w:szCs w:val="24"/>
        </w:rPr>
        <w:t xml:space="preserve"> rank-sum test.</w:t>
      </w:r>
    </w:p>
    <w:p w14:paraId="27EFB4C2" w14:textId="77777777" w:rsidR="009332BA" w:rsidRPr="00E42E37" w:rsidRDefault="009332BA" w:rsidP="009332BA">
      <w:pPr>
        <w:wordWrap/>
        <w:snapToGrid w:val="0"/>
        <w:spacing w:after="0" w:line="240" w:lineRule="auto"/>
        <w:jc w:val="left"/>
        <w:rPr>
          <w:rFonts w:cs="Times New Roman"/>
          <w:szCs w:val="24"/>
        </w:rPr>
      </w:pPr>
      <w:r w:rsidRPr="00E42E37">
        <w:rPr>
          <w:rFonts w:cs="Times New Roman"/>
          <w:b/>
          <w:bCs/>
          <w:szCs w:val="24"/>
        </w:rPr>
        <w:t>Additional File 2, Figure S6.</w:t>
      </w:r>
      <w:r w:rsidRPr="00E42E37">
        <w:rPr>
          <w:rFonts w:cs="Times New Roman"/>
          <w:szCs w:val="24"/>
        </w:rPr>
        <w:t xml:space="preserve"> Drug candidates extracted from EGFR-TKI group PDCs (n = 27) and extended EGFR PDCs (n = 70). (A) Volcano plots for EGFR-TKI groups of two datasets. </w:t>
      </w:r>
      <w:r w:rsidRPr="00E42E37">
        <w:rPr>
          <w:rFonts w:eastAsia="Malgun Gothic" w:cs="Times New Roman"/>
          <w:szCs w:val="24"/>
        </w:rPr>
        <w:t xml:space="preserve">The </w:t>
      </w:r>
      <w:r w:rsidRPr="00E42E37">
        <w:rPr>
          <w:rFonts w:cs="Times New Roman"/>
          <w:szCs w:val="24"/>
        </w:rPr>
        <w:t xml:space="preserve">x-axis </w:t>
      </w:r>
      <w:r w:rsidRPr="00E42E37">
        <w:rPr>
          <w:rFonts w:eastAsia="Malgun Gothic" w:cs="Times New Roman"/>
          <w:szCs w:val="24"/>
        </w:rPr>
        <w:t>indicates the</w:t>
      </w:r>
      <w:r w:rsidRPr="00E42E37">
        <w:rPr>
          <w:rFonts w:cs="Times New Roman"/>
          <w:szCs w:val="24"/>
        </w:rPr>
        <w:t xml:space="preserve"> log</w:t>
      </w:r>
      <w:r w:rsidRPr="00E42E37">
        <w:rPr>
          <w:rFonts w:cs="Times New Roman"/>
          <w:szCs w:val="24"/>
          <w:vertAlign w:val="subscript"/>
        </w:rPr>
        <w:t>2</w:t>
      </w:r>
      <w:r w:rsidRPr="00E42E37">
        <w:rPr>
          <w:rFonts w:eastAsia="Malgun Gothic" w:cs="Times New Roman"/>
          <w:szCs w:val="24"/>
        </w:rPr>
        <w:t>-</w:t>
      </w:r>
      <w:r w:rsidRPr="00E42E37">
        <w:rPr>
          <w:rFonts w:cs="Times New Roman"/>
          <w:szCs w:val="24"/>
        </w:rPr>
        <w:t xml:space="preserve">fold change between drug responses and </w:t>
      </w:r>
      <w:r w:rsidRPr="00E42E37">
        <w:rPr>
          <w:rFonts w:eastAsia="Malgun Gothic" w:cs="Times New Roman"/>
          <w:szCs w:val="24"/>
        </w:rPr>
        <w:t xml:space="preserve">the </w:t>
      </w:r>
      <w:r w:rsidRPr="00E42E37">
        <w:rPr>
          <w:rFonts w:cs="Times New Roman"/>
          <w:szCs w:val="24"/>
        </w:rPr>
        <w:t xml:space="preserve">y-axis shows </w:t>
      </w:r>
      <w:r w:rsidRPr="00E42E37">
        <w:rPr>
          <w:rFonts w:eastAsia="Malgun Gothic" w:cs="Times New Roman"/>
          <w:szCs w:val="24"/>
        </w:rPr>
        <w:t xml:space="preserve">the </w:t>
      </w:r>
      <w:r w:rsidRPr="00E42E37">
        <w:rPr>
          <w:rFonts w:cs="Times New Roman"/>
          <w:szCs w:val="24"/>
        </w:rPr>
        <w:t xml:space="preserve">log-scale adjusted </w:t>
      </w:r>
      <w:r w:rsidRPr="00E42E37">
        <w:rPr>
          <w:rFonts w:cs="Times New Roman"/>
          <w:i/>
          <w:iCs/>
          <w:szCs w:val="24"/>
        </w:rPr>
        <w:t>P-</w:t>
      </w:r>
      <w:r w:rsidRPr="00E42E37">
        <w:rPr>
          <w:rFonts w:cs="Times New Roman"/>
          <w:szCs w:val="24"/>
        </w:rPr>
        <w:t xml:space="preserve">value. Red circles </w:t>
      </w:r>
      <w:r w:rsidRPr="00E42E37">
        <w:rPr>
          <w:rFonts w:eastAsia="Malgun Gothic" w:cs="Times New Roman"/>
          <w:szCs w:val="24"/>
        </w:rPr>
        <w:t>indicate sensitivity</w:t>
      </w:r>
      <w:r w:rsidRPr="00E42E37">
        <w:rPr>
          <w:rFonts w:cs="Times New Roman"/>
          <w:szCs w:val="24"/>
        </w:rPr>
        <w:t xml:space="preserve"> whereas blue circles indicate resistance. (B) Bar plots for etoposide and XAV939 AUC in both datasets.</w:t>
      </w:r>
      <w:r w:rsidRPr="00E42E37">
        <w:rPr>
          <w:rFonts w:eastAsia="Malgun Gothic" w:cs="Times New Roman"/>
          <w:szCs w:val="24"/>
        </w:rPr>
        <w:t xml:space="preserve"> The</w:t>
      </w:r>
      <w:r w:rsidRPr="00E42E37">
        <w:rPr>
          <w:rFonts w:cs="Times New Roman"/>
          <w:szCs w:val="24"/>
        </w:rPr>
        <w:t xml:space="preserve"> x-axis </w:t>
      </w:r>
      <w:r w:rsidRPr="00E42E37">
        <w:rPr>
          <w:rFonts w:eastAsia="Malgun Gothic" w:cs="Times New Roman"/>
          <w:szCs w:val="24"/>
        </w:rPr>
        <w:t xml:space="preserve">indicates </w:t>
      </w:r>
      <w:r w:rsidRPr="00E42E37">
        <w:rPr>
          <w:rFonts w:cs="Times New Roman"/>
          <w:szCs w:val="24"/>
        </w:rPr>
        <w:t>EGFR-TKI groups and</w:t>
      </w:r>
      <w:r w:rsidRPr="00E42E37">
        <w:rPr>
          <w:rFonts w:eastAsia="Malgun Gothic" w:cs="Times New Roman"/>
          <w:szCs w:val="24"/>
        </w:rPr>
        <w:t xml:space="preserve"> the</w:t>
      </w:r>
      <w:r w:rsidRPr="00E42E37">
        <w:rPr>
          <w:rFonts w:cs="Times New Roman"/>
          <w:szCs w:val="24"/>
        </w:rPr>
        <w:t xml:space="preserve"> y-axis indicates AUC values. </w:t>
      </w:r>
      <w:r w:rsidRPr="00E42E37">
        <w:rPr>
          <w:rFonts w:cs="Times New Roman"/>
          <w:i/>
          <w:iCs/>
          <w:szCs w:val="24"/>
        </w:rPr>
        <w:t xml:space="preserve">P </w:t>
      </w:r>
      <w:r w:rsidRPr="00E42E37">
        <w:rPr>
          <w:rFonts w:cs="Times New Roman"/>
          <w:szCs w:val="24"/>
        </w:rPr>
        <w:t xml:space="preserve">values </w:t>
      </w:r>
      <w:r w:rsidRPr="00E42E37">
        <w:rPr>
          <w:rFonts w:eastAsia="Malgun Gothic" w:cs="Times New Roman"/>
          <w:szCs w:val="24"/>
        </w:rPr>
        <w:t>were</w:t>
      </w:r>
      <w:r w:rsidRPr="00E42E37">
        <w:rPr>
          <w:rFonts w:cs="Times New Roman"/>
          <w:szCs w:val="24"/>
        </w:rPr>
        <w:t xml:space="preserve"> obtained using</w:t>
      </w:r>
      <w:r w:rsidRPr="00E42E37">
        <w:rPr>
          <w:rFonts w:eastAsia="Malgun Gothic" w:cs="Times New Roman"/>
          <w:szCs w:val="24"/>
        </w:rPr>
        <w:t xml:space="preserve"> the</w:t>
      </w:r>
      <w:r w:rsidRPr="00E42E37">
        <w:rPr>
          <w:rFonts w:cs="Times New Roman"/>
          <w:szCs w:val="24"/>
        </w:rPr>
        <w:t xml:space="preserve"> Wilcoxon rank-sum test.</w:t>
      </w:r>
    </w:p>
    <w:p w14:paraId="31F64D65" w14:textId="77777777" w:rsidR="009332BA" w:rsidRPr="00E42E37" w:rsidRDefault="009332BA" w:rsidP="009332BA">
      <w:pPr>
        <w:wordWrap/>
        <w:snapToGrid w:val="0"/>
        <w:spacing w:after="0" w:line="240" w:lineRule="auto"/>
        <w:jc w:val="left"/>
        <w:rPr>
          <w:rFonts w:cs="Times New Roman"/>
          <w:szCs w:val="24"/>
        </w:rPr>
      </w:pPr>
      <w:r w:rsidRPr="00E42E37">
        <w:rPr>
          <w:rFonts w:cs="Times New Roman"/>
          <w:b/>
          <w:bCs/>
          <w:szCs w:val="24"/>
        </w:rPr>
        <w:t>Additional File 3,</w:t>
      </w:r>
      <w:r w:rsidRPr="00E42E37">
        <w:rPr>
          <w:rFonts w:cs="Times New Roman"/>
          <w:szCs w:val="24"/>
        </w:rPr>
        <w:t xml:space="preserve"> </w:t>
      </w:r>
      <w:r w:rsidRPr="00E42E37">
        <w:rPr>
          <w:rFonts w:cs="Times New Roman"/>
          <w:b/>
          <w:bCs/>
          <w:szCs w:val="24"/>
        </w:rPr>
        <w:t>Table S1.</w:t>
      </w:r>
      <w:r w:rsidRPr="00E42E37">
        <w:rPr>
          <w:rFonts w:cs="Times New Roman"/>
          <w:szCs w:val="24"/>
        </w:rPr>
        <w:t xml:space="preserve"> Clinical information and molecular subtypes of 102 lung cancer patients used to obtain PDCs. </w:t>
      </w:r>
    </w:p>
    <w:p w14:paraId="5103EA24" w14:textId="77777777" w:rsidR="009332BA" w:rsidRPr="00E42E37" w:rsidRDefault="009332BA" w:rsidP="009332BA">
      <w:pPr>
        <w:wordWrap/>
        <w:snapToGrid w:val="0"/>
        <w:spacing w:after="0" w:line="240" w:lineRule="auto"/>
        <w:jc w:val="left"/>
        <w:rPr>
          <w:rFonts w:cs="Times New Roman"/>
          <w:szCs w:val="24"/>
        </w:rPr>
      </w:pPr>
      <w:r w:rsidRPr="00E42E37">
        <w:rPr>
          <w:rFonts w:cs="Times New Roman"/>
          <w:b/>
          <w:bCs/>
          <w:szCs w:val="24"/>
        </w:rPr>
        <w:t>Additional File 3, Table S2.</w:t>
      </w:r>
      <w:r w:rsidRPr="00E42E37">
        <w:rPr>
          <w:rFonts w:cs="Times New Roman"/>
          <w:szCs w:val="24"/>
        </w:rPr>
        <w:t xml:space="preserve"> The 48 drugs employed in </w:t>
      </w:r>
      <w:r w:rsidRPr="00E42E37">
        <w:rPr>
          <w:rFonts w:eastAsia="Malgun Gothic" w:cs="Times New Roman"/>
          <w:szCs w:val="24"/>
        </w:rPr>
        <w:t xml:space="preserve">the </w:t>
      </w:r>
      <w:r w:rsidRPr="00E42E37">
        <w:rPr>
          <w:rFonts w:cs="Times New Roman"/>
          <w:szCs w:val="24"/>
        </w:rPr>
        <w:t>screening panel. We refer</w:t>
      </w:r>
      <w:r w:rsidRPr="00E42E37">
        <w:rPr>
          <w:rFonts w:eastAsia="Malgun Gothic" w:cs="Times New Roman"/>
          <w:szCs w:val="24"/>
        </w:rPr>
        <w:t xml:space="preserve"> to</w:t>
      </w:r>
      <w:r w:rsidRPr="00E42E37">
        <w:rPr>
          <w:rFonts w:cs="Times New Roman"/>
          <w:szCs w:val="24"/>
        </w:rPr>
        <w:t xml:space="preserve"> </w:t>
      </w:r>
      <w:r w:rsidRPr="00E42E37">
        <w:rPr>
          <w:rFonts w:eastAsia="Malgun Gothic" w:cs="Times New Roman"/>
          <w:szCs w:val="24"/>
        </w:rPr>
        <w:t xml:space="preserve">the </w:t>
      </w:r>
      <w:r w:rsidRPr="00E42E37">
        <w:rPr>
          <w:rFonts w:cs="Times New Roman"/>
          <w:szCs w:val="24"/>
        </w:rPr>
        <w:t>chemical or generic name of</w:t>
      </w:r>
      <w:r w:rsidRPr="00E42E37">
        <w:rPr>
          <w:rFonts w:eastAsia="Malgun Gothic" w:cs="Times New Roman"/>
          <w:szCs w:val="24"/>
        </w:rPr>
        <w:t xml:space="preserve"> the</w:t>
      </w:r>
      <w:r w:rsidRPr="00E42E37">
        <w:rPr>
          <w:rFonts w:cs="Times New Roman"/>
          <w:szCs w:val="24"/>
        </w:rPr>
        <w:t xml:space="preserve"> drugs, and </w:t>
      </w:r>
      <w:r w:rsidRPr="00E42E37">
        <w:rPr>
          <w:rFonts w:eastAsia="Malgun Gothic" w:cs="Times New Roman"/>
          <w:szCs w:val="24"/>
        </w:rPr>
        <w:t xml:space="preserve">the </w:t>
      </w:r>
      <w:r w:rsidRPr="00E42E37">
        <w:rPr>
          <w:rFonts w:cs="Times New Roman"/>
          <w:szCs w:val="24"/>
        </w:rPr>
        <w:t>target and class for each drug were classified.</w:t>
      </w:r>
    </w:p>
    <w:p w14:paraId="1E3A47BD" w14:textId="77777777" w:rsidR="009332BA" w:rsidRPr="00E42E37" w:rsidRDefault="009332BA" w:rsidP="009332BA">
      <w:pPr>
        <w:wordWrap/>
        <w:snapToGrid w:val="0"/>
        <w:spacing w:after="0" w:line="240" w:lineRule="auto"/>
        <w:jc w:val="left"/>
        <w:rPr>
          <w:rFonts w:cs="Times New Roman"/>
          <w:szCs w:val="24"/>
        </w:rPr>
      </w:pPr>
      <w:r w:rsidRPr="00E42E37">
        <w:rPr>
          <w:rFonts w:cs="Times New Roman"/>
          <w:b/>
          <w:bCs/>
          <w:szCs w:val="24"/>
        </w:rPr>
        <w:t xml:space="preserve">Additional File 3, Table S3. </w:t>
      </w:r>
      <w:r w:rsidRPr="00E42E37">
        <w:rPr>
          <w:rFonts w:cs="Times New Roman"/>
          <w:szCs w:val="24"/>
        </w:rPr>
        <w:t>Differentially expressed gene sets for the four molecular subtypes.</w:t>
      </w:r>
    </w:p>
    <w:p w14:paraId="3CDEDD46" w14:textId="77777777" w:rsidR="009332BA" w:rsidRPr="00E42E37" w:rsidRDefault="009332BA" w:rsidP="009332BA">
      <w:pPr>
        <w:wordWrap/>
        <w:snapToGrid w:val="0"/>
        <w:spacing w:after="0" w:line="240" w:lineRule="auto"/>
        <w:jc w:val="left"/>
        <w:rPr>
          <w:rFonts w:cs="Times New Roman"/>
          <w:szCs w:val="24"/>
        </w:rPr>
      </w:pPr>
      <w:r w:rsidRPr="00E42E37">
        <w:rPr>
          <w:rFonts w:cs="Times New Roman"/>
          <w:b/>
          <w:bCs/>
          <w:szCs w:val="24"/>
        </w:rPr>
        <w:t>Additional File 3, Table S4.</w:t>
      </w:r>
      <w:r w:rsidRPr="00E42E37">
        <w:rPr>
          <w:rFonts w:cs="Times New Roman"/>
          <w:szCs w:val="24"/>
        </w:rPr>
        <w:t xml:space="preserve"> GSEA </w:t>
      </w:r>
      <w:r w:rsidRPr="00E42E37">
        <w:rPr>
          <w:rFonts w:eastAsia="Malgun Gothic" w:cs="Times New Roman"/>
          <w:szCs w:val="24"/>
        </w:rPr>
        <w:t>results</w:t>
      </w:r>
      <w:r w:rsidRPr="00E42E37">
        <w:rPr>
          <w:rFonts w:cs="Times New Roman"/>
          <w:szCs w:val="24"/>
        </w:rPr>
        <w:t xml:space="preserve"> (</w:t>
      </w:r>
      <w:r w:rsidRPr="00E42E37">
        <w:rPr>
          <w:rFonts w:cs="Times New Roman"/>
          <w:i/>
          <w:iCs/>
          <w:szCs w:val="24"/>
        </w:rPr>
        <w:t xml:space="preserve">P </w:t>
      </w:r>
      <w:r w:rsidRPr="00E42E37">
        <w:rPr>
          <w:rFonts w:cs="Times New Roman"/>
          <w:szCs w:val="24"/>
        </w:rPr>
        <w:t>&lt; 0.1) using drug-associated gene signatures extracted with a machine-learning approach.</w:t>
      </w:r>
    </w:p>
    <w:p w14:paraId="4CDBA86F" w14:textId="77777777" w:rsidR="009332BA" w:rsidRPr="00E42E37" w:rsidRDefault="009332BA" w:rsidP="009332BA">
      <w:pPr>
        <w:wordWrap/>
        <w:snapToGrid w:val="0"/>
        <w:spacing w:after="0" w:line="240" w:lineRule="auto"/>
        <w:jc w:val="left"/>
        <w:rPr>
          <w:rFonts w:cs="Times New Roman"/>
          <w:szCs w:val="24"/>
        </w:rPr>
      </w:pPr>
      <w:r w:rsidRPr="00E42E37">
        <w:rPr>
          <w:rFonts w:cs="Times New Roman"/>
          <w:b/>
          <w:bCs/>
          <w:szCs w:val="24"/>
        </w:rPr>
        <w:t>Additional File 3, Table S5.</w:t>
      </w:r>
      <w:r w:rsidRPr="00E42E37">
        <w:rPr>
          <w:rFonts w:cs="Times New Roman"/>
          <w:szCs w:val="24"/>
        </w:rPr>
        <w:t xml:space="preserve"> GSEA results (</w:t>
      </w:r>
      <w:r w:rsidRPr="00E42E37">
        <w:rPr>
          <w:rFonts w:cs="Times New Roman"/>
          <w:i/>
          <w:iCs/>
          <w:szCs w:val="24"/>
        </w:rPr>
        <w:t xml:space="preserve">P </w:t>
      </w:r>
      <w:r w:rsidRPr="00E42E37">
        <w:rPr>
          <w:rFonts w:cs="Times New Roman"/>
          <w:szCs w:val="24"/>
        </w:rPr>
        <w:t>&lt; 0.1) acquired from analysis of the upregulated DEGs from four EGFR-TKI treatment groups.</w:t>
      </w:r>
    </w:p>
    <w:p w14:paraId="21D99AA5" w14:textId="77777777" w:rsidR="009332BA" w:rsidRPr="00E42E37" w:rsidRDefault="009332BA" w:rsidP="009332BA">
      <w:pPr>
        <w:wordWrap/>
        <w:snapToGrid w:val="0"/>
        <w:spacing w:after="0" w:line="240" w:lineRule="auto"/>
        <w:jc w:val="left"/>
        <w:rPr>
          <w:rFonts w:cs="Times New Roman"/>
          <w:szCs w:val="24"/>
        </w:rPr>
      </w:pPr>
      <w:r w:rsidRPr="00E42E37">
        <w:rPr>
          <w:rFonts w:cs="Times New Roman"/>
          <w:b/>
          <w:bCs/>
          <w:szCs w:val="24"/>
        </w:rPr>
        <w:t>Additional File 3, Table S6.</w:t>
      </w:r>
      <w:r w:rsidRPr="00E42E37">
        <w:rPr>
          <w:rFonts w:cs="Times New Roman"/>
          <w:szCs w:val="24"/>
        </w:rPr>
        <w:t xml:space="preserve"> EGFR-TKI resistance pathway and related gene sets.</w:t>
      </w:r>
    </w:p>
    <w:p w14:paraId="3CA94745" w14:textId="77777777" w:rsidR="00E1715D" w:rsidRDefault="009332BA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2BA"/>
    <w:rsid w:val="001942F0"/>
    <w:rsid w:val="002C0857"/>
    <w:rsid w:val="003F01F8"/>
    <w:rsid w:val="00884728"/>
    <w:rsid w:val="008E2845"/>
    <w:rsid w:val="009332BA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E85BA"/>
  <w15:chartTrackingRefBased/>
  <w15:docId w15:val="{34C1A8BB-8649-4CE0-B282-93F3397E9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2BA"/>
    <w:pPr>
      <w:widowControl w:val="0"/>
      <w:wordWrap w:val="0"/>
      <w:autoSpaceDE w:val="0"/>
      <w:autoSpaceDN w:val="0"/>
      <w:spacing w:after="200" w:line="360" w:lineRule="auto"/>
      <w:jc w:val="both"/>
    </w:pPr>
    <w:rPr>
      <w:rFonts w:ascii="Times New Roman" w:eastAsia="Times New Roman" w:hAnsi="Times New Roman"/>
      <w:kern w:val="2"/>
      <w:sz w:val="24"/>
      <w:szCs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520</Words>
  <Characters>2966</Characters>
  <Application>Microsoft Office Word</Application>
  <DocSecurity>0</DocSecurity>
  <Lines>24</Lines>
  <Paragraphs>6</Paragraphs>
  <ScaleCrop>false</ScaleCrop>
  <Company>Springer Nature</Company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2022-11-28T05:31:00Z</dcterms:created>
  <dcterms:modified xsi:type="dcterms:W3CDTF">2022-11-28T05:31:00Z</dcterms:modified>
</cp:coreProperties>
</file>