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C3116" w14:textId="77777777" w:rsidR="00044928" w:rsidRDefault="007D01DE" w:rsidP="007D01DE">
      <w:pPr>
        <w:wordWrap/>
        <w:snapToGrid w:val="0"/>
        <w:spacing w:after="0" w:line="480" w:lineRule="auto"/>
        <w:jc w:val="left"/>
        <w:rPr>
          <w:rFonts w:asciiTheme="majorBidi" w:hAnsiTheme="majorBidi" w:cstheme="majorBidi"/>
          <w:szCs w:val="24"/>
        </w:rPr>
      </w:pPr>
      <w:r w:rsidRPr="00864E24">
        <w:rPr>
          <w:rFonts w:asciiTheme="majorBidi" w:hAnsiTheme="majorBidi" w:cstheme="majorBidi"/>
          <w:b/>
          <w:bCs/>
          <w:szCs w:val="24"/>
        </w:rPr>
        <w:t xml:space="preserve">Supplementary Figure 1. </w:t>
      </w:r>
      <w:r w:rsidRPr="00864E24">
        <w:rPr>
          <w:rFonts w:asciiTheme="majorBidi" w:hAnsiTheme="majorBidi" w:cstheme="majorBidi"/>
          <w:szCs w:val="24"/>
        </w:rPr>
        <w:t>Molecular subtype evaluation using six lung cancer cohorts (n=1587). A) Overall survival plots for each molecular subtype according to subtype gene signature score. High and low group were selected from upper and lower quartile. P-values and hazard ratio (HR) were calculated using the log-rank test and Cox model. B) HR forest plots for each subtype across six lung cancer cohorts</w:t>
      </w:r>
      <w:r w:rsidR="00044928">
        <w:rPr>
          <w:rFonts w:asciiTheme="majorBidi" w:hAnsiTheme="majorBidi" w:cstheme="majorBidi"/>
          <w:szCs w:val="24"/>
        </w:rPr>
        <w:t>.</w:t>
      </w:r>
    </w:p>
    <w:p w14:paraId="0336932A" w14:textId="7514086B" w:rsidR="007D01DE" w:rsidRDefault="00044928" w:rsidP="007D01DE">
      <w:pPr>
        <w:wordWrap/>
        <w:snapToGrid w:val="0"/>
        <w:spacing w:after="0" w:line="480" w:lineRule="auto"/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drawing>
          <wp:inline distT="0" distB="0" distL="0" distR="0" wp14:anchorId="1C93D727" wp14:editId="7B5E90A3">
            <wp:extent cx="5943600" cy="3479800"/>
            <wp:effectExtent l="0" t="0" r="0" b="635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01DE" w:rsidRPr="00864E24">
        <w:rPr>
          <w:rFonts w:asciiTheme="majorBidi" w:hAnsiTheme="majorBidi" w:cstheme="majorBidi"/>
          <w:szCs w:val="24"/>
        </w:rPr>
        <w:t xml:space="preserve"> </w:t>
      </w:r>
    </w:p>
    <w:p w14:paraId="092A63C0" w14:textId="77777777" w:rsidR="007D01DE" w:rsidRDefault="007D01DE">
      <w:pPr>
        <w:widowControl/>
        <w:wordWrap/>
        <w:autoSpaceDE/>
        <w:autoSpaceDN/>
        <w:spacing w:line="259" w:lineRule="auto"/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/>
          <w:szCs w:val="24"/>
        </w:rPr>
        <w:br w:type="page"/>
      </w:r>
    </w:p>
    <w:p w14:paraId="5FB86A3A" w14:textId="44A96C8E" w:rsidR="007D01DE" w:rsidRDefault="007D01DE" w:rsidP="007D01DE">
      <w:pPr>
        <w:wordWrap/>
        <w:snapToGrid w:val="0"/>
        <w:spacing w:after="0" w:line="480" w:lineRule="auto"/>
        <w:jc w:val="left"/>
        <w:rPr>
          <w:rFonts w:asciiTheme="majorBidi" w:hAnsiTheme="majorBidi" w:cstheme="majorBidi"/>
          <w:szCs w:val="24"/>
        </w:rPr>
      </w:pPr>
      <w:r w:rsidRPr="00864E24">
        <w:rPr>
          <w:rFonts w:asciiTheme="majorBidi" w:hAnsiTheme="majorBidi" w:cstheme="majorBidi"/>
          <w:b/>
          <w:bCs/>
          <w:szCs w:val="24"/>
        </w:rPr>
        <w:lastRenderedPageBreak/>
        <w:t>Supplementary Figure 2.</w:t>
      </w:r>
      <w:r w:rsidRPr="00864E24">
        <w:rPr>
          <w:rFonts w:asciiTheme="majorBidi" w:hAnsiTheme="majorBidi" w:cstheme="majorBidi"/>
          <w:szCs w:val="24"/>
        </w:rPr>
        <w:t xml:space="preserve"> Co-occurrent mutation case investigation. A) Significant co-mutation pairs extracted using the Fisher’s exact test (recurrence&gt;5%). B) The status of </w:t>
      </w:r>
      <w:r w:rsidRPr="00864E24">
        <w:rPr>
          <w:rFonts w:asciiTheme="majorBidi" w:hAnsiTheme="majorBidi" w:cstheme="majorBidi"/>
          <w:i/>
          <w:iCs/>
          <w:szCs w:val="24"/>
        </w:rPr>
        <w:t>RB1</w:t>
      </w:r>
      <w:r w:rsidRPr="00864E24">
        <w:rPr>
          <w:rFonts w:asciiTheme="majorBidi" w:hAnsiTheme="majorBidi" w:cstheme="majorBidi"/>
          <w:szCs w:val="24"/>
        </w:rPr>
        <w:t>/</w:t>
      </w:r>
      <w:r w:rsidRPr="00864E24">
        <w:rPr>
          <w:rFonts w:asciiTheme="majorBidi" w:hAnsiTheme="majorBidi" w:cstheme="majorBidi"/>
          <w:i/>
          <w:iCs/>
          <w:szCs w:val="24"/>
        </w:rPr>
        <w:t>TP53</w:t>
      </w:r>
      <w:r w:rsidRPr="00864E24">
        <w:rPr>
          <w:rFonts w:asciiTheme="majorBidi" w:hAnsiTheme="majorBidi" w:cstheme="majorBidi"/>
          <w:szCs w:val="24"/>
        </w:rPr>
        <w:t xml:space="preserve"> mutation and SCLC type</w:t>
      </w:r>
      <w:r w:rsidR="00C368E1">
        <w:rPr>
          <w:rFonts w:asciiTheme="majorBidi" w:hAnsiTheme="majorBidi" w:cstheme="majorBidi"/>
          <w:szCs w:val="24"/>
        </w:rPr>
        <w:t>.</w:t>
      </w:r>
    </w:p>
    <w:p w14:paraId="32B64B85" w14:textId="0DA00A00" w:rsidR="00C368E1" w:rsidRDefault="00C368E1" w:rsidP="007D01DE">
      <w:pPr>
        <w:wordWrap/>
        <w:snapToGrid w:val="0"/>
        <w:spacing w:after="0" w:line="480" w:lineRule="auto"/>
        <w:jc w:val="left"/>
        <w:rPr>
          <w:rFonts w:asciiTheme="majorBidi" w:eastAsiaTheme="minorEastAsia" w:hAnsiTheme="majorBidi" w:cstheme="majorBidi"/>
          <w:szCs w:val="24"/>
        </w:rPr>
      </w:pPr>
      <w:r>
        <w:rPr>
          <w:noProof/>
        </w:rPr>
        <w:drawing>
          <wp:inline distT="0" distB="0" distL="0" distR="0" wp14:anchorId="4FAC5DF1" wp14:editId="229CD7E2">
            <wp:extent cx="4438650" cy="5353050"/>
            <wp:effectExtent l="0" t="0" r="0" b="0"/>
            <wp:docPr id="52" name="그림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535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6BF0F" w14:textId="77777777" w:rsidR="00C368E1" w:rsidRPr="00C368E1" w:rsidRDefault="00C368E1" w:rsidP="007D01DE">
      <w:pPr>
        <w:wordWrap/>
        <w:snapToGrid w:val="0"/>
        <w:spacing w:after="0" w:line="480" w:lineRule="auto"/>
        <w:jc w:val="left"/>
        <w:rPr>
          <w:rFonts w:asciiTheme="majorBidi" w:eastAsiaTheme="minorEastAsia" w:hAnsiTheme="majorBidi" w:cstheme="majorBidi" w:hint="eastAsia"/>
          <w:szCs w:val="24"/>
        </w:rPr>
      </w:pPr>
    </w:p>
    <w:p w14:paraId="7136B649" w14:textId="77777777" w:rsidR="007D01DE" w:rsidRDefault="007D01DE">
      <w:pPr>
        <w:widowControl/>
        <w:wordWrap/>
        <w:autoSpaceDE/>
        <w:autoSpaceDN/>
        <w:spacing w:line="259" w:lineRule="auto"/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/>
          <w:szCs w:val="24"/>
        </w:rPr>
        <w:br w:type="page"/>
      </w:r>
    </w:p>
    <w:p w14:paraId="40D02736" w14:textId="455855D2" w:rsidR="007D01DE" w:rsidRDefault="007D01DE" w:rsidP="007D01DE">
      <w:pPr>
        <w:wordWrap/>
        <w:snapToGrid w:val="0"/>
        <w:spacing w:after="0" w:line="480" w:lineRule="auto"/>
        <w:jc w:val="left"/>
        <w:rPr>
          <w:rFonts w:asciiTheme="majorBidi" w:hAnsiTheme="majorBidi" w:cstheme="majorBidi"/>
          <w:szCs w:val="24"/>
        </w:rPr>
      </w:pPr>
      <w:r w:rsidRPr="00864E24">
        <w:rPr>
          <w:rFonts w:asciiTheme="majorBidi" w:hAnsiTheme="majorBidi" w:cstheme="majorBidi"/>
          <w:b/>
          <w:bCs/>
          <w:szCs w:val="24"/>
        </w:rPr>
        <w:lastRenderedPageBreak/>
        <w:t xml:space="preserve">Supplementary Figure 3. </w:t>
      </w:r>
      <w:r w:rsidRPr="00864E24">
        <w:rPr>
          <w:rFonts w:asciiTheme="majorBidi" w:hAnsiTheme="majorBidi" w:cstheme="majorBidi"/>
          <w:szCs w:val="24"/>
        </w:rPr>
        <w:t>A heatmap of DEGs between SCLC and NSCLC. The rows of the heatmap are the samples, and the columns show the genes. Genes were extracted using limma (adjusted</w:t>
      </w:r>
      <w:r w:rsidRPr="00864E24">
        <w:rPr>
          <w:rFonts w:asciiTheme="majorBidi" w:eastAsia="맑은 고딕" w:hAnsiTheme="majorBidi" w:cstheme="majorBidi"/>
          <w:szCs w:val="24"/>
        </w:rPr>
        <w:t xml:space="preserve"> </w:t>
      </w:r>
      <w:r w:rsidRPr="00864E24">
        <w:rPr>
          <w:rFonts w:asciiTheme="majorBidi" w:hAnsiTheme="majorBidi" w:cstheme="majorBidi"/>
          <w:i/>
          <w:iCs/>
          <w:szCs w:val="24"/>
        </w:rPr>
        <w:t>P</w:t>
      </w:r>
      <w:r w:rsidRPr="00864E24">
        <w:rPr>
          <w:rFonts w:asciiTheme="majorBidi" w:hAnsiTheme="majorBidi" w:cstheme="majorBidi"/>
          <w:szCs w:val="24"/>
        </w:rPr>
        <w:t xml:space="preserve">&lt;0.005, | log2 FC |&gt; 0.5), and </w:t>
      </w:r>
      <w:r w:rsidRPr="00864E24">
        <w:rPr>
          <w:rFonts w:asciiTheme="majorBidi" w:eastAsia="맑은 고딕" w:hAnsiTheme="majorBidi" w:cstheme="majorBidi"/>
          <w:szCs w:val="24"/>
        </w:rPr>
        <w:t xml:space="preserve">the </w:t>
      </w:r>
      <w:r w:rsidRPr="00864E24">
        <w:rPr>
          <w:rFonts w:asciiTheme="majorBidi" w:hAnsiTheme="majorBidi" w:cstheme="majorBidi"/>
          <w:szCs w:val="24"/>
        </w:rPr>
        <w:t xml:space="preserve">GSEA </w:t>
      </w:r>
      <w:r w:rsidRPr="00864E24">
        <w:rPr>
          <w:rFonts w:asciiTheme="majorBidi" w:eastAsia="맑은 고딕" w:hAnsiTheme="majorBidi" w:cstheme="majorBidi"/>
          <w:szCs w:val="24"/>
        </w:rPr>
        <w:t>results</w:t>
      </w:r>
      <w:r w:rsidRPr="00864E24">
        <w:rPr>
          <w:rFonts w:asciiTheme="majorBidi" w:hAnsiTheme="majorBidi" w:cstheme="majorBidi"/>
          <w:szCs w:val="24"/>
        </w:rPr>
        <w:t xml:space="preserve"> (Supplementary Table 3) </w:t>
      </w:r>
      <w:r w:rsidRPr="00864E24">
        <w:rPr>
          <w:rFonts w:asciiTheme="majorBidi" w:eastAsia="맑은 고딕" w:hAnsiTheme="majorBidi" w:cstheme="majorBidi"/>
          <w:szCs w:val="24"/>
        </w:rPr>
        <w:t>are</w:t>
      </w:r>
      <w:r w:rsidRPr="00864E24">
        <w:rPr>
          <w:rFonts w:asciiTheme="majorBidi" w:hAnsiTheme="majorBidi" w:cstheme="majorBidi"/>
          <w:szCs w:val="24"/>
        </w:rPr>
        <w:t xml:space="preserve"> summarized on </w:t>
      </w:r>
      <w:r w:rsidRPr="00864E24">
        <w:rPr>
          <w:rFonts w:asciiTheme="majorBidi" w:eastAsia="맑은 고딕" w:hAnsiTheme="majorBidi" w:cstheme="majorBidi"/>
          <w:szCs w:val="24"/>
        </w:rPr>
        <w:t xml:space="preserve">the </w:t>
      </w:r>
      <w:r w:rsidRPr="00864E24">
        <w:rPr>
          <w:rFonts w:asciiTheme="majorBidi" w:hAnsiTheme="majorBidi" w:cstheme="majorBidi"/>
          <w:szCs w:val="24"/>
        </w:rPr>
        <w:t>left.</w:t>
      </w:r>
    </w:p>
    <w:p w14:paraId="68E14123" w14:textId="6DA6A29E" w:rsidR="00C368E1" w:rsidRDefault="000A21F0" w:rsidP="007D01DE">
      <w:pPr>
        <w:wordWrap/>
        <w:snapToGrid w:val="0"/>
        <w:spacing w:after="0" w:line="480" w:lineRule="auto"/>
        <w:jc w:val="left"/>
        <w:rPr>
          <w:rFonts w:asciiTheme="majorBidi" w:eastAsiaTheme="minorEastAsia" w:hAnsiTheme="majorBidi" w:cstheme="majorBidi"/>
          <w:szCs w:val="24"/>
        </w:rPr>
      </w:pPr>
      <w:r>
        <w:rPr>
          <w:noProof/>
        </w:rPr>
        <w:drawing>
          <wp:inline distT="0" distB="0" distL="0" distR="0" wp14:anchorId="2CB96729" wp14:editId="55D3E937">
            <wp:extent cx="5943600" cy="3865245"/>
            <wp:effectExtent l="0" t="0" r="0" b="1905"/>
            <wp:docPr id="53" name="그림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A012C" w14:textId="77777777" w:rsidR="00C368E1" w:rsidRPr="00C368E1" w:rsidRDefault="00C368E1" w:rsidP="007D01DE">
      <w:pPr>
        <w:wordWrap/>
        <w:snapToGrid w:val="0"/>
        <w:spacing w:after="0" w:line="480" w:lineRule="auto"/>
        <w:jc w:val="left"/>
        <w:rPr>
          <w:rFonts w:asciiTheme="majorBidi" w:eastAsiaTheme="minorEastAsia" w:hAnsiTheme="majorBidi" w:cstheme="majorBidi" w:hint="eastAsia"/>
          <w:szCs w:val="24"/>
        </w:rPr>
      </w:pPr>
    </w:p>
    <w:p w14:paraId="5536E4AD" w14:textId="77777777" w:rsidR="007D01DE" w:rsidRDefault="007D01DE">
      <w:pPr>
        <w:widowControl/>
        <w:wordWrap/>
        <w:autoSpaceDE/>
        <w:autoSpaceDN/>
        <w:spacing w:line="259" w:lineRule="auto"/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/>
          <w:szCs w:val="24"/>
        </w:rPr>
        <w:br w:type="page"/>
      </w:r>
    </w:p>
    <w:p w14:paraId="0C7D21EE" w14:textId="28CED7F5" w:rsidR="007D01DE" w:rsidRDefault="007D01DE" w:rsidP="007D01DE">
      <w:pPr>
        <w:wordWrap/>
        <w:snapToGrid w:val="0"/>
        <w:spacing w:after="0" w:line="480" w:lineRule="auto"/>
        <w:jc w:val="left"/>
        <w:rPr>
          <w:rFonts w:asciiTheme="majorBidi" w:eastAsia="맑은 고딕" w:hAnsiTheme="majorBidi" w:cstheme="majorBidi"/>
          <w:szCs w:val="24"/>
        </w:rPr>
      </w:pPr>
      <w:r w:rsidRPr="00864E24">
        <w:rPr>
          <w:rFonts w:asciiTheme="majorBidi" w:hAnsiTheme="majorBidi" w:cstheme="majorBidi"/>
          <w:b/>
          <w:bCs/>
          <w:szCs w:val="24"/>
        </w:rPr>
        <w:lastRenderedPageBreak/>
        <w:t>Supplementary Figure 4.</w:t>
      </w:r>
      <w:r w:rsidRPr="00864E24">
        <w:rPr>
          <w:rFonts w:asciiTheme="majorBidi" w:hAnsiTheme="majorBidi" w:cstheme="majorBidi"/>
          <w:szCs w:val="24"/>
        </w:rPr>
        <w:t xml:space="preserve"> Validation of</w:t>
      </w:r>
      <w:r w:rsidRPr="00864E24">
        <w:rPr>
          <w:rFonts w:asciiTheme="majorBidi" w:eastAsia="맑은 고딕" w:hAnsiTheme="majorBidi" w:cstheme="majorBidi"/>
          <w:szCs w:val="24"/>
        </w:rPr>
        <w:t xml:space="preserve"> the</w:t>
      </w:r>
      <w:r w:rsidRPr="00864E24">
        <w:rPr>
          <w:rFonts w:asciiTheme="majorBidi" w:hAnsiTheme="majorBidi" w:cstheme="majorBidi"/>
          <w:szCs w:val="24"/>
        </w:rPr>
        <w:t xml:space="preserve"> correlation of </w:t>
      </w:r>
      <w:r w:rsidRPr="00864E24">
        <w:rPr>
          <w:rFonts w:asciiTheme="majorBidi" w:hAnsiTheme="majorBidi" w:cstheme="majorBidi"/>
          <w:i/>
          <w:iCs/>
          <w:szCs w:val="24"/>
        </w:rPr>
        <w:t>FOXM1</w:t>
      </w:r>
      <w:r w:rsidRPr="00864E24">
        <w:rPr>
          <w:rFonts w:asciiTheme="majorBidi" w:hAnsiTheme="majorBidi" w:cstheme="majorBidi"/>
          <w:szCs w:val="24"/>
        </w:rPr>
        <w:t xml:space="preserve"> expression and AZD7762 sensitivity in H209 cells. A) The protein </w:t>
      </w:r>
      <w:r w:rsidRPr="00864E24">
        <w:rPr>
          <w:rFonts w:asciiTheme="majorBidi" w:eastAsia="맑은 고딕" w:hAnsiTheme="majorBidi" w:cstheme="majorBidi"/>
          <w:szCs w:val="24"/>
        </w:rPr>
        <w:t>levels</w:t>
      </w:r>
      <w:r w:rsidRPr="00864E24">
        <w:rPr>
          <w:rFonts w:asciiTheme="majorBidi" w:hAnsiTheme="majorBidi" w:cstheme="majorBidi"/>
          <w:szCs w:val="24"/>
        </w:rPr>
        <w:t xml:space="preserve"> of FOXM1 and β-actin in </w:t>
      </w:r>
      <w:r w:rsidRPr="00864E24">
        <w:rPr>
          <w:rFonts w:asciiTheme="majorBidi" w:eastAsia="맑은 고딕" w:hAnsiTheme="majorBidi" w:cstheme="majorBidi"/>
          <w:szCs w:val="24"/>
        </w:rPr>
        <w:t>siRNA-</w:t>
      </w:r>
      <w:r w:rsidRPr="00864E24">
        <w:rPr>
          <w:rFonts w:asciiTheme="majorBidi" w:hAnsiTheme="majorBidi" w:cstheme="majorBidi"/>
          <w:szCs w:val="24"/>
        </w:rPr>
        <w:t>transfected H209 cells (siFOXM1-#6, #7) were analyzed using western blotting. Ctrl represents</w:t>
      </w:r>
      <w:r w:rsidRPr="00864E24">
        <w:rPr>
          <w:rFonts w:asciiTheme="majorBidi" w:eastAsia="맑은 고딕" w:hAnsiTheme="majorBidi" w:cstheme="majorBidi"/>
          <w:szCs w:val="24"/>
        </w:rPr>
        <w:t xml:space="preserve"> the</w:t>
      </w:r>
      <w:r w:rsidRPr="00864E24">
        <w:rPr>
          <w:rFonts w:asciiTheme="majorBidi" w:hAnsiTheme="majorBidi" w:cstheme="majorBidi"/>
          <w:szCs w:val="24"/>
        </w:rPr>
        <w:t xml:space="preserve"> control. H209 cells transfected with siRNAs were incubated for 48 h. B) After incubation, the cells were analyzed using flow cytometry to evaluate DNA contents. Representative DNA </w:t>
      </w:r>
      <w:r w:rsidRPr="00864E24">
        <w:rPr>
          <w:rFonts w:asciiTheme="majorBidi" w:eastAsia="맑은 고딕" w:hAnsiTheme="majorBidi" w:cstheme="majorBidi"/>
          <w:szCs w:val="24"/>
        </w:rPr>
        <w:t>content</w:t>
      </w:r>
      <w:r w:rsidRPr="00864E24">
        <w:rPr>
          <w:rFonts w:asciiTheme="majorBidi" w:hAnsiTheme="majorBidi" w:cstheme="majorBidi"/>
          <w:szCs w:val="24"/>
        </w:rPr>
        <w:t xml:space="preserve"> profiles from three independent experiments are shown.</w:t>
      </w:r>
      <w:r w:rsidRPr="00864E24">
        <w:rPr>
          <w:rFonts w:asciiTheme="majorBidi" w:eastAsia="맑은 고딕" w:hAnsiTheme="majorBidi" w:cstheme="majorBidi"/>
          <w:szCs w:val="24"/>
        </w:rPr>
        <w:t xml:space="preserve"> The graphs show the</w:t>
      </w:r>
      <w:r w:rsidRPr="00864E24">
        <w:rPr>
          <w:rFonts w:asciiTheme="majorBidi" w:hAnsiTheme="majorBidi" w:cstheme="majorBidi"/>
          <w:szCs w:val="24"/>
        </w:rPr>
        <w:t xml:space="preserve"> proportion of</w:t>
      </w:r>
      <w:r w:rsidRPr="00864E24">
        <w:rPr>
          <w:rFonts w:asciiTheme="majorBidi" w:eastAsia="맑은 고딕" w:hAnsiTheme="majorBidi" w:cstheme="majorBidi"/>
          <w:szCs w:val="24"/>
        </w:rPr>
        <w:t xml:space="preserve"> cells in each</w:t>
      </w:r>
      <w:r w:rsidRPr="00864E24">
        <w:rPr>
          <w:rFonts w:asciiTheme="majorBidi" w:hAnsiTheme="majorBidi" w:cstheme="majorBidi"/>
          <w:szCs w:val="24"/>
        </w:rPr>
        <w:t xml:space="preserve"> cell cycle phase. C) Drug response curve </w:t>
      </w:r>
      <w:r w:rsidRPr="00864E24">
        <w:rPr>
          <w:rFonts w:asciiTheme="majorBidi" w:eastAsia="맑은 고딕" w:hAnsiTheme="majorBidi" w:cstheme="majorBidi"/>
          <w:szCs w:val="24"/>
        </w:rPr>
        <w:t>of</w:t>
      </w:r>
      <w:r w:rsidRPr="00864E24">
        <w:rPr>
          <w:rFonts w:asciiTheme="majorBidi" w:hAnsiTheme="majorBidi" w:cstheme="majorBidi"/>
          <w:szCs w:val="24"/>
        </w:rPr>
        <w:t xml:space="preserve"> siRNA</w:t>
      </w:r>
      <w:r w:rsidRPr="00864E24">
        <w:rPr>
          <w:rFonts w:asciiTheme="majorBidi" w:eastAsia="맑은 고딕" w:hAnsiTheme="majorBidi" w:cstheme="majorBidi"/>
          <w:szCs w:val="24"/>
        </w:rPr>
        <w:t>-</w:t>
      </w:r>
      <w:r w:rsidRPr="00864E24">
        <w:rPr>
          <w:rFonts w:asciiTheme="majorBidi" w:hAnsiTheme="majorBidi" w:cstheme="majorBidi"/>
          <w:szCs w:val="24"/>
        </w:rPr>
        <w:t xml:space="preserve">transfected H209 cells treated with AZD7762 (x-axis). The AUC of </w:t>
      </w:r>
      <w:r w:rsidRPr="00864E24">
        <w:rPr>
          <w:rFonts w:asciiTheme="majorBidi" w:eastAsia="맑은 고딕" w:hAnsiTheme="majorBidi" w:cstheme="majorBidi"/>
          <w:szCs w:val="24"/>
        </w:rPr>
        <w:t xml:space="preserve">AZD7762 in </w:t>
      </w:r>
      <w:r w:rsidRPr="00864E24">
        <w:rPr>
          <w:rFonts w:asciiTheme="majorBidi" w:hAnsiTheme="majorBidi" w:cstheme="majorBidi"/>
          <w:szCs w:val="24"/>
        </w:rPr>
        <w:t>siRNA</w:t>
      </w:r>
      <w:r w:rsidRPr="00864E24">
        <w:rPr>
          <w:rFonts w:asciiTheme="majorBidi" w:eastAsia="맑은 고딕" w:hAnsiTheme="majorBidi" w:cstheme="majorBidi"/>
          <w:szCs w:val="24"/>
        </w:rPr>
        <w:t>-</w:t>
      </w:r>
      <w:r w:rsidRPr="00864E24">
        <w:rPr>
          <w:rFonts w:asciiTheme="majorBidi" w:hAnsiTheme="majorBidi" w:cstheme="majorBidi"/>
          <w:szCs w:val="24"/>
        </w:rPr>
        <w:t xml:space="preserve">transfected cells is shown in </w:t>
      </w:r>
      <w:r w:rsidRPr="00864E24">
        <w:rPr>
          <w:rFonts w:asciiTheme="majorBidi" w:eastAsia="맑은 고딕" w:hAnsiTheme="majorBidi" w:cstheme="majorBidi"/>
          <w:szCs w:val="24"/>
        </w:rPr>
        <w:t xml:space="preserve">the </w:t>
      </w:r>
      <w:r w:rsidRPr="00864E24">
        <w:rPr>
          <w:rFonts w:asciiTheme="majorBidi" w:hAnsiTheme="majorBidi" w:cstheme="majorBidi"/>
          <w:szCs w:val="24"/>
        </w:rPr>
        <w:t xml:space="preserve">panel [All experiments were performed </w:t>
      </w:r>
      <w:r w:rsidRPr="00864E24">
        <w:rPr>
          <w:rFonts w:asciiTheme="majorBidi" w:eastAsia="맑은 고딕" w:hAnsiTheme="majorBidi" w:cstheme="majorBidi"/>
          <w:szCs w:val="24"/>
        </w:rPr>
        <w:t>in quadruplicate</w:t>
      </w:r>
      <w:r w:rsidRPr="00864E24">
        <w:rPr>
          <w:rFonts w:asciiTheme="majorBidi" w:hAnsiTheme="majorBidi" w:cstheme="majorBidi"/>
          <w:szCs w:val="24"/>
        </w:rPr>
        <w:t>. The values represent the mean ±</w:t>
      </w:r>
      <w:r w:rsidRPr="00864E24">
        <w:rPr>
          <w:rFonts w:asciiTheme="majorBidi" w:eastAsia="맑은 고딕" w:hAnsiTheme="majorBidi" w:cstheme="majorBidi"/>
          <w:szCs w:val="24"/>
        </w:rPr>
        <w:t xml:space="preserve"> SEM (Student’s </w:t>
      </w:r>
      <w:r w:rsidRPr="00864E24">
        <w:rPr>
          <w:rFonts w:asciiTheme="majorBidi" w:eastAsia="맑은 고딕" w:hAnsiTheme="majorBidi" w:cstheme="majorBidi"/>
          <w:i/>
          <w:szCs w:val="24"/>
        </w:rPr>
        <w:t>t-</w:t>
      </w:r>
      <w:r w:rsidRPr="00864E24">
        <w:rPr>
          <w:rFonts w:asciiTheme="majorBidi" w:eastAsia="맑은 고딕" w:hAnsiTheme="majorBidi" w:cstheme="majorBidi"/>
          <w:iCs/>
          <w:szCs w:val="24"/>
        </w:rPr>
        <w:t>test</w:t>
      </w:r>
      <w:r w:rsidRPr="00864E24">
        <w:rPr>
          <w:rFonts w:asciiTheme="majorBidi" w:eastAsia="맑은 고딕" w:hAnsiTheme="majorBidi" w:cstheme="majorBidi"/>
          <w:szCs w:val="24"/>
        </w:rPr>
        <w:t>, *</w:t>
      </w:r>
      <w:r w:rsidRPr="00864E24">
        <w:rPr>
          <w:rFonts w:asciiTheme="majorBidi" w:eastAsia="맑은 고딕" w:hAnsiTheme="majorBidi" w:cstheme="majorBidi"/>
          <w:i/>
          <w:szCs w:val="24"/>
        </w:rPr>
        <w:t>P</w:t>
      </w:r>
      <w:r w:rsidRPr="00864E24">
        <w:rPr>
          <w:rFonts w:asciiTheme="majorBidi" w:eastAsia="맑은 고딕" w:hAnsiTheme="majorBidi" w:cstheme="majorBidi"/>
          <w:szCs w:val="24"/>
        </w:rPr>
        <w:t>&lt;0.05; ***</w:t>
      </w:r>
      <w:r w:rsidRPr="00864E24">
        <w:rPr>
          <w:rFonts w:asciiTheme="majorBidi" w:eastAsia="맑은 고딕" w:hAnsiTheme="majorBidi" w:cstheme="majorBidi"/>
          <w:i/>
          <w:szCs w:val="24"/>
        </w:rPr>
        <w:t>P</w:t>
      </w:r>
      <w:r w:rsidRPr="00864E24">
        <w:rPr>
          <w:rFonts w:asciiTheme="majorBidi" w:eastAsia="맑은 고딕" w:hAnsiTheme="majorBidi" w:cstheme="majorBidi"/>
          <w:szCs w:val="24"/>
        </w:rPr>
        <w:t>&lt;0.001)]</w:t>
      </w:r>
    </w:p>
    <w:p w14:paraId="223F931E" w14:textId="4E244211" w:rsidR="00A32AA2" w:rsidRDefault="000A21F0" w:rsidP="007D01DE">
      <w:pPr>
        <w:wordWrap/>
        <w:snapToGrid w:val="0"/>
        <w:spacing w:after="0" w:line="480" w:lineRule="auto"/>
        <w:jc w:val="left"/>
        <w:rPr>
          <w:rFonts w:asciiTheme="majorBidi" w:eastAsia="맑은 고딕" w:hAnsiTheme="majorBidi" w:cstheme="majorBidi"/>
          <w:szCs w:val="24"/>
        </w:rPr>
      </w:pPr>
      <w:r>
        <w:rPr>
          <w:noProof/>
        </w:rPr>
        <w:drawing>
          <wp:inline distT="0" distB="0" distL="0" distR="0" wp14:anchorId="6007707F" wp14:editId="6277CA9D">
            <wp:extent cx="5943600" cy="1656715"/>
            <wp:effectExtent l="0" t="0" r="0" b="635"/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5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8D661" w14:textId="77777777" w:rsidR="00A32AA2" w:rsidRPr="00864E24" w:rsidRDefault="00A32AA2" w:rsidP="007D01DE">
      <w:pPr>
        <w:wordWrap/>
        <w:snapToGrid w:val="0"/>
        <w:spacing w:after="0" w:line="480" w:lineRule="auto"/>
        <w:jc w:val="left"/>
        <w:rPr>
          <w:rFonts w:asciiTheme="majorBidi" w:hAnsiTheme="majorBidi" w:cstheme="majorBidi" w:hint="eastAsia"/>
          <w:szCs w:val="24"/>
        </w:rPr>
      </w:pPr>
    </w:p>
    <w:p w14:paraId="71D4ECA9" w14:textId="77777777" w:rsidR="007D01DE" w:rsidRDefault="007D01DE">
      <w:pPr>
        <w:widowControl/>
        <w:wordWrap/>
        <w:autoSpaceDE/>
        <w:autoSpaceDN/>
        <w:spacing w:line="259" w:lineRule="auto"/>
        <w:rPr>
          <w:rFonts w:asciiTheme="majorBidi" w:hAnsiTheme="majorBidi" w:cstheme="majorBidi"/>
          <w:b/>
          <w:bCs/>
          <w:szCs w:val="24"/>
        </w:rPr>
      </w:pPr>
      <w:r>
        <w:rPr>
          <w:rFonts w:asciiTheme="majorBidi" w:hAnsiTheme="majorBidi" w:cstheme="majorBidi"/>
          <w:b/>
          <w:bCs/>
          <w:szCs w:val="24"/>
        </w:rPr>
        <w:br w:type="page"/>
      </w:r>
    </w:p>
    <w:p w14:paraId="378B5CBC" w14:textId="1113BC53" w:rsidR="007D01DE" w:rsidRDefault="007D01DE" w:rsidP="007D01DE">
      <w:pPr>
        <w:wordWrap/>
        <w:snapToGrid w:val="0"/>
        <w:spacing w:after="0" w:line="480" w:lineRule="auto"/>
        <w:jc w:val="left"/>
        <w:rPr>
          <w:rFonts w:asciiTheme="majorBidi" w:hAnsiTheme="majorBidi" w:cstheme="majorBidi"/>
          <w:szCs w:val="24"/>
        </w:rPr>
      </w:pPr>
      <w:r w:rsidRPr="00864E24">
        <w:rPr>
          <w:rFonts w:asciiTheme="majorBidi" w:hAnsiTheme="majorBidi" w:cstheme="majorBidi"/>
          <w:b/>
          <w:bCs/>
          <w:szCs w:val="24"/>
        </w:rPr>
        <w:lastRenderedPageBreak/>
        <w:t xml:space="preserve">Supplementary Figure 5. </w:t>
      </w:r>
      <w:r w:rsidRPr="00864E24">
        <w:rPr>
          <w:rFonts w:asciiTheme="majorBidi" w:hAnsiTheme="majorBidi" w:cstheme="majorBidi"/>
          <w:szCs w:val="24"/>
        </w:rPr>
        <w:t xml:space="preserve">Pathway </w:t>
      </w:r>
      <w:r w:rsidRPr="00864E24">
        <w:rPr>
          <w:rFonts w:asciiTheme="majorBidi" w:eastAsia="맑은 고딕" w:hAnsiTheme="majorBidi" w:cstheme="majorBidi"/>
          <w:szCs w:val="24"/>
        </w:rPr>
        <w:t>score</w:t>
      </w:r>
      <w:r w:rsidRPr="00864E24">
        <w:rPr>
          <w:rFonts w:asciiTheme="majorBidi" w:hAnsiTheme="majorBidi" w:cstheme="majorBidi"/>
          <w:szCs w:val="24"/>
        </w:rPr>
        <w:t xml:space="preserve"> bar plots of six EGFR-TKI resistance signatures according to four EGFR-TKI therapeutic groups. The numbers on each bar plot indicate the </w:t>
      </w:r>
      <w:r w:rsidRPr="00864E24">
        <w:rPr>
          <w:rFonts w:asciiTheme="majorBidi" w:hAnsiTheme="majorBidi" w:cstheme="majorBidi"/>
          <w:i/>
          <w:iCs/>
          <w:szCs w:val="24"/>
        </w:rPr>
        <w:t xml:space="preserve">P </w:t>
      </w:r>
      <w:r w:rsidRPr="00864E24">
        <w:rPr>
          <w:rFonts w:asciiTheme="majorBidi" w:hAnsiTheme="majorBidi" w:cstheme="majorBidi"/>
          <w:szCs w:val="24"/>
        </w:rPr>
        <w:t xml:space="preserve">values obtained using </w:t>
      </w:r>
      <w:r w:rsidRPr="00864E24">
        <w:rPr>
          <w:rFonts w:asciiTheme="majorBidi" w:eastAsia="맑은 고딕" w:hAnsiTheme="majorBidi" w:cstheme="majorBidi"/>
          <w:szCs w:val="24"/>
        </w:rPr>
        <w:t>the Wilcoxon</w:t>
      </w:r>
      <w:r w:rsidRPr="00864E24">
        <w:rPr>
          <w:rFonts w:asciiTheme="majorBidi" w:hAnsiTheme="majorBidi" w:cstheme="majorBidi"/>
          <w:szCs w:val="24"/>
        </w:rPr>
        <w:t xml:space="preserve"> rank-sum test.</w:t>
      </w:r>
    </w:p>
    <w:p w14:paraId="3D2C69A2" w14:textId="28A3A351" w:rsidR="00A32AA2" w:rsidRDefault="000A21F0" w:rsidP="007D01DE">
      <w:pPr>
        <w:wordWrap/>
        <w:snapToGrid w:val="0"/>
        <w:spacing w:after="0" w:line="480" w:lineRule="auto"/>
        <w:jc w:val="left"/>
        <w:rPr>
          <w:rFonts w:asciiTheme="majorBidi" w:eastAsiaTheme="minorEastAsia" w:hAnsiTheme="majorBidi" w:cstheme="majorBidi"/>
          <w:szCs w:val="24"/>
        </w:rPr>
      </w:pPr>
      <w:r>
        <w:rPr>
          <w:noProof/>
        </w:rPr>
        <w:drawing>
          <wp:inline distT="0" distB="0" distL="0" distR="0" wp14:anchorId="28BD10C0" wp14:editId="56F8E9E0">
            <wp:extent cx="5943600" cy="1798955"/>
            <wp:effectExtent l="0" t="0" r="0" b="0"/>
            <wp:docPr id="55" name="그림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9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7550A" w14:textId="77777777" w:rsidR="00A32AA2" w:rsidRPr="00A32AA2" w:rsidRDefault="00A32AA2" w:rsidP="007D01DE">
      <w:pPr>
        <w:wordWrap/>
        <w:snapToGrid w:val="0"/>
        <w:spacing w:after="0" w:line="480" w:lineRule="auto"/>
        <w:jc w:val="left"/>
        <w:rPr>
          <w:rFonts w:asciiTheme="majorBidi" w:eastAsiaTheme="minorEastAsia" w:hAnsiTheme="majorBidi" w:cstheme="majorBidi" w:hint="eastAsia"/>
          <w:szCs w:val="24"/>
        </w:rPr>
      </w:pPr>
    </w:p>
    <w:p w14:paraId="3C2935D2" w14:textId="77777777" w:rsidR="007D01DE" w:rsidRDefault="007D01DE">
      <w:pPr>
        <w:widowControl/>
        <w:wordWrap/>
        <w:autoSpaceDE/>
        <w:autoSpaceDN/>
        <w:spacing w:line="259" w:lineRule="auto"/>
        <w:rPr>
          <w:rFonts w:asciiTheme="majorBidi" w:hAnsiTheme="majorBidi" w:cstheme="majorBidi"/>
          <w:b/>
          <w:bCs/>
          <w:szCs w:val="24"/>
        </w:rPr>
      </w:pPr>
      <w:r>
        <w:rPr>
          <w:rFonts w:asciiTheme="majorBidi" w:hAnsiTheme="majorBidi" w:cstheme="majorBidi"/>
          <w:b/>
          <w:bCs/>
          <w:szCs w:val="24"/>
        </w:rPr>
        <w:br w:type="page"/>
      </w:r>
    </w:p>
    <w:p w14:paraId="787177C1" w14:textId="18381FD0" w:rsidR="007D01DE" w:rsidRPr="00864E24" w:rsidRDefault="007D01DE" w:rsidP="007D01DE">
      <w:pPr>
        <w:wordWrap/>
        <w:snapToGrid w:val="0"/>
        <w:spacing w:after="0" w:line="480" w:lineRule="auto"/>
        <w:jc w:val="left"/>
        <w:rPr>
          <w:rFonts w:asciiTheme="majorBidi" w:hAnsiTheme="majorBidi" w:cstheme="majorBidi"/>
          <w:szCs w:val="24"/>
        </w:rPr>
      </w:pPr>
      <w:r w:rsidRPr="00864E24">
        <w:rPr>
          <w:rFonts w:asciiTheme="majorBidi" w:hAnsiTheme="majorBidi" w:cstheme="majorBidi"/>
          <w:b/>
          <w:bCs/>
          <w:szCs w:val="24"/>
        </w:rPr>
        <w:lastRenderedPageBreak/>
        <w:t>Supplementary Figure 6.</w:t>
      </w:r>
      <w:r w:rsidRPr="00864E24">
        <w:rPr>
          <w:rFonts w:asciiTheme="majorBidi" w:hAnsiTheme="majorBidi" w:cstheme="majorBidi"/>
          <w:szCs w:val="24"/>
        </w:rPr>
        <w:t xml:space="preserve"> Drug candidates extracted from EGFR-TKI group PDCs (n=27) and extended EGFR PDCs (n=70). A) Volcano plots for EGFR-TKI groups of two datasets. </w:t>
      </w:r>
      <w:r w:rsidRPr="00864E24">
        <w:rPr>
          <w:rFonts w:asciiTheme="majorBidi" w:eastAsia="맑은 고딕" w:hAnsiTheme="majorBidi" w:cstheme="majorBidi"/>
          <w:szCs w:val="24"/>
        </w:rPr>
        <w:t xml:space="preserve">The </w:t>
      </w:r>
      <w:r w:rsidRPr="00864E24">
        <w:rPr>
          <w:rFonts w:asciiTheme="majorBidi" w:hAnsiTheme="majorBidi" w:cstheme="majorBidi"/>
          <w:szCs w:val="24"/>
        </w:rPr>
        <w:t xml:space="preserve">x-axis </w:t>
      </w:r>
      <w:r w:rsidRPr="00864E24">
        <w:rPr>
          <w:rFonts w:asciiTheme="majorBidi" w:eastAsia="맑은 고딕" w:hAnsiTheme="majorBidi" w:cstheme="majorBidi"/>
          <w:szCs w:val="24"/>
        </w:rPr>
        <w:t>indicates the</w:t>
      </w:r>
      <w:r w:rsidRPr="00864E24">
        <w:rPr>
          <w:rFonts w:asciiTheme="majorBidi" w:hAnsiTheme="majorBidi" w:cstheme="majorBidi"/>
          <w:szCs w:val="24"/>
        </w:rPr>
        <w:t xml:space="preserve"> log</w:t>
      </w:r>
      <w:r w:rsidRPr="00864E24">
        <w:rPr>
          <w:rFonts w:asciiTheme="majorBidi" w:hAnsiTheme="majorBidi" w:cstheme="majorBidi"/>
          <w:szCs w:val="24"/>
          <w:vertAlign w:val="subscript"/>
        </w:rPr>
        <w:t>2</w:t>
      </w:r>
      <w:r w:rsidRPr="00864E24">
        <w:rPr>
          <w:rFonts w:asciiTheme="majorBidi" w:eastAsia="맑은 고딕" w:hAnsiTheme="majorBidi" w:cstheme="majorBidi"/>
          <w:szCs w:val="24"/>
        </w:rPr>
        <w:t>-</w:t>
      </w:r>
      <w:r w:rsidRPr="00864E24">
        <w:rPr>
          <w:rFonts w:asciiTheme="majorBidi" w:hAnsiTheme="majorBidi" w:cstheme="majorBidi"/>
          <w:szCs w:val="24"/>
        </w:rPr>
        <w:t>fold change between drug responses</w:t>
      </w:r>
      <w:r w:rsidRPr="00864E24">
        <w:rPr>
          <w:rFonts w:asciiTheme="majorBidi" w:eastAsia="맑은 고딕" w:hAnsiTheme="majorBidi" w:cstheme="majorBidi"/>
          <w:szCs w:val="24"/>
        </w:rPr>
        <w:t>,</w:t>
      </w:r>
      <w:r w:rsidRPr="00864E24">
        <w:rPr>
          <w:rFonts w:asciiTheme="majorBidi" w:hAnsiTheme="majorBidi" w:cstheme="majorBidi"/>
          <w:szCs w:val="24"/>
        </w:rPr>
        <w:t xml:space="preserve"> and </w:t>
      </w:r>
      <w:r w:rsidRPr="00864E24">
        <w:rPr>
          <w:rFonts w:asciiTheme="majorBidi" w:eastAsia="맑은 고딕" w:hAnsiTheme="majorBidi" w:cstheme="majorBidi"/>
          <w:szCs w:val="24"/>
        </w:rPr>
        <w:t xml:space="preserve">the </w:t>
      </w:r>
      <w:r w:rsidRPr="00864E24">
        <w:rPr>
          <w:rFonts w:asciiTheme="majorBidi" w:hAnsiTheme="majorBidi" w:cstheme="majorBidi"/>
          <w:szCs w:val="24"/>
        </w:rPr>
        <w:t xml:space="preserve">y-axis shows </w:t>
      </w:r>
      <w:r w:rsidRPr="00864E24">
        <w:rPr>
          <w:rFonts w:asciiTheme="majorBidi" w:eastAsia="맑은 고딕" w:hAnsiTheme="majorBidi" w:cstheme="majorBidi"/>
          <w:szCs w:val="24"/>
        </w:rPr>
        <w:t xml:space="preserve">the </w:t>
      </w:r>
      <w:r w:rsidRPr="00864E24">
        <w:rPr>
          <w:rFonts w:asciiTheme="majorBidi" w:hAnsiTheme="majorBidi" w:cstheme="majorBidi"/>
          <w:szCs w:val="24"/>
        </w:rPr>
        <w:t xml:space="preserve">log-scale adjusted </w:t>
      </w:r>
      <w:r w:rsidRPr="00864E24">
        <w:rPr>
          <w:rFonts w:asciiTheme="majorBidi" w:hAnsiTheme="majorBidi" w:cstheme="majorBidi"/>
          <w:i/>
          <w:iCs/>
          <w:szCs w:val="24"/>
        </w:rPr>
        <w:t xml:space="preserve">P </w:t>
      </w:r>
      <w:r w:rsidRPr="00864E24">
        <w:rPr>
          <w:rFonts w:asciiTheme="majorBidi" w:hAnsiTheme="majorBidi" w:cstheme="majorBidi"/>
          <w:szCs w:val="24"/>
        </w:rPr>
        <w:t xml:space="preserve">value. Red circles </w:t>
      </w:r>
      <w:r w:rsidRPr="00864E24">
        <w:rPr>
          <w:rFonts w:asciiTheme="majorBidi" w:eastAsia="맑은 고딕" w:hAnsiTheme="majorBidi" w:cstheme="majorBidi"/>
          <w:szCs w:val="24"/>
        </w:rPr>
        <w:t>indicate sensitivity,</w:t>
      </w:r>
      <w:r w:rsidRPr="00864E24">
        <w:rPr>
          <w:rFonts w:asciiTheme="majorBidi" w:hAnsiTheme="majorBidi" w:cstheme="majorBidi"/>
          <w:szCs w:val="24"/>
        </w:rPr>
        <w:t xml:space="preserve"> whereas blue circle indicate resistance. B) Bar plots for etoposide and XAV939 AUC in both datasets.</w:t>
      </w:r>
      <w:r w:rsidRPr="00864E24">
        <w:rPr>
          <w:rFonts w:asciiTheme="majorBidi" w:eastAsia="맑은 고딕" w:hAnsiTheme="majorBidi" w:cstheme="majorBidi"/>
          <w:szCs w:val="24"/>
        </w:rPr>
        <w:t xml:space="preserve"> The</w:t>
      </w:r>
      <w:r w:rsidRPr="00864E24">
        <w:rPr>
          <w:rFonts w:asciiTheme="majorBidi" w:hAnsiTheme="majorBidi" w:cstheme="majorBidi"/>
          <w:szCs w:val="24"/>
        </w:rPr>
        <w:t xml:space="preserve"> X-axis </w:t>
      </w:r>
      <w:r w:rsidRPr="00864E24">
        <w:rPr>
          <w:rFonts w:asciiTheme="majorBidi" w:eastAsia="맑은 고딕" w:hAnsiTheme="majorBidi" w:cstheme="majorBidi"/>
          <w:szCs w:val="24"/>
        </w:rPr>
        <w:t xml:space="preserve">indicates </w:t>
      </w:r>
      <w:r w:rsidRPr="00864E24">
        <w:rPr>
          <w:rFonts w:asciiTheme="majorBidi" w:hAnsiTheme="majorBidi" w:cstheme="majorBidi"/>
          <w:szCs w:val="24"/>
        </w:rPr>
        <w:t>EGFR-TKI groups, and</w:t>
      </w:r>
      <w:r w:rsidRPr="00864E24">
        <w:rPr>
          <w:rFonts w:asciiTheme="majorBidi" w:eastAsia="맑은 고딕" w:hAnsiTheme="majorBidi" w:cstheme="majorBidi"/>
          <w:szCs w:val="24"/>
        </w:rPr>
        <w:t xml:space="preserve"> the</w:t>
      </w:r>
      <w:r w:rsidRPr="00864E24">
        <w:rPr>
          <w:rFonts w:asciiTheme="majorBidi" w:hAnsiTheme="majorBidi" w:cstheme="majorBidi"/>
          <w:szCs w:val="24"/>
        </w:rPr>
        <w:t xml:space="preserve"> Y-axis indicates AUC values. </w:t>
      </w:r>
      <w:r w:rsidRPr="00864E24">
        <w:rPr>
          <w:rFonts w:asciiTheme="majorBidi" w:hAnsiTheme="majorBidi" w:cstheme="majorBidi"/>
          <w:i/>
          <w:iCs/>
          <w:szCs w:val="24"/>
        </w:rPr>
        <w:t xml:space="preserve">P </w:t>
      </w:r>
      <w:r w:rsidRPr="00864E24">
        <w:rPr>
          <w:rFonts w:asciiTheme="majorBidi" w:hAnsiTheme="majorBidi" w:cstheme="majorBidi"/>
          <w:szCs w:val="24"/>
        </w:rPr>
        <w:t xml:space="preserve">values </w:t>
      </w:r>
      <w:r w:rsidRPr="00864E24">
        <w:rPr>
          <w:rFonts w:asciiTheme="majorBidi" w:eastAsia="맑은 고딕" w:hAnsiTheme="majorBidi" w:cstheme="majorBidi"/>
          <w:szCs w:val="24"/>
        </w:rPr>
        <w:t>were</w:t>
      </w:r>
      <w:r w:rsidRPr="00864E24">
        <w:rPr>
          <w:rFonts w:asciiTheme="majorBidi" w:hAnsiTheme="majorBidi" w:cstheme="majorBidi"/>
          <w:szCs w:val="24"/>
        </w:rPr>
        <w:t xml:space="preserve"> obtained using</w:t>
      </w:r>
      <w:r w:rsidRPr="00864E24">
        <w:rPr>
          <w:rFonts w:asciiTheme="majorBidi" w:eastAsia="맑은 고딕" w:hAnsiTheme="majorBidi" w:cstheme="majorBidi"/>
          <w:szCs w:val="24"/>
        </w:rPr>
        <w:t xml:space="preserve"> the</w:t>
      </w:r>
      <w:r w:rsidRPr="00864E24">
        <w:rPr>
          <w:rFonts w:asciiTheme="majorBidi" w:hAnsiTheme="majorBidi" w:cstheme="majorBidi"/>
          <w:szCs w:val="24"/>
        </w:rPr>
        <w:t xml:space="preserve"> Wilcoxon rank-sum test.</w:t>
      </w:r>
    </w:p>
    <w:p w14:paraId="340C10B0" w14:textId="3E1582D3" w:rsidR="007D01DE" w:rsidRPr="00864E24" w:rsidRDefault="000A21F0" w:rsidP="007D01DE">
      <w:pPr>
        <w:wordWrap/>
        <w:snapToGrid w:val="0"/>
        <w:spacing w:after="0" w:line="480" w:lineRule="auto"/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drawing>
          <wp:inline distT="0" distB="0" distL="0" distR="0" wp14:anchorId="5A48A18E" wp14:editId="09173F26">
            <wp:extent cx="5943600" cy="5057140"/>
            <wp:effectExtent l="0" t="0" r="0" b="0"/>
            <wp:docPr id="56" name="그림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5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9073A" w14:textId="77777777" w:rsidR="007D01DE" w:rsidRPr="00864E24" w:rsidRDefault="007D01DE" w:rsidP="007D01DE">
      <w:pPr>
        <w:wordWrap/>
        <w:snapToGrid w:val="0"/>
        <w:spacing w:after="0" w:line="480" w:lineRule="auto"/>
        <w:jc w:val="left"/>
        <w:rPr>
          <w:rFonts w:asciiTheme="majorBidi" w:hAnsiTheme="majorBidi" w:cstheme="majorBidi"/>
          <w:szCs w:val="24"/>
        </w:rPr>
      </w:pPr>
    </w:p>
    <w:p w14:paraId="12813662" w14:textId="77777777" w:rsidR="005A182A" w:rsidRPr="007D01DE" w:rsidRDefault="005A182A" w:rsidP="00C81175">
      <w:pPr>
        <w:rPr>
          <w:rFonts w:eastAsiaTheme="minorEastAsia"/>
        </w:rPr>
      </w:pPr>
    </w:p>
    <w:sectPr w:rsidR="005A182A" w:rsidRPr="007D01DE" w:rsidSect="00D65D1F">
      <w:footerReference w:type="default" r:id="rId12"/>
      <w:headerReference w:type="first" r:id="rId13"/>
      <w:pgSz w:w="12240" w:h="15840" w:code="1"/>
      <w:pgMar w:top="1440" w:right="1440" w:bottom="1440" w:left="1440" w:header="851" w:footer="992" w:gutter="0"/>
      <w:lnNumType w:countBy="1" w:restart="continuous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660CB" w14:textId="77777777" w:rsidR="00A60C40" w:rsidRDefault="00A60C40" w:rsidP="009111F8">
      <w:pPr>
        <w:spacing w:after="0" w:line="240" w:lineRule="auto"/>
      </w:pPr>
      <w:r>
        <w:separator/>
      </w:r>
    </w:p>
  </w:endnote>
  <w:endnote w:type="continuationSeparator" w:id="0">
    <w:p w14:paraId="1AD0304A" w14:textId="77777777" w:rsidR="00A60C40" w:rsidRDefault="00A60C40" w:rsidP="00911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72D5C" w14:textId="77777777" w:rsidR="00216153" w:rsidRPr="00A76FBA" w:rsidRDefault="00000000" w:rsidP="00A76FBA">
    <w:pPr>
      <w:pStyle w:val="a4"/>
      <w:tabs>
        <w:tab w:val="left" w:pos="1185"/>
      </w:tabs>
      <w:spacing w:after="0"/>
      <w:contextualSpacing/>
      <w:rPr>
        <w:rFonts w:cs="Times New Roman"/>
        <w:szCs w:val="24"/>
        <w:lang w:val="en-I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480F5" w14:textId="77777777" w:rsidR="00A60C40" w:rsidRDefault="00A60C40" w:rsidP="009111F8">
      <w:pPr>
        <w:spacing w:after="0" w:line="240" w:lineRule="auto"/>
      </w:pPr>
      <w:r>
        <w:separator/>
      </w:r>
    </w:p>
  </w:footnote>
  <w:footnote w:type="continuationSeparator" w:id="0">
    <w:p w14:paraId="7AEF33ED" w14:textId="77777777" w:rsidR="00A60C40" w:rsidRDefault="00A60C40" w:rsidP="009111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5089478"/>
      <w:docPartObj>
        <w:docPartGallery w:val="Page Numbers (Top of Page)"/>
        <w:docPartUnique/>
      </w:docPartObj>
    </w:sdtPr>
    <w:sdtContent>
      <w:p w14:paraId="5E403DAB" w14:textId="77777777" w:rsidR="00613477" w:rsidRPr="002E6298" w:rsidRDefault="00000000">
        <w:pPr>
          <w:pStyle w:val="a3"/>
          <w:jc w:val="right"/>
        </w:pPr>
        <w:r w:rsidRPr="002E6298">
          <w:fldChar w:fldCharType="begin"/>
        </w:r>
        <w:r w:rsidRPr="002E6298">
          <w:instrText xml:space="preserve"> PAGE   \* MERGEFORMAT </w:instrText>
        </w:r>
        <w:r w:rsidRPr="002E6298">
          <w:fldChar w:fldCharType="separate"/>
        </w:r>
        <w:r w:rsidRPr="002E6298">
          <w:t>2</w:t>
        </w:r>
        <w:r w:rsidRPr="002E6298">
          <w:fldChar w:fldCharType="end"/>
        </w:r>
      </w:p>
    </w:sdtContent>
  </w:sdt>
  <w:p w14:paraId="618AA07C" w14:textId="77777777" w:rsidR="00613477" w:rsidRPr="002E6298" w:rsidRDefault="0000000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276A"/>
    <w:rsid w:val="000431E2"/>
    <w:rsid w:val="00044928"/>
    <w:rsid w:val="000464EE"/>
    <w:rsid w:val="000A21F0"/>
    <w:rsid w:val="001969E0"/>
    <w:rsid w:val="00205EF5"/>
    <w:rsid w:val="0026323E"/>
    <w:rsid w:val="00305CC2"/>
    <w:rsid w:val="003834D3"/>
    <w:rsid w:val="00497805"/>
    <w:rsid w:val="004A276A"/>
    <w:rsid w:val="00515467"/>
    <w:rsid w:val="005354F5"/>
    <w:rsid w:val="005614B2"/>
    <w:rsid w:val="005A182A"/>
    <w:rsid w:val="006A5E16"/>
    <w:rsid w:val="006C518F"/>
    <w:rsid w:val="006D3839"/>
    <w:rsid w:val="006D4570"/>
    <w:rsid w:val="006D5A72"/>
    <w:rsid w:val="006D75DB"/>
    <w:rsid w:val="007157FE"/>
    <w:rsid w:val="007B6A52"/>
    <w:rsid w:val="007C5A2A"/>
    <w:rsid w:val="007D01DE"/>
    <w:rsid w:val="009111F8"/>
    <w:rsid w:val="00A23B21"/>
    <w:rsid w:val="00A32AA2"/>
    <w:rsid w:val="00A60C40"/>
    <w:rsid w:val="00B77875"/>
    <w:rsid w:val="00BF6C35"/>
    <w:rsid w:val="00C368E1"/>
    <w:rsid w:val="00C81175"/>
    <w:rsid w:val="00D02823"/>
    <w:rsid w:val="00D45B83"/>
    <w:rsid w:val="00EA3D63"/>
    <w:rsid w:val="00ED4BEA"/>
    <w:rsid w:val="00EE31CB"/>
    <w:rsid w:val="00F7172F"/>
    <w:rsid w:val="00F71A05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B063AF"/>
  <w15:docId w15:val="{5543FB19-3D7F-4306-9729-ED1D8003F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1F8"/>
    <w:pPr>
      <w:widowControl w:val="0"/>
      <w:wordWrap w:val="0"/>
      <w:autoSpaceDE w:val="0"/>
      <w:autoSpaceDN w:val="0"/>
      <w:spacing w:line="360" w:lineRule="auto"/>
    </w:pPr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11F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111F8"/>
  </w:style>
  <w:style w:type="paragraph" w:styleId="a4">
    <w:name w:val="footer"/>
    <w:basedOn w:val="a"/>
    <w:link w:val="Char0"/>
    <w:uiPriority w:val="99"/>
    <w:unhideWhenUsed/>
    <w:rsid w:val="009111F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111F8"/>
  </w:style>
  <w:style w:type="paragraph" w:styleId="a5">
    <w:name w:val="Balloon Text"/>
    <w:basedOn w:val="a"/>
    <w:link w:val="Char1"/>
    <w:uiPriority w:val="99"/>
    <w:semiHidden/>
    <w:unhideWhenUsed/>
    <w:rsid w:val="00EA3D6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EA3D63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7D01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Charny</dc:creator>
  <cp:keywords/>
  <dc:description/>
  <cp:lastModifiedBy>Charny Park</cp:lastModifiedBy>
  <cp:revision>30</cp:revision>
  <dcterms:created xsi:type="dcterms:W3CDTF">2021-04-07T02:00:00Z</dcterms:created>
  <dcterms:modified xsi:type="dcterms:W3CDTF">2022-09-26T00:26:00Z</dcterms:modified>
</cp:coreProperties>
</file>