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06B18E" w14:textId="2854A438" w:rsidR="003D0991" w:rsidRPr="003D0991" w:rsidRDefault="00445039" w:rsidP="003D0991">
      <w:pPr>
        <w:spacing w:line="360" w:lineRule="auto"/>
        <w:jc w:val="both"/>
        <w:rPr>
          <w:rFonts w:ascii="Times" w:hAnsi="Times"/>
          <w:b/>
          <w:bCs/>
          <w:i/>
          <w:iCs/>
          <w:sz w:val="28"/>
          <w:szCs w:val="28"/>
        </w:rPr>
      </w:pPr>
      <w:r w:rsidRPr="003D0991">
        <w:rPr>
          <w:rFonts w:ascii="Times" w:hAnsi="Times"/>
          <w:b/>
          <w:bCs/>
          <w:i/>
          <w:iCs/>
          <w:sz w:val="28"/>
          <w:szCs w:val="28"/>
        </w:rPr>
        <w:t>Supplementary</w:t>
      </w:r>
    </w:p>
    <w:p w14:paraId="7059099A" w14:textId="77777777" w:rsidR="003D0991" w:rsidRPr="003D0991" w:rsidRDefault="003D0991" w:rsidP="003D0991">
      <w:pPr>
        <w:pStyle w:val="NormalWeb"/>
        <w:spacing w:line="360" w:lineRule="auto"/>
        <w:jc w:val="both"/>
        <w:rPr>
          <w:rFonts w:ascii="Times" w:hAnsi="Times"/>
        </w:rPr>
      </w:pPr>
      <w:r w:rsidRPr="003D0991">
        <w:rPr>
          <w:rFonts w:ascii="Times" w:hAnsi="Times" w:cs="Arial"/>
          <w:b/>
          <w:bCs/>
        </w:rPr>
        <w:t xml:space="preserve">Murine closed femoral fracture model: </w:t>
      </w:r>
    </w:p>
    <w:p w14:paraId="76A5274F" w14:textId="56A60A6F" w:rsidR="003D0991" w:rsidRPr="003D0991" w:rsidRDefault="003D0991" w:rsidP="003D0991">
      <w:pPr>
        <w:pStyle w:val="NormalWeb"/>
        <w:spacing w:line="360" w:lineRule="auto"/>
        <w:jc w:val="both"/>
        <w:rPr>
          <w:rFonts w:ascii="Times" w:hAnsi="Times"/>
        </w:rPr>
      </w:pPr>
      <w:r w:rsidRPr="003D0991">
        <w:rPr>
          <w:rFonts w:ascii="Times" w:hAnsi="Times" w:cs="ArialMT"/>
        </w:rPr>
        <w:t>Mice were anesthetized by Isoflurane inhalation (1-4%) and by subcutaneous application of Bupivacaine (2 mg/kg) prior to the femur fracture surgery. The left leg was scrubbed with 10% povidone-iodine then an incision was made lateral to the knee and the tendon for the quadriceps femoris muscle was pushed laterally to expose the femoral head. A 27-gauge needle was used to access the femoral bone marrow channel and inserted a 0.01 stainless steel pin (</w:t>
      </w:r>
      <w:proofErr w:type="spellStart"/>
      <w:r w:rsidRPr="003D0991">
        <w:rPr>
          <w:rFonts w:ascii="Times" w:hAnsi="Times" w:cs="ArialMT"/>
        </w:rPr>
        <w:t>Azdent</w:t>
      </w:r>
      <w:proofErr w:type="spellEnd"/>
      <w:r w:rsidRPr="003D0991">
        <w:rPr>
          <w:rFonts w:ascii="Times" w:hAnsi="Times" w:cs="ArialMT"/>
        </w:rPr>
        <w:t xml:space="preserve">) for fixation. After suturing the incision, a uniform transverse fracture was created in the middle of the femur with internal pin by a three- point blunt guillotine apparatus </w:t>
      </w:r>
      <w:r>
        <w:rPr>
          <w:rFonts w:ascii="Times" w:hAnsi="Times" w:cs="ArialMT"/>
        </w:rPr>
        <w:t>(9,22, 24)</w:t>
      </w:r>
      <w:r w:rsidRPr="003D0991">
        <w:rPr>
          <w:rFonts w:ascii="Times" w:hAnsi="Times" w:cs="ArialMT"/>
        </w:rPr>
        <w:t xml:space="preserve">. The doxycycline water was then removed, and mice were granted free access to food and water after recovery from anesthesia. The fracture femur calluses were harvested on Day (D) 21 and D35 following fracture surgery to assess the primary bone formation and bone remodeling phases, respectively. </w:t>
      </w:r>
    </w:p>
    <w:p w14:paraId="52306413" w14:textId="59CE77AD" w:rsidR="003D0991" w:rsidRPr="003D0991" w:rsidRDefault="003D0991" w:rsidP="003D0991">
      <w:pPr>
        <w:pStyle w:val="NormalWeb"/>
        <w:spacing w:line="360" w:lineRule="auto"/>
        <w:jc w:val="both"/>
        <w:rPr>
          <w:rFonts w:ascii="Times" w:hAnsi="Times"/>
        </w:rPr>
      </w:pPr>
      <w:r w:rsidRPr="003D0991">
        <w:rPr>
          <w:rFonts w:ascii="Times" w:hAnsi="Times" w:cs="Arial"/>
          <w:b/>
          <w:bCs/>
        </w:rPr>
        <w:t xml:space="preserve">Histological analysis: </w:t>
      </w:r>
    </w:p>
    <w:p w14:paraId="22FE8E7B" w14:textId="6699BEE3" w:rsidR="003D0991" w:rsidRPr="003D0991" w:rsidRDefault="003D0991" w:rsidP="00FE6FDB">
      <w:pPr>
        <w:pStyle w:val="NormalWeb"/>
        <w:spacing w:line="360" w:lineRule="auto"/>
        <w:jc w:val="both"/>
        <w:rPr>
          <w:rFonts w:ascii="Times" w:hAnsi="Times"/>
        </w:rPr>
      </w:pPr>
      <w:r w:rsidRPr="003D0991">
        <w:rPr>
          <w:rFonts w:ascii="Times" w:hAnsi="Times" w:cs="ArialMT"/>
        </w:rPr>
        <w:t xml:space="preserve">Fracture femur specimens from D21 were fixed in cold 4% paraformaldehyde overnight and decalcified for eight weeks with 10% EDTA (pH 7.4) at 4°C. After the decalcifying process, the samples were soaked in 20% sucrose overnight and then embedded in optimum cutting temperature (O.C.T.). 8-μm Longitudinal frozen sections were obtained from the mid-portion of the callus and collected on charged glass slides (Globe Scientific Inc.) for histology and immunofluorescent measurements. Safranin O staining was performed to visualize bone. Sections were hydrated in graded ethanol series (from 100% to 80% for 5 minutes each) and then washed with PBS three times (5 minutes each) to remove OCT. Sections were stained with 0.05% fast green solution for 5 minutes, rinsed quickly with 1% acetic acid solution, and then stained with 0.1% Safranin O solution for 5 minutes. Slides were mounted with </w:t>
      </w:r>
      <w:proofErr w:type="spellStart"/>
      <w:r w:rsidRPr="003D0991">
        <w:rPr>
          <w:rFonts w:ascii="Times" w:hAnsi="Times" w:cs="ArialMT"/>
        </w:rPr>
        <w:t>Premount</w:t>
      </w:r>
      <w:proofErr w:type="spellEnd"/>
      <w:r w:rsidRPr="003D0991">
        <w:rPr>
          <w:rFonts w:ascii="Times" w:hAnsi="Times" w:cs="ArialMT"/>
        </w:rPr>
        <w:t xml:space="preserve"> mounting media (Fisher scientific, SP15100). Quantification of bone area was performed with Image J software. The total callus volume (TV) was defined as the volume enclosed by all tissues in the callus zone, and the callus bone volume (BV) was defined as the volume of the callus containing only mineralized tissue</w:t>
      </w:r>
      <w:r w:rsidR="009C60AC">
        <w:rPr>
          <w:rFonts w:ascii="Times" w:hAnsi="Times" w:cs="ArialMT"/>
        </w:rPr>
        <w:t xml:space="preserve"> (9, 24)</w:t>
      </w:r>
      <w:r w:rsidRPr="003D0991">
        <w:rPr>
          <w:rFonts w:ascii="Times" w:hAnsi="Times" w:cs="ArialMT"/>
        </w:rPr>
        <w:t xml:space="preserve">. The percentage of BV/TV fraction was calculated as the ratio of bone volume to total volume multiply by 100. </w:t>
      </w:r>
    </w:p>
    <w:sectPr w:rsidR="003D0991" w:rsidRPr="003D0991" w:rsidSect="001E453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ACFF" w:usb2="00000009" w:usb3="00000000" w:csb0="000001F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w:panose1 w:val="00000500000000020000"/>
    <w:charset w:val="00"/>
    <w:family w:val="auto"/>
    <w:pitch w:val="variable"/>
    <w:sig w:usb0="E00002FF" w:usb1="5000205A" w:usb2="00000000" w:usb3="00000000" w:csb0="0000019F" w:csb1="00000000"/>
  </w:font>
  <w:font w:name="ArialMT">
    <w:altName w:val="Arial"/>
    <w:panose1 w:val="020B0604020202020204"/>
    <w:charset w:val="00"/>
    <w:family w:val="auto"/>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5039"/>
    <w:rsid w:val="001E453B"/>
    <w:rsid w:val="003D0991"/>
    <w:rsid w:val="00445039"/>
    <w:rsid w:val="00490C17"/>
    <w:rsid w:val="009C60AC"/>
    <w:rsid w:val="00CA6840"/>
    <w:rsid w:val="00FE6FD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14:docId w14:val="7630F550"/>
  <w15:chartTrackingRefBased/>
  <w15:docId w15:val="{CE57CADF-2476-714C-A09A-12134D26DE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3D0991"/>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93700217">
      <w:bodyDiv w:val="1"/>
      <w:marLeft w:val="0"/>
      <w:marRight w:val="0"/>
      <w:marTop w:val="0"/>
      <w:marBottom w:val="0"/>
      <w:divBdr>
        <w:top w:val="none" w:sz="0" w:space="0" w:color="auto"/>
        <w:left w:val="none" w:sz="0" w:space="0" w:color="auto"/>
        <w:bottom w:val="none" w:sz="0" w:space="0" w:color="auto"/>
        <w:right w:val="none" w:sz="0" w:space="0" w:color="auto"/>
      </w:divBdr>
      <w:divsChild>
        <w:div w:id="1151677221">
          <w:marLeft w:val="0"/>
          <w:marRight w:val="0"/>
          <w:marTop w:val="0"/>
          <w:marBottom w:val="0"/>
          <w:divBdr>
            <w:top w:val="none" w:sz="0" w:space="0" w:color="auto"/>
            <w:left w:val="none" w:sz="0" w:space="0" w:color="auto"/>
            <w:bottom w:val="none" w:sz="0" w:space="0" w:color="auto"/>
            <w:right w:val="none" w:sz="0" w:space="0" w:color="auto"/>
          </w:divBdr>
          <w:divsChild>
            <w:div w:id="1934557559">
              <w:marLeft w:val="0"/>
              <w:marRight w:val="0"/>
              <w:marTop w:val="0"/>
              <w:marBottom w:val="0"/>
              <w:divBdr>
                <w:top w:val="none" w:sz="0" w:space="0" w:color="auto"/>
                <w:left w:val="none" w:sz="0" w:space="0" w:color="auto"/>
                <w:bottom w:val="none" w:sz="0" w:space="0" w:color="auto"/>
                <w:right w:val="none" w:sz="0" w:space="0" w:color="auto"/>
              </w:divBdr>
              <w:divsChild>
                <w:div w:id="454297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1248679">
      <w:bodyDiv w:val="1"/>
      <w:marLeft w:val="0"/>
      <w:marRight w:val="0"/>
      <w:marTop w:val="0"/>
      <w:marBottom w:val="0"/>
      <w:divBdr>
        <w:top w:val="none" w:sz="0" w:space="0" w:color="auto"/>
        <w:left w:val="none" w:sz="0" w:space="0" w:color="auto"/>
        <w:bottom w:val="none" w:sz="0" w:space="0" w:color="auto"/>
        <w:right w:val="none" w:sz="0" w:space="0" w:color="auto"/>
      </w:divBdr>
      <w:divsChild>
        <w:div w:id="1397169189">
          <w:marLeft w:val="0"/>
          <w:marRight w:val="0"/>
          <w:marTop w:val="0"/>
          <w:marBottom w:val="0"/>
          <w:divBdr>
            <w:top w:val="none" w:sz="0" w:space="0" w:color="auto"/>
            <w:left w:val="none" w:sz="0" w:space="0" w:color="auto"/>
            <w:bottom w:val="none" w:sz="0" w:space="0" w:color="auto"/>
            <w:right w:val="none" w:sz="0" w:space="0" w:color="auto"/>
          </w:divBdr>
          <w:divsChild>
            <w:div w:id="1911848440">
              <w:marLeft w:val="0"/>
              <w:marRight w:val="0"/>
              <w:marTop w:val="0"/>
              <w:marBottom w:val="0"/>
              <w:divBdr>
                <w:top w:val="none" w:sz="0" w:space="0" w:color="auto"/>
                <w:left w:val="none" w:sz="0" w:space="0" w:color="auto"/>
                <w:bottom w:val="none" w:sz="0" w:space="0" w:color="auto"/>
                <w:right w:val="none" w:sz="0" w:space="0" w:color="auto"/>
              </w:divBdr>
              <w:divsChild>
                <w:div w:id="848442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8098029">
      <w:bodyDiv w:val="1"/>
      <w:marLeft w:val="0"/>
      <w:marRight w:val="0"/>
      <w:marTop w:val="0"/>
      <w:marBottom w:val="0"/>
      <w:divBdr>
        <w:top w:val="none" w:sz="0" w:space="0" w:color="auto"/>
        <w:left w:val="none" w:sz="0" w:space="0" w:color="auto"/>
        <w:bottom w:val="none" w:sz="0" w:space="0" w:color="auto"/>
        <w:right w:val="none" w:sz="0" w:space="0" w:color="auto"/>
      </w:divBdr>
      <w:divsChild>
        <w:div w:id="202138737">
          <w:marLeft w:val="0"/>
          <w:marRight w:val="0"/>
          <w:marTop w:val="0"/>
          <w:marBottom w:val="0"/>
          <w:divBdr>
            <w:top w:val="none" w:sz="0" w:space="0" w:color="auto"/>
            <w:left w:val="none" w:sz="0" w:space="0" w:color="auto"/>
            <w:bottom w:val="none" w:sz="0" w:space="0" w:color="auto"/>
            <w:right w:val="none" w:sz="0" w:space="0" w:color="auto"/>
          </w:divBdr>
          <w:divsChild>
            <w:div w:id="2123105941">
              <w:marLeft w:val="0"/>
              <w:marRight w:val="0"/>
              <w:marTop w:val="0"/>
              <w:marBottom w:val="0"/>
              <w:divBdr>
                <w:top w:val="none" w:sz="0" w:space="0" w:color="auto"/>
                <w:left w:val="none" w:sz="0" w:space="0" w:color="auto"/>
                <w:bottom w:val="none" w:sz="0" w:space="0" w:color="auto"/>
                <w:right w:val="none" w:sz="0" w:space="0" w:color="auto"/>
              </w:divBdr>
              <w:divsChild>
                <w:div w:id="867061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4727689">
      <w:bodyDiv w:val="1"/>
      <w:marLeft w:val="0"/>
      <w:marRight w:val="0"/>
      <w:marTop w:val="0"/>
      <w:marBottom w:val="0"/>
      <w:divBdr>
        <w:top w:val="none" w:sz="0" w:space="0" w:color="auto"/>
        <w:left w:val="none" w:sz="0" w:space="0" w:color="auto"/>
        <w:bottom w:val="none" w:sz="0" w:space="0" w:color="auto"/>
        <w:right w:val="none" w:sz="0" w:space="0" w:color="auto"/>
      </w:divBdr>
      <w:divsChild>
        <w:div w:id="74011016">
          <w:marLeft w:val="0"/>
          <w:marRight w:val="0"/>
          <w:marTop w:val="0"/>
          <w:marBottom w:val="0"/>
          <w:divBdr>
            <w:top w:val="none" w:sz="0" w:space="0" w:color="auto"/>
            <w:left w:val="none" w:sz="0" w:space="0" w:color="auto"/>
            <w:bottom w:val="none" w:sz="0" w:space="0" w:color="auto"/>
            <w:right w:val="none" w:sz="0" w:space="0" w:color="auto"/>
          </w:divBdr>
          <w:divsChild>
            <w:div w:id="1839076320">
              <w:marLeft w:val="0"/>
              <w:marRight w:val="0"/>
              <w:marTop w:val="0"/>
              <w:marBottom w:val="0"/>
              <w:divBdr>
                <w:top w:val="none" w:sz="0" w:space="0" w:color="auto"/>
                <w:left w:val="none" w:sz="0" w:space="0" w:color="auto"/>
                <w:bottom w:val="none" w:sz="0" w:space="0" w:color="auto"/>
                <w:right w:val="none" w:sz="0" w:space="0" w:color="auto"/>
              </w:divBdr>
              <w:divsChild>
                <w:div w:id="1466120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2126547">
      <w:bodyDiv w:val="1"/>
      <w:marLeft w:val="0"/>
      <w:marRight w:val="0"/>
      <w:marTop w:val="0"/>
      <w:marBottom w:val="0"/>
      <w:divBdr>
        <w:top w:val="none" w:sz="0" w:space="0" w:color="auto"/>
        <w:left w:val="none" w:sz="0" w:space="0" w:color="auto"/>
        <w:bottom w:val="none" w:sz="0" w:space="0" w:color="auto"/>
        <w:right w:val="none" w:sz="0" w:space="0" w:color="auto"/>
      </w:divBdr>
      <w:divsChild>
        <w:div w:id="1366446716">
          <w:marLeft w:val="0"/>
          <w:marRight w:val="0"/>
          <w:marTop w:val="0"/>
          <w:marBottom w:val="0"/>
          <w:divBdr>
            <w:top w:val="none" w:sz="0" w:space="0" w:color="auto"/>
            <w:left w:val="none" w:sz="0" w:space="0" w:color="auto"/>
            <w:bottom w:val="none" w:sz="0" w:space="0" w:color="auto"/>
            <w:right w:val="none" w:sz="0" w:space="0" w:color="auto"/>
          </w:divBdr>
          <w:divsChild>
            <w:div w:id="1781728275">
              <w:marLeft w:val="0"/>
              <w:marRight w:val="0"/>
              <w:marTop w:val="0"/>
              <w:marBottom w:val="0"/>
              <w:divBdr>
                <w:top w:val="none" w:sz="0" w:space="0" w:color="auto"/>
                <w:left w:val="none" w:sz="0" w:space="0" w:color="auto"/>
                <w:bottom w:val="none" w:sz="0" w:space="0" w:color="auto"/>
                <w:right w:val="none" w:sz="0" w:space="0" w:color="auto"/>
              </w:divBdr>
              <w:divsChild>
                <w:div w:id="1012537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1</Pages>
  <Words>351</Words>
  <Characters>2004</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Chinipardaz, Zahra</dc:creator>
  <cp:keywords/>
  <dc:description/>
  <cp:lastModifiedBy>Chinipardaz, Zahra</cp:lastModifiedBy>
  <cp:revision>5</cp:revision>
  <dcterms:created xsi:type="dcterms:W3CDTF">2022-11-06T23:31:00Z</dcterms:created>
  <dcterms:modified xsi:type="dcterms:W3CDTF">2022-11-14T00:50:00Z</dcterms:modified>
</cp:coreProperties>
</file>