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86CEB" w14:textId="0D7F3F5B" w:rsidR="00B4478E" w:rsidRPr="00473E01" w:rsidRDefault="00BE6A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E01">
        <w:rPr>
          <w:rFonts w:ascii="Times New Roman" w:hAnsi="Times New Roman" w:cs="Times New Roman"/>
          <w:b/>
          <w:bCs/>
          <w:sz w:val="24"/>
          <w:szCs w:val="24"/>
        </w:rPr>
        <w:t>Supplementary Material Table of Contents</w:t>
      </w:r>
    </w:p>
    <w:p w14:paraId="2291241B" w14:textId="77777777" w:rsidR="00BE6A26" w:rsidRPr="00BE6A26" w:rsidRDefault="00BE6A26" w:rsidP="00BE6A26">
      <w:pPr>
        <w:rPr>
          <w:rFonts w:ascii="Times New Roman" w:hAnsi="Times New Roman" w:cs="Times New Roman"/>
          <w:sz w:val="24"/>
          <w:szCs w:val="24"/>
        </w:rPr>
      </w:pPr>
      <w:r w:rsidRPr="00BE6A26">
        <w:rPr>
          <w:rFonts w:ascii="Times New Roman" w:hAnsi="Times New Roman" w:cs="Times New Roman"/>
          <w:sz w:val="24"/>
          <w:szCs w:val="24"/>
        </w:rPr>
        <w:t xml:space="preserve">Supplementary Figure 1. Workflow of epigenome-wide association study and pyrosequencing analysis for diabetic CKD progression. CKD, chronic kidney disease; CGI, CpG island; </w:t>
      </w:r>
      <w:proofErr w:type="spellStart"/>
      <w:r w:rsidRPr="00BE6A26">
        <w:rPr>
          <w:rFonts w:ascii="Times New Roman" w:hAnsi="Times New Roman" w:cs="Times New Roman"/>
          <w:sz w:val="24"/>
          <w:szCs w:val="24"/>
        </w:rPr>
        <w:t>PheWAS</w:t>
      </w:r>
      <w:proofErr w:type="spellEnd"/>
      <w:r w:rsidRPr="00BE6A26">
        <w:rPr>
          <w:rFonts w:ascii="Times New Roman" w:hAnsi="Times New Roman" w:cs="Times New Roman"/>
          <w:sz w:val="24"/>
          <w:szCs w:val="24"/>
        </w:rPr>
        <w:t xml:space="preserve">, phenome-wide association study; DNMT, DNA methyltransferase; RT-qPCR, reverse-transcription quantitative polymerase chain reaction; RA, </w:t>
      </w:r>
      <w:proofErr w:type="spellStart"/>
      <w:r w:rsidRPr="00BE6A26">
        <w:rPr>
          <w:rFonts w:ascii="Times New Roman" w:hAnsi="Times New Roman" w:cs="Times New Roman"/>
          <w:sz w:val="24"/>
          <w:szCs w:val="24"/>
        </w:rPr>
        <w:t>Reactome</w:t>
      </w:r>
      <w:proofErr w:type="spellEnd"/>
      <w:r w:rsidRPr="00BE6A26">
        <w:rPr>
          <w:rFonts w:ascii="Times New Roman" w:hAnsi="Times New Roman" w:cs="Times New Roman"/>
          <w:sz w:val="24"/>
          <w:szCs w:val="24"/>
        </w:rPr>
        <w:t>; PPI, protein-protein interaction.</w:t>
      </w:r>
    </w:p>
    <w:p w14:paraId="7427563C" w14:textId="09F4781E" w:rsidR="00BE6A26" w:rsidRPr="00473E01" w:rsidRDefault="00BE6A26" w:rsidP="00BE6A26">
      <w:pPr>
        <w:rPr>
          <w:rFonts w:ascii="Times New Roman" w:hAnsi="Times New Roman" w:cs="Times New Roman"/>
          <w:sz w:val="24"/>
          <w:szCs w:val="24"/>
        </w:rPr>
      </w:pPr>
      <w:r w:rsidRPr="00BE6A26">
        <w:rPr>
          <w:rFonts w:ascii="Times New Roman" w:hAnsi="Times New Roman" w:cs="Times New Roman"/>
          <w:sz w:val="24"/>
          <w:szCs w:val="24"/>
        </w:rPr>
        <w:t xml:space="preserve">Supplementary Figure 2. </w:t>
      </w:r>
      <w:proofErr w:type="spellStart"/>
      <w:r w:rsidRPr="00BE6A26">
        <w:rPr>
          <w:rFonts w:ascii="Times New Roman" w:hAnsi="Times New Roman" w:cs="Times New Roman"/>
          <w:sz w:val="24"/>
          <w:szCs w:val="24"/>
        </w:rPr>
        <w:t>Circos</w:t>
      </w:r>
      <w:proofErr w:type="spellEnd"/>
      <w:r w:rsidRPr="00BE6A26">
        <w:rPr>
          <w:rFonts w:ascii="Times New Roman" w:hAnsi="Times New Roman" w:cs="Times New Roman"/>
          <w:sz w:val="24"/>
          <w:szCs w:val="24"/>
        </w:rPr>
        <w:t xml:space="preserve"> plot of the epigenome-wide association study for diabetic CKD progression. Results are presented as CpG-specific association test results (</w:t>
      </w:r>
      <w:r w:rsidRPr="00BE6A26">
        <w:rPr>
          <w:rFonts w:ascii="Times New Roman" w:eastAsia="바탕" w:hAnsi="Times New Roman" w:cs="Times New Roman"/>
          <w:sz w:val="24"/>
          <w:szCs w:val="24"/>
        </w:rPr>
        <w:t>−</w:t>
      </w:r>
      <w:r w:rsidRPr="00BE6A26">
        <w:rPr>
          <w:rFonts w:ascii="Times New Roman" w:hAnsi="Times New Roman" w:cs="Times New Roman"/>
          <w:sz w:val="24"/>
          <w:szCs w:val="24"/>
        </w:rPr>
        <w:t xml:space="preserve">log10(P-value)) ordered by genomic position. Red and blue symbols are presented as hyper-methylated and </w:t>
      </w:r>
      <w:proofErr w:type="gramStart"/>
      <w:r w:rsidRPr="00BE6A26">
        <w:rPr>
          <w:rFonts w:ascii="Times New Roman" w:hAnsi="Times New Roman" w:cs="Times New Roman"/>
          <w:sz w:val="24"/>
          <w:szCs w:val="24"/>
        </w:rPr>
        <w:t>hypo-methylated</w:t>
      </w:r>
      <w:proofErr w:type="gramEnd"/>
      <w:r w:rsidRPr="00BE6A26">
        <w:rPr>
          <w:rFonts w:ascii="Times New Roman" w:hAnsi="Times New Roman" w:cs="Times New Roman"/>
          <w:sz w:val="24"/>
          <w:szCs w:val="24"/>
        </w:rPr>
        <w:t xml:space="preserve"> CpG sites, respectively. CpG sites at loci reaching epigenome-wide significance (FDR &lt;0.05 and |</w:t>
      </w:r>
      <w:r w:rsidRPr="00BE6A26">
        <w:rPr>
          <w:rFonts w:ascii="Times New Roman" w:eastAsia="바탕" w:hAnsi="Times New Roman" w:cs="Times New Roman"/>
          <w:sz w:val="24"/>
          <w:szCs w:val="24"/>
        </w:rPr>
        <w:t>∆</w:t>
      </w:r>
      <w:r w:rsidRPr="00BE6A26">
        <w:rPr>
          <w:rFonts w:ascii="Times New Roman" w:hAnsi="Times New Roman" w:cs="Times New Roman"/>
          <w:sz w:val="24"/>
          <w:szCs w:val="24"/>
        </w:rPr>
        <w:t xml:space="preserve"> M-value| &gt;0.30)</w:t>
      </w:r>
      <w:r w:rsidR="00402B1B">
        <w:rPr>
          <w:rFonts w:ascii="Times New Roman" w:hAnsi="Times New Roman" w:cs="Times New Roman"/>
          <w:sz w:val="24"/>
          <w:szCs w:val="24"/>
        </w:rPr>
        <w:t>.</w:t>
      </w:r>
    </w:p>
    <w:p w14:paraId="7641F9D9" w14:textId="5C1AFCCE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2615829" w14:textId="3B7FD0E5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17DBD48" w14:textId="3FD32FB3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3D9B6E1" w14:textId="724988D6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A13754D" w14:textId="2787D2AE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AA3089" w14:textId="3C14AAA5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FE36297" w14:textId="514A3536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6E84A49" w14:textId="38769B0D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92714F8" w14:textId="2B5C405E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D1E1A90" w14:textId="56EDB391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80EB6C9" w14:textId="6787398C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9B7ABDE" w14:textId="26492EBA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0926F8F" w14:textId="6CCEA08E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DF25F19" w14:textId="66371121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9991107" w14:textId="302F24EB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BA80A04" w14:textId="1894E93D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3C47BF7" w14:textId="43D46C0D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74206D7" w14:textId="4B0D30F5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41C1273" w14:textId="53FCB1C0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3BE2C7" w14:textId="34779F78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F8301B7" w14:textId="77777777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  <w:sectPr w:rsidR="008B05A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C2D9AC1" w14:textId="51A06387" w:rsidR="008B05A9" w:rsidRDefault="00F860A4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  <w:r w:rsidRPr="00F860A4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117103B" wp14:editId="37D85A46">
            <wp:extent cx="8697595" cy="4512310"/>
            <wp:effectExtent l="0" t="0" r="8255" b="2540"/>
            <wp:docPr id="28" name="그림 27" descr="텍스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2EA4B418-59E1-A3E1-5396-197CDA1D20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7" descr="텍스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2EA4B418-59E1-A3E1-5396-197CDA1D20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77275" w14:textId="77777777" w:rsidR="008B05A9" w:rsidRPr="00BE6A26" w:rsidRDefault="008B05A9" w:rsidP="008B05A9">
      <w:pPr>
        <w:rPr>
          <w:rFonts w:ascii="Times New Roman" w:hAnsi="Times New Roman" w:cs="Times New Roman"/>
          <w:sz w:val="24"/>
          <w:szCs w:val="24"/>
        </w:rPr>
      </w:pPr>
      <w:r w:rsidRPr="00BE6A26">
        <w:rPr>
          <w:rFonts w:ascii="Times New Roman" w:hAnsi="Times New Roman" w:cs="Times New Roman"/>
          <w:sz w:val="24"/>
          <w:szCs w:val="24"/>
        </w:rPr>
        <w:t xml:space="preserve">Supplementary Figure 1. Workflow of epigenome-wide association study and pyrosequencing analysis for diabetic CKD progression. CKD, chronic kidney disease; CGI, CpG island; </w:t>
      </w:r>
      <w:proofErr w:type="spellStart"/>
      <w:r w:rsidRPr="00BE6A26">
        <w:rPr>
          <w:rFonts w:ascii="Times New Roman" w:hAnsi="Times New Roman" w:cs="Times New Roman"/>
          <w:sz w:val="24"/>
          <w:szCs w:val="24"/>
        </w:rPr>
        <w:t>PheWAS</w:t>
      </w:r>
      <w:proofErr w:type="spellEnd"/>
      <w:r w:rsidRPr="00BE6A26">
        <w:rPr>
          <w:rFonts w:ascii="Times New Roman" w:hAnsi="Times New Roman" w:cs="Times New Roman"/>
          <w:sz w:val="24"/>
          <w:szCs w:val="24"/>
        </w:rPr>
        <w:t xml:space="preserve">, phenome-wide association study; DNMT, DNA methyltransferase; RT-qPCR, reverse-transcription quantitative polymerase chain reaction; RA, </w:t>
      </w:r>
      <w:proofErr w:type="spellStart"/>
      <w:r w:rsidRPr="00BE6A26">
        <w:rPr>
          <w:rFonts w:ascii="Times New Roman" w:hAnsi="Times New Roman" w:cs="Times New Roman"/>
          <w:sz w:val="24"/>
          <w:szCs w:val="24"/>
        </w:rPr>
        <w:t>Reactome</w:t>
      </w:r>
      <w:proofErr w:type="spellEnd"/>
      <w:r w:rsidRPr="00BE6A26">
        <w:rPr>
          <w:rFonts w:ascii="Times New Roman" w:hAnsi="Times New Roman" w:cs="Times New Roman"/>
          <w:sz w:val="24"/>
          <w:szCs w:val="24"/>
        </w:rPr>
        <w:t>; PPI, protein-protein interaction.</w:t>
      </w:r>
    </w:p>
    <w:p w14:paraId="22FB1B39" w14:textId="50AEB51D" w:rsidR="008B05A9" w:rsidRDefault="008B05A9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96705BB" w14:textId="7767F016" w:rsidR="008B05A9" w:rsidRDefault="00402B1B" w:rsidP="004930FB">
      <w:pPr>
        <w:shd w:val="clear" w:color="auto" w:fill="FFFFFF"/>
        <w:wordWrap/>
        <w:textAlignment w:val="baseline"/>
        <w:rPr>
          <w:rFonts w:ascii="Times New Roman" w:hAnsi="Times New Roman" w:cs="Times New Roman"/>
          <w:sz w:val="24"/>
          <w:szCs w:val="24"/>
        </w:rPr>
      </w:pPr>
      <w:r w:rsidRPr="00402B1B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97277FF" wp14:editId="65AD0D70">
            <wp:extent cx="4914900" cy="4876069"/>
            <wp:effectExtent l="0" t="0" r="0" b="127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65B06C20-D30E-4BAD-B998-5DA98D6EA2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65B06C20-D30E-4BAD-B998-5DA98D6EA2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3" t="4969" r="15687" b="5452"/>
                    <a:stretch/>
                  </pic:blipFill>
                  <pic:spPr>
                    <a:xfrm>
                      <a:off x="0" y="0"/>
                      <a:ext cx="4921199" cy="48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39F83" w14:textId="27FE3DF9" w:rsidR="00402B1B" w:rsidRPr="008B05A9" w:rsidRDefault="00BD7249" w:rsidP="00AC598A">
      <w:pPr>
        <w:rPr>
          <w:rFonts w:ascii="Times New Roman" w:hAnsi="Times New Roman" w:cs="Times New Roman" w:hint="eastAsia"/>
          <w:sz w:val="24"/>
          <w:szCs w:val="24"/>
        </w:rPr>
      </w:pPr>
      <w:r w:rsidRPr="00BE6A26">
        <w:rPr>
          <w:rFonts w:ascii="Times New Roman" w:hAnsi="Times New Roman" w:cs="Times New Roman"/>
          <w:sz w:val="24"/>
          <w:szCs w:val="24"/>
        </w:rPr>
        <w:t xml:space="preserve">Supplementary Figure 2. </w:t>
      </w:r>
      <w:proofErr w:type="spellStart"/>
      <w:r w:rsidRPr="00BE6A26">
        <w:rPr>
          <w:rFonts w:ascii="Times New Roman" w:hAnsi="Times New Roman" w:cs="Times New Roman"/>
          <w:sz w:val="24"/>
          <w:szCs w:val="24"/>
        </w:rPr>
        <w:t>Circos</w:t>
      </w:r>
      <w:proofErr w:type="spellEnd"/>
      <w:r w:rsidRPr="00BE6A26">
        <w:rPr>
          <w:rFonts w:ascii="Times New Roman" w:hAnsi="Times New Roman" w:cs="Times New Roman"/>
          <w:sz w:val="24"/>
          <w:szCs w:val="24"/>
        </w:rPr>
        <w:t xml:space="preserve"> plot of the epigenome-wide association study for diabetic CKD progression. Results are presented as CpG-specific association test results (</w:t>
      </w:r>
      <w:r w:rsidRPr="00BE6A26">
        <w:rPr>
          <w:rFonts w:ascii="Times New Roman" w:eastAsia="바탕" w:hAnsi="Times New Roman" w:cs="Times New Roman"/>
          <w:sz w:val="24"/>
          <w:szCs w:val="24"/>
        </w:rPr>
        <w:t>−</w:t>
      </w:r>
      <w:r w:rsidRPr="00BE6A26">
        <w:rPr>
          <w:rFonts w:ascii="Times New Roman" w:hAnsi="Times New Roman" w:cs="Times New Roman"/>
          <w:sz w:val="24"/>
          <w:szCs w:val="24"/>
        </w:rPr>
        <w:t xml:space="preserve">log10(P-value)) ordered by genomic position. Red and blue symbols are presented as hyper-methylated and </w:t>
      </w:r>
      <w:proofErr w:type="gramStart"/>
      <w:r w:rsidRPr="00BE6A26">
        <w:rPr>
          <w:rFonts w:ascii="Times New Roman" w:hAnsi="Times New Roman" w:cs="Times New Roman"/>
          <w:sz w:val="24"/>
          <w:szCs w:val="24"/>
        </w:rPr>
        <w:t>hypo-methylated</w:t>
      </w:r>
      <w:proofErr w:type="gramEnd"/>
      <w:r w:rsidRPr="00BE6A26">
        <w:rPr>
          <w:rFonts w:ascii="Times New Roman" w:hAnsi="Times New Roman" w:cs="Times New Roman"/>
          <w:sz w:val="24"/>
          <w:szCs w:val="24"/>
        </w:rPr>
        <w:t xml:space="preserve"> CpG sites, respectively. CpG sites at loci reaching epigenome-wide significance (FDR &lt;0.05 and |</w:t>
      </w:r>
      <w:r w:rsidRPr="00BE6A26">
        <w:rPr>
          <w:rFonts w:ascii="Times New Roman" w:eastAsia="바탕" w:hAnsi="Times New Roman" w:cs="Times New Roman"/>
          <w:sz w:val="24"/>
          <w:szCs w:val="24"/>
        </w:rPr>
        <w:t>∆</w:t>
      </w:r>
      <w:r w:rsidRPr="00BE6A26">
        <w:rPr>
          <w:rFonts w:ascii="Times New Roman" w:hAnsi="Times New Roman" w:cs="Times New Roman"/>
          <w:sz w:val="24"/>
          <w:szCs w:val="24"/>
        </w:rPr>
        <w:t xml:space="preserve"> M-value| &gt;0.30)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02B1B" w:rsidRPr="008B05A9" w:rsidSect="008B05A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2A6BF" w14:textId="77777777" w:rsidR="00C104E8" w:rsidRDefault="00C104E8" w:rsidP="00473E01">
      <w:pPr>
        <w:spacing w:after="0" w:line="240" w:lineRule="auto"/>
      </w:pPr>
      <w:r>
        <w:separator/>
      </w:r>
    </w:p>
  </w:endnote>
  <w:endnote w:type="continuationSeparator" w:id="0">
    <w:p w14:paraId="441208E2" w14:textId="77777777" w:rsidR="00C104E8" w:rsidRDefault="00C104E8" w:rsidP="0047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CB1D3" w14:textId="77777777" w:rsidR="00C104E8" w:rsidRDefault="00C104E8" w:rsidP="00473E01">
      <w:pPr>
        <w:spacing w:after="0" w:line="240" w:lineRule="auto"/>
      </w:pPr>
      <w:r>
        <w:separator/>
      </w:r>
    </w:p>
  </w:footnote>
  <w:footnote w:type="continuationSeparator" w:id="0">
    <w:p w14:paraId="1984F19F" w14:textId="77777777" w:rsidR="00C104E8" w:rsidRDefault="00C104E8" w:rsidP="00473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26"/>
    <w:rsid w:val="00402B1B"/>
    <w:rsid w:val="00473E01"/>
    <w:rsid w:val="004930FB"/>
    <w:rsid w:val="00694B6F"/>
    <w:rsid w:val="008B05A9"/>
    <w:rsid w:val="00AC598A"/>
    <w:rsid w:val="00B4478E"/>
    <w:rsid w:val="00BD7249"/>
    <w:rsid w:val="00BE6A26"/>
    <w:rsid w:val="00C104E8"/>
    <w:rsid w:val="00DE658B"/>
    <w:rsid w:val="00F8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2E979"/>
  <w15:chartTrackingRefBased/>
  <w15:docId w15:val="{8750F95B-0E4A-4C51-A4D3-6361E853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3E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73E01"/>
  </w:style>
  <w:style w:type="paragraph" w:styleId="a4">
    <w:name w:val="footer"/>
    <w:basedOn w:val="a"/>
    <w:link w:val="Char0"/>
    <w:uiPriority w:val="99"/>
    <w:unhideWhenUsed/>
    <w:rsid w:val="00473E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7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4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SangJun</dc:creator>
  <cp:keywords/>
  <dc:description/>
  <cp:lastModifiedBy>Lee SangJun</cp:lastModifiedBy>
  <cp:revision>9</cp:revision>
  <dcterms:created xsi:type="dcterms:W3CDTF">2022-11-02T07:39:00Z</dcterms:created>
  <dcterms:modified xsi:type="dcterms:W3CDTF">2022-11-03T02:02:00Z</dcterms:modified>
</cp:coreProperties>
</file>