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spacing w:after="0" w:line="480" w:lineRule="auto"/>
        <w:jc w:val="center"/>
        <w:rPr>
          <w:b w:val="1"/>
          <w:bCs w:val="1"/>
          <w:sz w:val="20"/>
          <w:szCs w:val="2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0"/>
          <w:szCs w:val="20"/>
          <w:rtl w:val="0"/>
          <w:lang w:val="en-US"/>
          <w14:textOutline w14:w="12700" w14:cap="flat">
            <w14:noFill/>
            <w14:miter w14:lim="400000"/>
          </w14:textOutline>
        </w:rPr>
        <w:t>Supplementary Material</w:t>
      </w:r>
    </w:p>
    <w:p>
      <w:pPr>
        <w:pStyle w:val="Corpo A"/>
        <w:suppressAutoHyphens w:val="1"/>
        <w:spacing w:after="0" w:line="480" w:lineRule="auto"/>
        <w:jc w:val="center"/>
        <w:rPr>
          <w:b w:val="1"/>
          <w:bCs w:val="1"/>
          <w:i w:val="1"/>
          <w:iCs w:val="1"/>
          <w:sz w:val="20"/>
          <w:szCs w:val="20"/>
          <w:lang w:val="en-US"/>
          <w14:textOutline>
            <w14:noFill/>
          </w14:textOutline>
        </w:rPr>
      </w:pPr>
    </w:p>
    <w:p>
      <w:pPr>
        <w:pStyle w:val="Padrão A"/>
        <w:spacing w:before="0" w:line="480" w:lineRule="auto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en-US"/>
        </w:rPr>
        <w:t>Analyses of variance</w:t>
      </w:r>
    </w:p>
    <w:p>
      <w:pPr>
        <w:pStyle w:val="Padrã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</w:tabs>
        <w:suppressAutoHyphens w:val="1"/>
        <w:spacing w:before="0" w:line="480" w:lineRule="auto"/>
        <w:jc w:val="both"/>
        <w:rPr>
          <w:b w:val="1"/>
          <w:bCs w:val="1"/>
          <w:sz w:val="20"/>
          <w:szCs w:val="20"/>
        </w:rPr>
      </w:pPr>
    </w:p>
    <w:p>
      <w:pPr>
        <w:pStyle w:val="Padrã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</w:tabs>
        <w:suppressAutoHyphens w:val="1"/>
        <w:spacing w:before="0" w:line="480" w:lineRule="auto"/>
        <w:jc w:val="both"/>
        <w:rPr>
          <w:sz w:val="20"/>
          <w:szCs w:val="20"/>
        </w:rPr>
      </w:pPr>
      <w:r>
        <w:rPr>
          <w:outline w:val="0"/>
          <w:color w:val="3f6797"/>
          <w:sz w:val="20"/>
          <w:szCs w:val="20"/>
          <w:u w:color="800080"/>
          <w:rtl w:val="0"/>
          <w:lang w:val="en-US"/>
          <w14:textFill>
            <w14:solidFill>
              <w14:srgbClr w14:val="3F6797"/>
            </w14:solidFill>
          </w14:textFill>
        </w:rPr>
        <w:t>Tables S1</w:t>
      </w:r>
      <w:r>
        <w:rPr>
          <w:sz w:val="20"/>
          <w:szCs w:val="20"/>
          <w:rtl w:val="0"/>
          <w:lang w:val="en-US"/>
        </w:rPr>
        <w:t xml:space="preserve"> and </w:t>
      </w:r>
      <w:r>
        <w:rPr>
          <w:outline w:val="0"/>
          <w:color w:val="3f6797"/>
          <w:sz w:val="20"/>
          <w:szCs w:val="20"/>
          <w:u w:color="800080"/>
          <w:rtl w:val="0"/>
          <w:lang w:val="en-US"/>
          <w14:textFill>
            <w14:solidFill>
              <w14:srgbClr w14:val="3F6797"/>
            </w14:solidFill>
          </w14:textFill>
        </w:rPr>
        <w:t>S2</w:t>
      </w:r>
      <w:r>
        <w:rPr>
          <w:sz w:val="20"/>
          <w:szCs w:val="20"/>
          <w:rtl w:val="0"/>
          <w:lang w:val="en-US"/>
        </w:rPr>
        <w:t xml:space="preserve"> present the analysis of variance for the photocatalytic degradation of </w:t>
      </w:r>
      <w:r>
        <w:rPr>
          <w:sz w:val="20"/>
          <w:szCs w:val="20"/>
          <w:rtl w:val="0"/>
          <w:lang w:val="pt-PT"/>
        </w:rPr>
        <w:t>HA and FAH</w:t>
      </w:r>
      <w:r>
        <w:rPr>
          <w:sz w:val="20"/>
          <w:szCs w:val="20"/>
          <w:rtl w:val="0"/>
          <w:lang w:val="en-US"/>
        </w:rPr>
        <w:t>, respectively.</w:t>
      </w:r>
    </w:p>
    <w:p>
      <w:pPr>
        <w:pStyle w:val="Padrã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</w:tabs>
        <w:suppressAutoHyphens w:val="1"/>
        <w:spacing w:before="0" w:line="480" w:lineRule="auto"/>
        <w:jc w:val="both"/>
        <w:rPr>
          <w:sz w:val="20"/>
          <w:szCs w:val="20"/>
        </w:rPr>
      </w:pPr>
    </w:p>
    <w:p>
      <w:pPr>
        <w:pStyle w:val="Padrão A"/>
        <w:keepNext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</w:tabs>
        <w:suppressAutoHyphens w:val="1"/>
        <w:spacing w:before="0" w:line="480" w:lineRule="auto"/>
        <w:jc w:val="both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en-US"/>
        </w:rPr>
        <w:t>Table S1</w:t>
      </w:r>
      <w:r>
        <w:rPr>
          <w:sz w:val="20"/>
          <w:szCs w:val="20"/>
          <w:rtl w:val="0"/>
          <w:lang w:val="en-US"/>
        </w:rPr>
        <w:t xml:space="preserve"> Analysis of variance for humic acid degradation.</w:t>
      </w:r>
    </w:p>
    <w:tbl>
      <w:tblPr>
        <w:tblW w:w="902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38"/>
        <w:gridCol w:w="992"/>
        <w:gridCol w:w="1297"/>
        <w:gridCol w:w="1299"/>
        <w:gridCol w:w="1299"/>
        <w:gridCol w:w="1295"/>
      </w:tblGrid>
      <w:tr>
        <w:tblPrEx>
          <w:shd w:val="clear" w:color="auto" w:fill="ced7e7"/>
        </w:tblPrEx>
        <w:trPr>
          <w:trHeight w:val="365" w:hRule="atLeast"/>
        </w:trPr>
        <w:tc>
          <w:tcPr>
            <w:tcW w:type="dxa" w:w="2838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Source</w:t>
            </w:r>
          </w:p>
        </w:tc>
        <w:tc>
          <w:tcPr>
            <w:tcW w:type="dxa" w:w="992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df</w:t>
            </w:r>
          </w:p>
        </w:tc>
        <w:tc>
          <w:tcPr>
            <w:tcW w:type="dxa" w:w="1297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Adj SS</w:t>
            </w:r>
          </w:p>
        </w:tc>
        <w:tc>
          <w:tcPr>
            <w:tcW w:type="dxa" w:w="1299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Adj MS</w:t>
            </w:r>
          </w:p>
        </w:tc>
        <w:tc>
          <w:tcPr>
            <w:tcW w:type="dxa" w:w="1299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  <w:lang w:val="en-US"/>
              </w:rPr>
              <w:t>F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-value</w:t>
            </w:r>
          </w:p>
        </w:tc>
        <w:tc>
          <w:tcPr>
            <w:tcW w:type="dxa" w:w="1295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  <w:lang w:val="en-US"/>
              </w:rPr>
              <w:t>P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-value</w:t>
            </w:r>
          </w:p>
        </w:tc>
      </w:tr>
      <w:tr>
        <w:tblPrEx>
          <w:shd w:val="clear" w:color="auto" w:fill="ced7e7"/>
        </w:tblPrEx>
        <w:trPr>
          <w:trHeight w:val="357" w:hRule="atLeast"/>
        </w:trPr>
        <w:tc>
          <w:tcPr>
            <w:tcW w:type="dxa" w:w="2838"/>
            <w:tcBorders>
              <w:top w:val="single" w:color="000000" w:sz="6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Regression</w:t>
            </w:r>
          </w:p>
        </w:tc>
        <w:tc>
          <w:tcPr>
            <w:tcW w:type="dxa" w:w="992"/>
            <w:tcBorders>
              <w:top w:val="single" w:color="000000" w:sz="6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4</w:t>
            </w:r>
          </w:p>
        </w:tc>
        <w:tc>
          <w:tcPr>
            <w:tcW w:type="dxa" w:w="1297"/>
            <w:tcBorders>
              <w:top w:val="single" w:color="000000" w:sz="6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0.078088</w:t>
            </w:r>
          </w:p>
        </w:tc>
        <w:tc>
          <w:tcPr>
            <w:tcW w:type="dxa" w:w="1299"/>
            <w:tcBorders>
              <w:top w:val="single" w:color="000000" w:sz="6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0.019522</w:t>
            </w:r>
          </w:p>
        </w:tc>
        <w:tc>
          <w:tcPr>
            <w:tcW w:type="dxa" w:w="1299"/>
            <w:tcBorders>
              <w:top w:val="single" w:color="000000" w:sz="6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33.98</w:t>
            </w:r>
          </w:p>
        </w:tc>
        <w:tc>
          <w:tcPr>
            <w:tcW w:type="dxa" w:w="1295"/>
            <w:tcBorders>
              <w:top w:val="single" w:color="000000" w:sz="6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0.001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[ZnO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TiO</w:t>
            </w:r>
            <w:r>
              <w:rPr>
                <w:sz w:val="20"/>
                <w:szCs w:val="20"/>
                <w:vertAlign w:val="subscript"/>
                <w:rtl w:val="0"/>
                <w:lang w:val="en-US"/>
              </w:rPr>
              <w:t>2</w:t>
            </w:r>
            <w:r>
              <w:rPr>
                <w:sz w:val="20"/>
                <w:szCs w:val="20"/>
                <w:rtl w:val="0"/>
                <w:lang w:val="en-US"/>
              </w:rPr>
              <w:t>]</w:t>
            </w:r>
          </w:p>
        </w:tc>
        <w:tc>
          <w:tcPr>
            <w:tcW w:type="dxa" w:w="9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1</w:t>
            </w:r>
          </w:p>
        </w:tc>
        <w:tc>
          <w:tcPr>
            <w:tcW w:type="dxa" w:w="12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0.007812</w:t>
            </w:r>
          </w:p>
        </w:tc>
        <w:tc>
          <w:tcPr>
            <w:tcW w:type="dxa" w:w="12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0.007812</w:t>
            </w:r>
          </w:p>
        </w:tc>
        <w:tc>
          <w:tcPr>
            <w:tcW w:type="dxa" w:w="12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13.60</w:t>
            </w:r>
          </w:p>
        </w:tc>
        <w:tc>
          <w:tcPr>
            <w:tcW w:type="dxa" w:w="12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0.014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Replicate</w:t>
            </w:r>
          </w:p>
        </w:tc>
        <w:tc>
          <w:tcPr>
            <w:tcW w:type="dxa" w:w="9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1</w:t>
            </w:r>
          </w:p>
        </w:tc>
        <w:tc>
          <w:tcPr>
            <w:tcW w:type="dxa" w:w="12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0.007840</w:t>
            </w:r>
          </w:p>
        </w:tc>
        <w:tc>
          <w:tcPr>
            <w:tcW w:type="dxa" w:w="12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0.007840</w:t>
            </w:r>
          </w:p>
        </w:tc>
        <w:tc>
          <w:tcPr>
            <w:tcW w:type="dxa" w:w="12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13.65</w:t>
            </w:r>
          </w:p>
        </w:tc>
        <w:tc>
          <w:tcPr>
            <w:tcW w:type="dxa" w:w="12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0.014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[ZnO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TiO</w:t>
            </w:r>
            <w:r>
              <w:rPr>
                <w:sz w:val="20"/>
                <w:szCs w:val="20"/>
                <w:vertAlign w:val="subscript"/>
                <w:rtl w:val="0"/>
                <w:lang w:val="en-US"/>
              </w:rPr>
              <w:t>2</w:t>
            </w:r>
            <w:r>
              <w:rPr>
                <w:sz w:val="20"/>
                <w:szCs w:val="20"/>
                <w:rtl w:val="0"/>
                <w:lang w:val="en-US"/>
              </w:rPr>
              <w:t>]*[ZnO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TiO</w:t>
            </w:r>
            <w:r>
              <w:rPr>
                <w:sz w:val="20"/>
                <w:szCs w:val="20"/>
                <w:vertAlign w:val="subscript"/>
                <w:rtl w:val="0"/>
                <w:lang w:val="en-US"/>
              </w:rPr>
              <w:t>2</w:t>
            </w:r>
            <w:r>
              <w:rPr>
                <w:sz w:val="20"/>
                <w:szCs w:val="20"/>
                <w:rtl w:val="0"/>
                <w:lang w:val="en-US"/>
              </w:rPr>
              <w:t>]</w:t>
            </w:r>
          </w:p>
        </w:tc>
        <w:tc>
          <w:tcPr>
            <w:tcW w:type="dxa" w:w="9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1</w:t>
            </w:r>
          </w:p>
        </w:tc>
        <w:tc>
          <w:tcPr>
            <w:tcW w:type="dxa" w:w="12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0.018922</w:t>
            </w:r>
          </w:p>
        </w:tc>
        <w:tc>
          <w:tcPr>
            <w:tcW w:type="dxa" w:w="12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0.018922</w:t>
            </w:r>
          </w:p>
        </w:tc>
        <w:tc>
          <w:tcPr>
            <w:tcW w:type="dxa" w:w="12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32.94</w:t>
            </w:r>
          </w:p>
        </w:tc>
        <w:tc>
          <w:tcPr>
            <w:tcW w:type="dxa" w:w="12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0.002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[ZnO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TiO</w:t>
            </w:r>
            <w:r>
              <w:rPr>
                <w:sz w:val="20"/>
                <w:szCs w:val="20"/>
                <w:vertAlign w:val="subscript"/>
                <w:rtl w:val="0"/>
                <w:lang w:val="en-US"/>
              </w:rPr>
              <w:t>2</w:t>
            </w:r>
            <w:r>
              <w:rPr>
                <w:sz w:val="20"/>
                <w:szCs w:val="20"/>
                <w:rtl w:val="0"/>
                <w:lang w:val="en-US"/>
              </w:rPr>
              <w:t>]*[pH]</w:t>
            </w:r>
          </w:p>
        </w:tc>
        <w:tc>
          <w:tcPr>
            <w:tcW w:type="dxa" w:w="9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1</w:t>
            </w:r>
          </w:p>
        </w:tc>
        <w:tc>
          <w:tcPr>
            <w:tcW w:type="dxa" w:w="12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0.043513</w:t>
            </w:r>
          </w:p>
        </w:tc>
        <w:tc>
          <w:tcPr>
            <w:tcW w:type="dxa" w:w="12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0.043513</w:t>
            </w:r>
          </w:p>
        </w:tc>
        <w:tc>
          <w:tcPr>
            <w:tcW w:type="dxa" w:w="12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75.74</w:t>
            </w:r>
          </w:p>
        </w:tc>
        <w:tc>
          <w:tcPr>
            <w:tcW w:type="dxa" w:w="12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0.000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Error</w:t>
            </w:r>
          </w:p>
        </w:tc>
        <w:tc>
          <w:tcPr>
            <w:tcW w:type="dxa" w:w="9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5</w:t>
            </w:r>
          </w:p>
        </w:tc>
        <w:tc>
          <w:tcPr>
            <w:tcW w:type="dxa" w:w="12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0.002873</w:t>
            </w:r>
          </w:p>
        </w:tc>
        <w:tc>
          <w:tcPr>
            <w:tcW w:type="dxa" w:w="12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0.000575</w:t>
            </w:r>
          </w:p>
        </w:tc>
        <w:tc>
          <w:tcPr>
            <w:tcW w:type="dxa" w:w="12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7" w:hRule="atLeast"/>
        </w:trPr>
        <w:tc>
          <w:tcPr>
            <w:tcW w:type="dxa" w:w="2838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Total</w:t>
            </w:r>
          </w:p>
        </w:tc>
        <w:tc>
          <w:tcPr>
            <w:tcW w:type="dxa" w:w="992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9</w:t>
            </w:r>
          </w:p>
        </w:tc>
        <w:tc>
          <w:tcPr>
            <w:tcW w:type="dxa" w:w="1297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0.080960</w:t>
            </w:r>
          </w:p>
        </w:tc>
        <w:tc>
          <w:tcPr>
            <w:tcW w:type="dxa" w:w="1299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9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Padrão 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</w:tabs>
        <w:suppressAutoHyphens w:val="1"/>
        <w:spacing w:before="0" w:line="240" w:lineRule="auto"/>
        <w:ind w:left="108" w:hanging="108"/>
        <w:rPr>
          <w:sz w:val="20"/>
          <w:szCs w:val="20"/>
        </w:rPr>
      </w:pPr>
    </w:p>
    <w:p>
      <w:pPr>
        <w:pStyle w:val="Padrã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</w:tabs>
        <w:suppressAutoHyphens w:val="1"/>
        <w:spacing w:before="0" w:line="48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pt-PT"/>
        </w:rPr>
        <w:t xml:space="preserve">S =  </w:t>
      </w:r>
      <w:r>
        <w:rPr>
          <w:sz w:val="20"/>
          <w:szCs w:val="20"/>
          <w:rtl w:val="0"/>
          <w:lang w:val="en-US"/>
        </w:rPr>
        <w:t>0.0239687</w:t>
      </w:r>
      <w:r>
        <w:rPr>
          <w:sz w:val="20"/>
          <w:szCs w:val="20"/>
          <w:rtl w:val="0"/>
          <w:lang w:val="pt-PT"/>
        </w:rPr>
        <w:t xml:space="preserve">. </w:t>
      </w:r>
      <w:r>
        <w:rPr>
          <w:i w:val="1"/>
          <w:iCs w:val="1"/>
          <w:sz w:val="20"/>
          <w:szCs w:val="20"/>
          <w:rtl w:val="0"/>
          <w:lang w:val="en-US"/>
        </w:rPr>
        <w:t>R</w:t>
      </w:r>
      <w:r>
        <w:rPr>
          <w:sz w:val="20"/>
          <w:szCs w:val="20"/>
          <w:vertAlign w:val="superscript"/>
          <w:rtl w:val="0"/>
          <w:lang w:val="en-US"/>
        </w:rPr>
        <w:t>2</w:t>
      </w:r>
      <w:r>
        <w:rPr>
          <w:sz w:val="20"/>
          <w:szCs w:val="20"/>
          <w:rtl w:val="0"/>
          <w:lang w:val="pt-PT"/>
        </w:rPr>
        <w:t xml:space="preserve"> = </w:t>
      </w:r>
      <w:r>
        <w:rPr>
          <w:sz w:val="20"/>
          <w:szCs w:val="20"/>
          <w:rtl w:val="0"/>
          <w:lang w:val="en-US"/>
        </w:rPr>
        <w:t>96.45%</w:t>
      </w:r>
      <w:r>
        <w:rPr>
          <w:sz w:val="20"/>
          <w:szCs w:val="20"/>
          <w:rtl w:val="0"/>
          <w:lang w:val="pt-PT"/>
        </w:rPr>
        <w:t xml:space="preserve">. </w:t>
      </w:r>
      <w:r>
        <w:rPr>
          <w:sz w:val="20"/>
          <w:szCs w:val="20"/>
          <w:rtl w:val="0"/>
          <w:lang w:val="en-US"/>
        </w:rPr>
        <w:t>Adjusted R</w:t>
      </w:r>
      <w:r>
        <w:rPr>
          <w:sz w:val="20"/>
          <w:szCs w:val="20"/>
          <w:vertAlign w:val="superscript"/>
          <w:rtl w:val="0"/>
          <w:lang w:val="en-US"/>
        </w:rPr>
        <w:t>2</w:t>
      </w:r>
      <w:r>
        <w:rPr>
          <w:sz w:val="20"/>
          <w:szCs w:val="20"/>
          <w:rtl w:val="0"/>
          <w:lang w:val="pt-PT"/>
        </w:rPr>
        <w:t xml:space="preserve"> = </w:t>
      </w:r>
      <w:r>
        <w:rPr>
          <w:sz w:val="20"/>
          <w:szCs w:val="20"/>
          <w:rtl w:val="0"/>
          <w:lang w:val="en-US"/>
        </w:rPr>
        <w:t>93.61%</w:t>
      </w:r>
      <w:r>
        <w:rPr>
          <w:sz w:val="20"/>
          <w:szCs w:val="20"/>
          <w:rtl w:val="0"/>
          <w:lang w:val="pt-PT"/>
        </w:rPr>
        <w:t xml:space="preserve">. </w:t>
      </w:r>
      <w:r>
        <w:rPr>
          <w:sz w:val="20"/>
          <w:szCs w:val="20"/>
          <w:rtl w:val="0"/>
          <w:lang w:val="en-US"/>
        </w:rPr>
        <w:t>Predicted R</w:t>
      </w:r>
      <w:r>
        <w:rPr>
          <w:sz w:val="20"/>
          <w:szCs w:val="20"/>
          <w:vertAlign w:val="superscript"/>
          <w:rtl w:val="0"/>
          <w:lang w:val="en-US"/>
        </w:rPr>
        <w:t>2</w:t>
      </w:r>
      <w:r>
        <w:rPr>
          <w:sz w:val="20"/>
          <w:szCs w:val="20"/>
          <w:rtl w:val="0"/>
          <w:lang w:val="pt-PT"/>
        </w:rPr>
        <w:t xml:space="preserve"> = </w:t>
      </w:r>
      <w:r>
        <w:rPr>
          <w:sz w:val="20"/>
          <w:szCs w:val="20"/>
          <w:rtl w:val="0"/>
          <w:lang w:val="en-US"/>
        </w:rPr>
        <w:t>86.03%</w:t>
      </w:r>
    </w:p>
    <w:p>
      <w:pPr>
        <w:pStyle w:val="Padrão A"/>
        <w:keepNext w:val="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</w:tabs>
        <w:suppressAutoHyphens w:val="1"/>
        <w:spacing w:before="0" w:line="240" w:lineRule="auto"/>
        <w:rPr>
          <w:sz w:val="20"/>
          <w:szCs w:val="20"/>
        </w:rPr>
      </w:pPr>
    </w:p>
    <w:p>
      <w:pPr>
        <w:pStyle w:val="Padrão A"/>
        <w:keepNext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</w:tabs>
        <w:suppressAutoHyphens w:val="1"/>
        <w:spacing w:before="0" w:line="480" w:lineRule="auto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en-US"/>
        </w:rPr>
        <w:t>Table S2</w:t>
      </w:r>
      <w:r>
        <w:rPr>
          <w:sz w:val="20"/>
          <w:szCs w:val="20"/>
          <w:rtl w:val="0"/>
          <w:lang w:val="en-US"/>
        </w:rPr>
        <w:t xml:space="preserve">  Analysis of variance for fulvic acid + humin degradation.</w:t>
      </w:r>
    </w:p>
    <w:tbl>
      <w:tblPr>
        <w:tblW w:w="9019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36"/>
        <w:gridCol w:w="709"/>
        <w:gridCol w:w="1369"/>
        <w:gridCol w:w="1369"/>
        <w:gridCol w:w="1370"/>
        <w:gridCol w:w="1366"/>
      </w:tblGrid>
      <w:tr>
        <w:tblPrEx>
          <w:shd w:val="clear" w:color="auto" w:fill="ced7e7"/>
        </w:tblPrEx>
        <w:trPr>
          <w:trHeight w:val="365" w:hRule="atLeast"/>
        </w:trPr>
        <w:tc>
          <w:tcPr>
            <w:tcW w:type="dxa" w:w="2836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Source</w:t>
            </w:r>
          </w:p>
        </w:tc>
        <w:tc>
          <w:tcPr>
            <w:tcW w:type="dxa" w:w="709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df</w:t>
            </w:r>
          </w:p>
        </w:tc>
        <w:tc>
          <w:tcPr>
            <w:tcW w:type="dxa" w:w="1369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Adj SS</w:t>
            </w:r>
          </w:p>
        </w:tc>
        <w:tc>
          <w:tcPr>
            <w:tcW w:type="dxa" w:w="1369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Adj MS</w:t>
            </w:r>
          </w:p>
        </w:tc>
        <w:tc>
          <w:tcPr>
            <w:tcW w:type="dxa" w:w="13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  <w:lang w:val="en-US"/>
              </w:rPr>
              <w:t>F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-value</w:t>
            </w:r>
          </w:p>
        </w:tc>
        <w:tc>
          <w:tcPr>
            <w:tcW w:type="dxa" w:w="1366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  <w:lang w:val="en-US"/>
              </w:rPr>
              <w:t>P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-value</w:t>
            </w:r>
          </w:p>
        </w:tc>
      </w:tr>
      <w:tr>
        <w:tblPrEx>
          <w:shd w:val="clear" w:color="auto" w:fill="ced7e7"/>
        </w:tblPrEx>
        <w:trPr>
          <w:trHeight w:val="357" w:hRule="atLeast"/>
        </w:trPr>
        <w:tc>
          <w:tcPr>
            <w:tcW w:type="dxa" w:w="2836"/>
            <w:tcBorders>
              <w:top w:val="single" w:color="000000" w:sz="6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Regression</w:t>
            </w:r>
          </w:p>
        </w:tc>
        <w:tc>
          <w:tcPr>
            <w:tcW w:type="dxa" w:w="709"/>
            <w:tcBorders>
              <w:top w:val="single" w:color="000000" w:sz="6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4</w:t>
            </w:r>
          </w:p>
        </w:tc>
        <w:tc>
          <w:tcPr>
            <w:tcW w:type="dxa" w:w="1369"/>
            <w:tcBorders>
              <w:top w:val="single" w:color="000000" w:sz="6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0.043080</w:t>
            </w:r>
          </w:p>
        </w:tc>
        <w:tc>
          <w:tcPr>
            <w:tcW w:type="dxa" w:w="1369"/>
            <w:tcBorders>
              <w:top w:val="single" w:color="000000" w:sz="6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0.010770</w:t>
            </w:r>
          </w:p>
        </w:tc>
        <w:tc>
          <w:tcPr>
            <w:tcW w:type="dxa" w:w="1370"/>
            <w:tcBorders>
              <w:top w:val="single" w:color="000000" w:sz="6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149.58</w:t>
            </w:r>
          </w:p>
        </w:tc>
        <w:tc>
          <w:tcPr>
            <w:tcW w:type="dxa" w:w="1366"/>
            <w:tcBorders>
              <w:top w:val="single" w:color="000000" w:sz="6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0.000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[ZnO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TiO</w:t>
            </w:r>
            <w:r>
              <w:rPr>
                <w:sz w:val="20"/>
                <w:szCs w:val="20"/>
                <w:vertAlign w:val="subscript"/>
                <w:rtl w:val="0"/>
                <w:lang w:val="en-US"/>
              </w:rPr>
              <w:t>2</w:t>
            </w:r>
            <w:r>
              <w:rPr>
                <w:sz w:val="20"/>
                <w:szCs w:val="20"/>
                <w:rtl w:val="0"/>
                <w:lang w:val="en-US"/>
              </w:rPr>
              <w:t>]</w:t>
            </w:r>
          </w:p>
        </w:tc>
        <w:tc>
          <w:tcPr>
            <w:tcW w:type="dxa" w:w="70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1</w:t>
            </w:r>
          </w:p>
        </w:tc>
        <w:tc>
          <w:tcPr>
            <w:tcW w:type="dxa" w:w="13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0.028800</w:t>
            </w:r>
          </w:p>
        </w:tc>
        <w:tc>
          <w:tcPr>
            <w:tcW w:type="dxa" w:w="13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0.028800</w:t>
            </w:r>
          </w:p>
        </w:tc>
        <w:tc>
          <w:tcPr>
            <w:tcW w:type="dxa" w:w="1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400.00</w:t>
            </w:r>
          </w:p>
        </w:tc>
        <w:tc>
          <w:tcPr>
            <w:tcW w:type="dxa" w:w="13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0.000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Replicate</w:t>
            </w:r>
          </w:p>
        </w:tc>
        <w:tc>
          <w:tcPr>
            <w:tcW w:type="dxa" w:w="70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1</w:t>
            </w:r>
          </w:p>
        </w:tc>
        <w:tc>
          <w:tcPr>
            <w:tcW w:type="dxa" w:w="13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0.007840</w:t>
            </w:r>
          </w:p>
        </w:tc>
        <w:tc>
          <w:tcPr>
            <w:tcW w:type="dxa" w:w="13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0.007840</w:t>
            </w:r>
          </w:p>
        </w:tc>
        <w:tc>
          <w:tcPr>
            <w:tcW w:type="dxa" w:w="1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108.89</w:t>
            </w:r>
          </w:p>
        </w:tc>
        <w:tc>
          <w:tcPr>
            <w:tcW w:type="dxa" w:w="13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0.000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[ZnO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TiO</w:t>
            </w:r>
            <w:r>
              <w:rPr>
                <w:sz w:val="20"/>
                <w:szCs w:val="20"/>
                <w:vertAlign w:val="subscript"/>
                <w:rtl w:val="0"/>
                <w:lang w:val="en-US"/>
              </w:rPr>
              <w:t>2</w:t>
            </w:r>
            <w:r>
              <w:rPr>
                <w:sz w:val="20"/>
                <w:szCs w:val="20"/>
                <w:rtl w:val="0"/>
                <w:lang w:val="en-US"/>
              </w:rPr>
              <w:t>]*[ZnO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TiO</w:t>
            </w:r>
            <w:r>
              <w:rPr>
                <w:sz w:val="20"/>
                <w:szCs w:val="20"/>
                <w:vertAlign w:val="subscript"/>
                <w:rtl w:val="0"/>
                <w:lang w:val="en-US"/>
              </w:rPr>
              <w:t>2</w:t>
            </w:r>
            <w:r>
              <w:rPr>
                <w:sz w:val="20"/>
                <w:szCs w:val="20"/>
                <w:rtl w:val="0"/>
                <w:lang w:val="en-US"/>
              </w:rPr>
              <w:t>]</w:t>
            </w:r>
          </w:p>
        </w:tc>
        <w:tc>
          <w:tcPr>
            <w:tcW w:type="dxa" w:w="70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1</w:t>
            </w:r>
          </w:p>
        </w:tc>
        <w:tc>
          <w:tcPr>
            <w:tcW w:type="dxa" w:w="13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0.003240</w:t>
            </w:r>
          </w:p>
        </w:tc>
        <w:tc>
          <w:tcPr>
            <w:tcW w:type="dxa" w:w="13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0.003240</w:t>
            </w:r>
          </w:p>
        </w:tc>
        <w:tc>
          <w:tcPr>
            <w:tcW w:type="dxa" w:w="1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45.00</w:t>
            </w:r>
          </w:p>
        </w:tc>
        <w:tc>
          <w:tcPr>
            <w:tcW w:type="dxa" w:w="13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0.001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[ZnO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TiO</w:t>
            </w:r>
            <w:r>
              <w:rPr>
                <w:sz w:val="20"/>
                <w:szCs w:val="20"/>
                <w:vertAlign w:val="subscript"/>
                <w:rtl w:val="0"/>
                <w:lang w:val="en-US"/>
              </w:rPr>
              <w:t>2</w:t>
            </w:r>
            <w:r>
              <w:rPr>
                <w:sz w:val="20"/>
                <w:szCs w:val="20"/>
                <w:rtl w:val="0"/>
                <w:lang w:val="en-US"/>
              </w:rPr>
              <w:t>]*[pH]</w:t>
            </w:r>
          </w:p>
        </w:tc>
        <w:tc>
          <w:tcPr>
            <w:tcW w:type="dxa" w:w="70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1</w:t>
            </w:r>
          </w:p>
        </w:tc>
        <w:tc>
          <w:tcPr>
            <w:tcW w:type="dxa" w:w="13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0.003200</w:t>
            </w:r>
          </w:p>
        </w:tc>
        <w:tc>
          <w:tcPr>
            <w:tcW w:type="dxa" w:w="13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0.003200</w:t>
            </w:r>
          </w:p>
        </w:tc>
        <w:tc>
          <w:tcPr>
            <w:tcW w:type="dxa" w:w="1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44.44</w:t>
            </w:r>
          </w:p>
        </w:tc>
        <w:tc>
          <w:tcPr>
            <w:tcW w:type="dxa" w:w="13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0.001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8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Error</w:t>
            </w:r>
          </w:p>
        </w:tc>
        <w:tc>
          <w:tcPr>
            <w:tcW w:type="dxa" w:w="70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5</w:t>
            </w:r>
          </w:p>
        </w:tc>
        <w:tc>
          <w:tcPr>
            <w:tcW w:type="dxa" w:w="13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0.000360</w:t>
            </w:r>
          </w:p>
        </w:tc>
        <w:tc>
          <w:tcPr>
            <w:tcW w:type="dxa" w:w="13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0.000072</w:t>
            </w:r>
          </w:p>
        </w:tc>
        <w:tc>
          <w:tcPr>
            <w:tcW w:type="dxa" w:w="1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7" w:hRule="atLeast"/>
        </w:trPr>
        <w:tc>
          <w:tcPr>
            <w:tcW w:type="dxa" w:w="2836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Total</w:t>
            </w:r>
          </w:p>
        </w:tc>
        <w:tc>
          <w:tcPr>
            <w:tcW w:type="dxa" w:w="709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9</w:t>
            </w:r>
          </w:p>
        </w:tc>
        <w:tc>
          <w:tcPr>
            <w:tcW w:type="dxa" w:w="1369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drão A"/>
              <w:widowControl w:val="0"/>
              <w:tabs>
                <w:tab w:val="left" w:pos="708"/>
              </w:tabs>
              <w:suppressAutoHyphens w:val="1"/>
              <w:spacing w:before="0" w:line="276" w:lineRule="auto"/>
            </w:pPr>
            <w:r>
              <w:rPr>
                <w:sz w:val="20"/>
                <w:szCs w:val="20"/>
                <w:rtl w:val="0"/>
                <w:lang w:val="en-US"/>
              </w:rPr>
              <w:t>0.043440</w:t>
            </w:r>
          </w:p>
        </w:tc>
        <w:tc>
          <w:tcPr>
            <w:tcW w:type="dxa" w:w="1369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0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6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Padrão A"/>
        <w:keepNext w:val="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</w:tabs>
        <w:suppressAutoHyphens w:val="1"/>
        <w:spacing w:before="0" w:line="240" w:lineRule="auto"/>
        <w:ind w:left="216" w:hanging="216"/>
        <w:rPr>
          <w:sz w:val="20"/>
          <w:szCs w:val="20"/>
        </w:rPr>
      </w:pPr>
    </w:p>
    <w:p>
      <w:pPr>
        <w:pStyle w:val="Padrão A"/>
        <w:keepNext w:val="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</w:tabs>
        <w:suppressAutoHyphens w:val="1"/>
        <w:spacing w:before="0" w:line="240" w:lineRule="auto"/>
        <w:ind w:left="108" w:hanging="108"/>
      </w:pPr>
      <w:r>
        <w:rPr>
          <w:sz w:val="20"/>
          <w:szCs w:val="20"/>
          <w:rtl w:val="0"/>
          <w:lang w:val="en-US"/>
        </w:rPr>
        <w:t>S</w:t>
      </w:r>
      <w:r>
        <w:rPr>
          <w:sz w:val="20"/>
          <w:szCs w:val="20"/>
          <w:rtl w:val="0"/>
          <w:lang w:val="pt-PT"/>
        </w:rPr>
        <w:t xml:space="preserve"> = </w:t>
      </w:r>
      <w:r>
        <w:rPr>
          <w:sz w:val="20"/>
          <w:szCs w:val="20"/>
          <w:rtl w:val="0"/>
          <w:lang w:val="en-US"/>
        </w:rPr>
        <w:t>0.0084853</w:t>
      </w:r>
      <w:r>
        <w:rPr>
          <w:sz w:val="20"/>
          <w:szCs w:val="20"/>
          <w:rtl w:val="0"/>
          <w:lang w:val="pt-PT"/>
        </w:rPr>
        <w:t xml:space="preserve">. </w:t>
      </w:r>
      <w:r>
        <w:rPr>
          <w:sz w:val="20"/>
          <w:szCs w:val="20"/>
          <w:rtl w:val="0"/>
          <w:lang w:val="en-US"/>
        </w:rPr>
        <w:t>R</w:t>
      </w:r>
      <w:r>
        <w:rPr>
          <w:sz w:val="20"/>
          <w:szCs w:val="20"/>
          <w:vertAlign w:val="superscript"/>
          <w:rtl w:val="0"/>
          <w:lang w:val="en-US"/>
        </w:rPr>
        <w:t>2</w:t>
      </w:r>
      <w:r>
        <w:rPr>
          <w:sz w:val="20"/>
          <w:szCs w:val="20"/>
          <w:rtl w:val="0"/>
          <w:lang w:val="pt-PT"/>
        </w:rPr>
        <w:t xml:space="preserve"> = </w:t>
      </w:r>
      <w:r>
        <w:rPr>
          <w:sz w:val="20"/>
          <w:szCs w:val="20"/>
          <w:rtl w:val="0"/>
          <w:lang w:val="en-US"/>
        </w:rPr>
        <w:t>99.17%</w:t>
      </w:r>
      <w:r>
        <w:rPr>
          <w:sz w:val="20"/>
          <w:szCs w:val="20"/>
          <w:rtl w:val="0"/>
          <w:lang w:val="pt-PT"/>
        </w:rPr>
        <w:t xml:space="preserve">. </w:t>
      </w:r>
      <w:r>
        <w:rPr>
          <w:sz w:val="20"/>
          <w:szCs w:val="20"/>
          <w:rtl w:val="0"/>
          <w:lang w:val="en-US"/>
        </w:rPr>
        <w:t>Adjusted R</w:t>
      </w:r>
      <w:r>
        <w:rPr>
          <w:sz w:val="20"/>
          <w:szCs w:val="20"/>
          <w:vertAlign w:val="superscript"/>
          <w:rtl w:val="0"/>
          <w:lang w:val="en-US"/>
        </w:rPr>
        <w:t>2</w:t>
      </w:r>
      <w:r>
        <w:rPr>
          <w:sz w:val="20"/>
          <w:szCs w:val="20"/>
          <w:rtl w:val="0"/>
          <w:lang w:val="pt-PT"/>
        </w:rPr>
        <w:t xml:space="preserve"> = </w:t>
      </w:r>
      <w:r>
        <w:rPr>
          <w:sz w:val="20"/>
          <w:szCs w:val="20"/>
          <w:rtl w:val="0"/>
          <w:lang w:val="en-US"/>
        </w:rPr>
        <w:t>98.51%</w:t>
      </w:r>
      <w:r>
        <w:rPr>
          <w:sz w:val="20"/>
          <w:szCs w:val="20"/>
          <w:rtl w:val="0"/>
          <w:lang w:val="pt-PT"/>
        </w:rPr>
        <w:t xml:space="preserve">. </w:t>
      </w:r>
      <w:r>
        <w:rPr>
          <w:sz w:val="20"/>
          <w:szCs w:val="20"/>
          <w:rtl w:val="0"/>
          <w:lang w:val="en-US"/>
        </w:rPr>
        <w:t>Predicted R</w:t>
      </w:r>
      <w:r>
        <w:rPr>
          <w:sz w:val="20"/>
          <w:szCs w:val="20"/>
          <w:vertAlign w:val="superscript"/>
          <w:rtl w:val="0"/>
          <w:lang w:val="en-US"/>
        </w:rPr>
        <w:t>2</w:t>
      </w:r>
      <w:r>
        <w:rPr>
          <w:sz w:val="20"/>
          <w:szCs w:val="20"/>
          <w:rtl w:val="0"/>
          <w:lang w:val="pt-PT"/>
        </w:rPr>
        <w:t xml:space="preserve"> = </w:t>
      </w:r>
      <w:r>
        <w:rPr>
          <w:sz w:val="20"/>
          <w:szCs w:val="20"/>
          <w:rtl w:val="0"/>
          <w:lang w:val="en-US"/>
        </w:rPr>
        <w:t>96.94%</w:t>
      </w:r>
      <w:r>
        <w:rPr>
          <w:sz w:val="20"/>
          <w:szCs w:val="20"/>
          <w:rtl w:val="0"/>
          <w:lang w:val="pt-PT"/>
        </w:rPr>
        <w:t>.</w:t>
      </w:r>
    </w:p>
    <w:sectPr>
      <w:headerReference w:type="default" r:id="rId4"/>
      <w:footerReference w:type="default" r:id="rId5"/>
      <w:pgSz w:w="12240" w:h="15840" w:orient="portrait"/>
      <w:pgMar w:top="1247" w:right="1304" w:bottom="1247" w:left="1304" w:header="0" w:footer="36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Padrão A">
    <w:name w:val="Padrão A"/>
    <w:next w:val="Padrã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