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1A0B6" w14:textId="77777777" w:rsidR="00E24790" w:rsidRPr="00AE1D54" w:rsidRDefault="00E24790" w:rsidP="005357D4">
      <w:pPr>
        <w:jc w:val="center"/>
        <w:rPr>
          <w:rFonts w:asciiTheme="majorHAnsi" w:hAnsiTheme="majorHAnsi" w:cstheme="majorHAnsi"/>
          <w:b/>
          <w:color w:val="000000" w:themeColor="text1"/>
          <w:sz w:val="24"/>
          <w:szCs w:val="24"/>
        </w:rPr>
      </w:pPr>
      <w:r w:rsidRPr="00AE1D54">
        <w:rPr>
          <w:rFonts w:asciiTheme="majorHAnsi" w:hAnsiTheme="majorHAnsi" w:cstheme="majorHAnsi"/>
          <w:b/>
          <w:color w:val="000000" w:themeColor="text1"/>
          <w:sz w:val="24"/>
          <w:szCs w:val="24"/>
        </w:rPr>
        <w:t>Supplementary</w:t>
      </w:r>
    </w:p>
    <w:p w14:paraId="3750010E" w14:textId="73066637" w:rsidR="00E24790" w:rsidRPr="00AE1D54" w:rsidRDefault="00D45EC9" w:rsidP="00D45EC9">
      <w:pPr>
        <w:jc w:val="center"/>
        <w:rPr>
          <w:rFonts w:asciiTheme="majorHAnsi" w:hAnsiTheme="majorHAnsi" w:cstheme="majorHAnsi"/>
          <w:b/>
          <w:color w:val="000000" w:themeColor="text1"/>
          <w:sz w:val="24"/>
          <w:szCs w:val="24"/>
        </w:rPr>
      </w:pPr>
      <w:r w:rsidRPr="00221F80">
        <w:rPr>
          <w:rFonts w:asciiTheme="majorHAnsi" w:hAnsiTheme="majorHAnsi" w:cstheme="majorHAnsi"/>
          <w:b/>
          <w:bCs/>
          <w:color w:val="000000" w:themeColor="text1"/>
          <w:sz w:val="24"/>
          <w:szCs w:val="24"/>
        </w:rPr>
        <w:t>Cohort profile update: Tehran Cardiometabolic Genetic Study, a path toward precision medicine</w:t>
      </w:r>
      <w:r w:rsidRPr="00AE1D54">
        <w:rPr>
          <w:rFonts w:asciiTheme="majorHAnsi" w:hAnsiTheme="majorHAnsi" w:cstheme="majorHAnsi"/>
          <w:b/>
          <w:color w:val="000000" w:themeColor="text1"/>
          <w:sz w:val="24"/>
          <w:szCs w:val="24"/>
        </w:rPr>
        <w:t xml:space="preserve"> </w:t>
      </w:r>
      <w:r w:rsidR="00E24790" w:rsidRPr="00AE1D54">
        <w:rPr>
          <w:rFonts w:asciiTheme="majorHAnsi" w:hAnsiTheme="majorHAnsi" w:cstheme="majorHAnsi"/>
          <w:b/>
          <w:color w:val="000000" w:themeColor="text1"/>
          <w:sz w:val="24"/>
          <w:szCs w:val="24"/>
        </w:rPr>
        <w:t>Table of contents</w:t>
      </w:r>
    </w:p>
    <w:p w14:paraId="41E44FA8" w14:textId="73DB88AA" w:rsidR="00154F0D" w:rsidRDefault="00E24790">
      <w:pPr>
        <w:pStyle w:val="TOC1"/>
        <w:tabs>
          <w:tab w:val="right" w:leader="dot" w:pos="9350"/>
        </w:tabs>
        <w:rPr>
          <w:rFonts w:asciiTheme="minorHAnsi" w:eastAsiaTheme="minorEastAsia" w:hAnsiTheme="minorHAnsi" w:cstheme="minorBidi"/>
          <w:noProof/>
        </w:rPr>
      </w:pPr>
      <w:r w:rsidRPr="00AE1D54">
        <w:rPr>
          <w:rFonts w:asciiTheme="majorHAnsi" w:hAnsiTheme="majorHAnsi" w:cstheme="majorHAnsi"/>
          <w:color w:val="000000" w:themeColor="text1"/>
        </w:rPr>
        <w:fldChar w:fldCharType="begin"/>
      </w:r>
      <w:r w:rsidRPr="00AE1D54">
        <w:rPr>
          <w:rFonts w:asciiTheme="majorHAnsi" w:hAnsiTheme="majorHAnsi" w:cstheme="majorHAnsi"/>
          <w:color w:val="000000" w:themeColor="text1"/>
        </w:rPr>
        <w:instrText xml:space="preserve"> TOC \h \z \t "Heading 1,3,Heading 2,4,Title,1,Subtitle,2,Quote,1" </w:instrText>
      </w:r>
      <w:r w:rsidRPr="00AE1D54">
        <w:rPr>
          <w:rFonts w:asciiTheme="majorHAnsi" w:hAnsiTheme="majorHAnsi" w:cstheme="majorHAnsi"/>
          <w:color w:val="000000" w:themeColor="text1"/>
        </w:rPr>
        <w:fldChar w:fldCharType="separate"/>
      </w:r>
      <w:hyperlink w:anchor="_Toc119834406" w:history="1">
        <w:r w:rsidR="00154F0D" w:rsidRPr="00915829">
          <w:rPr>
            <w:rStyle w:val="Hyperlink"/>
            <w:noProof/>
          </w:rPr>
          <w:t>Study design and sampling</w:t>
        </w:r>
        <w:r w:rsidR="00154F0D">
          <w:rPr>
            <w:noProof/>
            <w:webHidden/>
          </w:rPr>
          <w:tab/>
        </w:r>
        <w:r w:rsidR="00154F0D">
          <w:rPr>
            <w:noProof/>
            <w:webHidden/>
          </w:rPr>
          <w:fldChar w:fldCharType="begin"/>
        </w:r>
        <w:r w:rsidR="00154F0D">
          <w:rPr>
            <w:noProof/>
            <w:webHidden/>
          </w:rPr>
          <w:instrText xml:space="preserve"> PAGEREF _Toc119834406 \h </w:instrText>
        </w:r>
        <w:r w:rsidR="00154F0D">
          <w:rPr>
            <w:noProof/>
            <w:webHidden/>
          </w:rPr>
        </w:r>
        <w:r w:rsidR="00154F0D">
          <w:rPr>
            <w:noProof/>
            <w:webHidden/>
          </w:rPr>
          <w:fldChar w:fldCharType="separate"/>
        </w:r>
        <w:r w:rsidR="00154F0D">
          <w:rPr>
            <w:noProof/>
            <w:webHidden/>
          </w:rPr>
          <w:t>3</w:t>
        </w:r>
        <w:r w:rsidR="00154F0D">
          <w:rPr>
            <w:noProof/>
            <w:webHidden/>
          </w:rPr>
          <w:fldChar w:fldCharType="end"/>
        </w:r>
      </w:hyperlink>
    </w:p>
    <w:p w14:paraId="6ED0AA48" w14:textId="55FF8755" w:rsidR="00154F0D" w:rsidRDefault="00154F0D">
      <w:pPr>
        <w:pStyle w:val="TOC2"/>
        <w:tabs>
          <w:tab w:val="right" w:leader="dot" w:pos="9350"/>
        </w:tabs>
        <w:rPr>
          <w:rFonts w:asciiTheme="minorHAnsi" w:eastAsiaTheme="minorEastAsia" w:hAnsiTheme="minorHAnsi" w:cstheme="minorBidi"/>
          <w:noProof/>
        </w:rPr>
      </w:pPr>
      <w:hyperlink w:anchor="_Toc119834407" w:history="1">
        <w:r w:rsidRPr="00915829">
          <w:rPr>
            <w:rStyle w:val="Hyperlink"/>
            <w:rFonts w:asciiTheme="majorHAnsi" w:hAnsiTheme="majorHAnsi" w:cstheme="majorHAnsi"/>
            <w:noProof/>
          </w:rPr>
          <w:t>Tehran lipid and glucose study (TLGS)</w:t>
        </w:r>
        <w:r>
          <w:rPr>
            <w:noProof/>
            <w:webHidden/>
          </w:rPr>
          <w:tab/>
        </w:r>
        <w:r>
          <w:rPr>
            <w:noProof/>
            <w:webHidden/>
          </w:rPr>
          <w:fldChar w:fldCharType="begin"/>
        </w:r>
        <w:r>
          <w:rPr>
            <w:noProof/>
            <w:webHidden/>
          </w:rPr>
          <w:instrText xml:space="preserve"> PAGEREF _Toc119834407 \h </w:instrText>
        </w:r>
        <w:r>
          <w:rPr>
            <w:noProof/>
            <w:webHidden/>
          </w:rPr>
        </w:r>
        <w:r>
          <w:rPr>
            <w:noProof/>
            <w:webHidden/>
          </w:rPr>
          <w:fldChar w:fldCharType="separate"/>
        </w:r>
        <w:r>
          <w:rPr>
            <w:noProof/>
            <w:webHidden/>
          </w:rPr>
          <w:t>3</w:t>
        </w:r>
        <w:r>
          <w:rPr>
            <w:noProof/>
            <w:webHidden/>
          </w:rPr>
          <w:fldChar w:fldCharType="end"/>
        </w:r>
      </w:hyperlink>
    </w:p>
    <w:p w14:paraId="56218C95" w14:textId="4E9D93FF" w:rsidR="00154F0D" w:rsidRDefault="00154F0D">
      <w:pPr>
        <w:pStyle w:val="TOC2"/>
        <w:tabs>
          <w:tab w:val="right" w:leader="dot" w:pos="9350"/>
        </w:tabs>
        <w:rPr>
          <w:rFonts w:asciiTheme="minorHAnsi" w:eastAsiaTheme="minorEastAsia" w:hAnsiTheme="minorHAnsi" w:cstheme="minorBidi"/>
          <w:noProof/>
        </w:rPr>
      </w:pPr>
      <w:hyperlink w:anchor="_Toc119834408" w:history="1">
        <w:r w:rsidRPr="00915829">
          <w:rPr>
            <w:rStyle w:val="Hyperlink"/>
            <w:rFonts w:asciiTheme="majorHAnsi" w:hAnsiTheme="majorHAnsi" w:cstheme="majorHAnsi"/>
            <w:noProof/>
          </w:rPr>
          <w:t>Tehran Obesity Treatment Study (TOTS)</w:t>
        </w:r>
        <w:r>
          <w:rPr>
            <w:noProof/>
            <w:webHidden/>
          </w:rPr>
          <w:tab/>
        </w:r>
        <w:r>
          <w:rPr>
            <w:noProof/>
            <w:webHidden/>
          </w:rPr>
          <w:fldChar w:fldCharType="begin"/>
        </w:r>
        <w:r>
          <w:rPr>
            <w:noProof/>
            <w:webHidden/>
          </w:rPr>
          <w:instrText xml:space="preserve"> PAGEREF _Toc119834408 \h </w:instrText>
        </w:r>
        <w:r>
          <w:rPr>
            <w:noProof/>
            <w:webHidden/>
          </w:rPr>
        </w:r>
        <w:r>
          <w:rPr>
            <w:noProof/>
            <w:webHidden/>
          </w:rPr>
          <w:fldChar w:fldCharType="separate"/>
        </w:r>
        <w:r>
          <w:rPr>
            <w:noProof/>
            <w:webHidden/>
          </w:rPr>
          <w:t>3</w:t>
        </w:r>
        <w:r>
          <w:rPr>
            <w:noProof/>
            <w:webHidden/>
          </w:rPr>
          <w:fldChar w:fldCharType="end"/>
        </w:r>
      </w:hyperlink>
    </w:p>
    <w:p w14:paraId="601B16DB" w14:textId="64B523A6" w:rsidR="00154F0D" w:rsidRDefault="00154F0D">
      <w:pPr>
        <w:pStyle w:val="TOC2"/>
        <w:tabs>
          <w:tab w:val="right" w:leader="dot" w:pos="9350"/>
        </w:tabs>
        <w:rPr>
          <w:rFonts w:asciiTheme="minorHAnsi" w:eastAsiaTheme="minorEastAsia" w:hAnsiTheme="minorHAnsi" w:cstheme="minorBidi"/>
          <w:noProof/>
        </w:rPr>
      </w:pPr>
      <w:hyperlink w:anchor="_Toc119834409" w:history="1">
        <w:r w:rsidRPr="00915829">
          <w:rPr>
            <w:rStyle w:val="Hyperlink"/>
            <w:rFonts w:asciiTheme="majorHAnsi" w:hAnsiTheme="majorHAnsi" w:cstheme="majorHAnsi"/>
            <w:noProof/>
          </w:rPr>
          <w:t>Thyroid cancer Project (TCP)</w:t>
        </w:r>
        <w:r>
          <w:rPr>
            <w:noProof/>
            <w:webHidden/>
          </w:rPr>
          <w:tab/>
        </w:r>
        <w:r>
          <w:rPr>
            <w:noProof/>
            <w:webHidden/>
          </w:rPr>
          <w:fldChar w:fldCharType="begin"/>
        </w:r>
        <w:r>
          <w:rPr>
            <w:noProof/>
            <w:webHidden/>
          </w:rPr>
          <w:instrText xml:space="preserve"> PAGEREF _Toc119834409 \h </w:instrText>
        </w:r>
        <w:r>
          <w:rPr>
            <w:noProof/>
            <w:webHidden/>
          </w:rPr>
        </w:r>
        <w:r>
          <w:rPr>
            <w:noProof/>
            <w:webHidden/>
          </w:rPr>
          <w:fldChar w:fldCharType="separate"/>
        </w:r>
        <w:r>
          <w:rPr>
            <w:noProof/>
            <w:webHidden/>
          </w:rPr>
          <w:t>4</w:t>
        </w:r>
        <w:r>
          <w:rPr>
            <w:noProof/>
            <w:webHidden/>
          </w:rPr>
          <w:fldChar w:fldCharType="end"/>
        </w:r>
      </w:hyperlink>
    </w:p>
    <w:p w14:paraId="0A48AA86" w14:textId="361F0455" w:rsidR="00154F0D" w:rsidRDefault="00154F0D">
      <w:pPr>
        <w:pStyle w:val="TOC2"/>
        <w:tabs>
          <w:tab w:val="right" w:leader="dot" w:pos="9350"/>
        </w:tabs>
        <w:rPr>
          <w:rFonts w:asciiTheme="minorHAnsi" w:eastAsiaTheme="minorEastAsia" w:hAnsiTheme="minorHAnsi" w:cstheme="minorBidi"/>
          <w:noProof/>
        </w:rPr>
      </w:pPr>
      <w:hyperlink w:anchor="_Toc119834410" w:history="1">
        <w:r w:rsidRPr="00915829">
          <w:rPr>
            <w:rStyle w:val="Hyperlink"/>
            <w:rFonts w:asciiTheme="majorHAnsi" w:hAnsiTheme="majorHAnsi" w:cstheme="majorHAnsi"/>
            <w:noProof/>
          </w:rPr>
          <w:t>Clinical Follow-up Project (CFP)</w:t>
        </w:r>
        <w:r>
          <w:rPr>
            <w:noProof/>
            <w:webHidden/>
          </w:rPr>
          <w:tab/>
        </w:r>
        <w:r>
          <w:rPr>
            <w:noProof/>
            <w:webHidden/>
          </w:rPr>
          <w:fldChar w:fldCharType="begin"/>
        </w:r>
        <w:r>
          <w:rPr>
            <w:noProof/>
            <w:webHidden/>
          </w:rPr>
          <w:instrText xml:space="preserve"> PAGEREF _Toc119834410 \h </w:instrText>
        </w:r>
        <w:r>
          <w:rPr>
            <w:noProof/>
            <w:webHidden/>
          </w:rPr>
        </w:r>
        <w:r>
          <w:rPr>
            <w:noProof/>
            <w:webHidden/>
          </w:rPr>
          <w:fldChar w:fldCharType="separate"/>
        </w:r>
        <w:r>
          <w:rPr>
            <w:noProof/>
            <w:webHidden/>
          </w:rPr>
          <w:t>4</w:t>
        </w:r>
        <w:r>
          <w:rPr>
            <w:noProof/>
            <w:webHidden/>
          </w:rPr>
          <w:fldChar w:fldCharType="end"/>
        </w:r>
      </w:hyperlink>
    </w:p>
    <w:p w14:paraId="20C29DCA" w14:textId="4D46612C" w:rsidR="00154F0D" w:rsidRDefault="00154F0D">
      <w:pPr>
        <w:pStyle w:val="TOC1"/>
        <w:tabs>
          <w:tab w:val="right" w:leader="dot" w:pos="9350"/>
        </w:tabs>
        <w:rPr>
          <w:rFonts w:asciiTheme="minorHAnsi" w:eastAsiaTheme="minorEastAsia" w:hAnsiTheme="minorHAnsi" w:cstheme="minorBidi"/>
          <w:noProof/>
        </w:rPr>
      </w:pPr>
      <w:hyperlink w:anchor="_Toc119834411" w:history="1">
        <w:r w:rsidRPr="00915829">
          <w:rPr>
            <w:rStyle w:val="Hyperlink"/>
            <w:rFonts w:asciiTheme="majorHAnsi" w:hAnsiTheme="majorHAnsi" w:cstheme="majorHAnsi"/>
            <w:noProof/>
          </w:rPr>
          <w:t>What has been measured?</w:t>
        </w:r>
        <w:r>
          <w:rPr>
            <w:noProof/>
            <w:webHidden/>
          </w:rPr>
          <w:tab/>
        </w:r>
        <w:r>
          <w:rPr>
            <w:noProof/>
            <w:webHidden/>
          </w:rPr>
          <w:fldChar w:fldCharType="begin"/>
        </w:r>
        <w:r>
          <w:rPr>
            <w:noProof/>
            <w:webHidden/>
          </w:rPr>
          <w:instrText xml:space="preserve"> PAGEREF _Toc119834411 \h </w:instrText>
        </w:r>
        <w:r>
          <w:rPr>
            <w:noProof/>
            <w:webHidden/>
          </w:rPr>
        </w:r>
        <w:r>
          <w:rPr>
            <w:noProof/>
            <w:webHidden/>
          </w:rPr>
          <w:fldChar w:fldCharType="separate"/>
        </w:r>
        <w:r>
          <w:rPr>
            <w:noProof/>
            <w:webHidden/>
          </w:rPr>
          <w:t>5</w:t>
        </w:r>
        <w:r>
          <w:rPr>
            <w:noProof/>
            <w:webHidden/>
          </w:rPr>
          <w:fldChar w:fldCharType="end"/>
        </w:r>
      </w:hyperlink>
    </w:p>
    <w:p w14:paraId="652C1051" w14:textId="1AA31698" w:rsidR="00154F0D" w:rsidRDefault="00154F0D">
      <w:pPr>
        <w:pStyle w:val="TOC2"/>
        <w:tabs>
          <w:tab w:val="right" w:leader="dot" w:pos="9350"/>
        </w:tabs>
        <w:rPr>
          <w:rFonts w:asciiTheme="minorHAnsi" w:eastAsiaTheme="minorEastAsia" w:hAnsiTheme="minorHAnsi" w:cstheme="minorBidi"/>
          <w:noProof/>
        </w:rPr>
      </w:pPr>
      <w:hyperlink w:anchor="_Toc119834412" w:history="1">
        <w:r w:rsidRPr="00915829">
          <w:rPr>
            <w:rStyle w:val="Hyperlink"/>
            <w:rFonts w:asciiTheme="majorHAnsi" w:hAnsiTheme="majorHAnsi" w:cstheme="majorHAnsi"/>
            <w:noProof/>
          </w:rPr>
          <w:t>Physical Examination (P/E)</w:t>
        </w:r>
        <w:r>
          <w:rPr>
            <w:noProof/>
            <w:webHidden/>
          </w:rPr>
          <w:tab/>
        </w:r>
        <w:r>
          <w:rPr>
            <w:noProof/>
            <w:webHidden/>
          </w:rPr>
          <w:fldChar w:fldCharType="begin"/>
        </w:r>
        <w:r>
          <w:rPr>
            <w:noProof/>
            <w:webHidden/>
          </w:rPr>
          <w:instrText xml:space="preserve"> PAGEREF _Toc119834412 \h </w:instrText>
        </w:r>
        <w:r>
          <w:rPr>
            <w:noProof/>
            <w:webHidden/>
          </w:rPr>
        </w:r>
        <w:r>
          <w:rPr>
            <w:noProof/>
            <w:webHidden/>
          </w:rPr>
          <w:fldChar w:fldCharType="separate"/>
        </w:r>
        <w:r>
          <w:rPr>
            <w:noProof/>
            <w:webHidden/>
          </w:rPr>
          <w:t>5</w:t>
        </w:r>
        <w:r>
          <w:rPr>
            <w:noProof/>
            <w:webHidden/>
          </w:rPr>
          <w:fldChar w:fldCharType="end"/>
        </w:r>
      </w:hyperlink>
    </w:p>
    <w:p w14:paraId="667AEDA2" w14:textId="08022E73" w:rsidR="00154F0D" w:rsidRDefault="00154F0D">
      <w:pPr>
        <w:pStyle w:val="TOC3"/>
        <w:tabs>
          <w:tab w:val="right" w:leader="dot" w:pos="9350"/>
        </w:tabs>
        <w:rPr>
          <w:rFonts w:asciiTheme="minorHAnsi" w:eastAsiaTheme="minorEastAsia" w:hAnsiTheme="minorHAnsi" w:cstheme="minorBidi"/>
          <w:noProof/>
        </w:rPr>
      </w:pPr>
      <w:hyperlink w:anchor="_Toc119834413" w:history="1">
        <w:r w:rsidRPr="00915829">
          <w:rPr>
            <w:rStyle w:val="Hyperlink"/>
            <w:rFonts w:asciiTheme="majorHAnsi" w:hAnsiTheme="majorHAnsi" w:cstheme="majorHAnsi"/>
            <w:noProof/>
          </w:rPr>
          <w:t>Anthropometric Measurements</w:t>
        </w:r>
        <w:r>
          <w:rPr>
            <w:noProof/>
            <w:webHidden/>
          </w:rPr>
          <w:tab/>
        </w:r>
        <w:r>
          <w:rPr>
            <w:noProof/>
            <w:webHidden/>
          </w:rPr>
          <w:fldChar w:fldCharType="begin"/>
        </w:r>
        <w:r>
          <w:rPr>
            <w:noProof/>
            <w:webHidden/>
          </w:rPr>
          <w:instrText xml:space="preserve"> PAGEREF _Toc119834413 \h </w:instrText>
        </w:r>
        <w:r>
          <w:rPr>
            <w:noProof/>
            <w:webHidden/>
          </w:rPr>
        </w:r>
        <w:r>
          <w:rPr>
            <w:noProof/>
            <w:webHidden/>
          </w:rPr>
          <w:fldChar w:fldCharType="separate"/>
        </w:r>
        <w:r>
          <w:rPr>
            <w:noProof/>
            <w:webHidden/>
          </w:rPr>
          <w:t>5</w:t>
        </w:r>
        <w:r>
          <w:rPr>
            <w:noProof/>
            <w:webHidden/>
          </w:rPr>
          <w:fldChar w:fldCharType="end"/>
        </w:r>
      </w:hyperlink>
    </w:p>
    <w:p w14:paraId="14FB4382" w14:textId="06FE7832" w:rsidR="00154F0D" w:rsidRDefault="00154F0D">
      <w:pPr>
        <w:pStyle w:val="TOC3"/>
        <w:tabs>
          <w:tab w:val="right" w:leader="dot" w:pos="9350"/>
        </w:tabs>
        <w:rPr>
          <w:rFonts w:asciiTheme="minorHAnsi" w:eastAsiaTheme="minorEastAsia" w:hAnsiTheme="minorHAnsi" w:cstheme="minorBidi"/>
          <w:noProof/>
        </w:rPr>
      </w:pPr>
      <w:hyperlink w:anchor="_Toc119834414" w:history="1">
        <w:r w:rsidRPr="00915829">
          <w:rPr>
            <w:rStyle w:val="Hyperlink"/>
            <w:rFonts w:asciiTheme="majorHAnsi" w:hAnsiTheme="majorHAnsi" w:cstheme="majorHAnsi"/>
            <w:noProof/>
          </w:rPr>
          <w:t>Ankle-arm Blood Pressure</w:t>
        </w:r>
        <w:r>
          <w:rPr>
            <w:noProof/>
            <w:webHidden/>
          </w:rPr>
          <w:tab/>
        </w:r>
        <w:r>
          <w:rPr>
            <w:noProof/>
            <w:webHidden/>
          </w:rPr>
          <w:fldChar w:fldCharType="begin"/>
        </w:r>
        <w:r>
          <w:rPr>
            <w:noProof/>
            <w:webHidden/>
          </w:rPr>
          <w:instrText xml:space="preserve"> PAGEREF _Toc119834414 \h </w:instrText>
        </w:r>
        <w:r>
          <w:rPr>
            <w:noProof/>
            <w:webHidden/>
          </w:rPr>
        </w:r>
        <w:r>
          <w:rPr>
            <w:noProof/>
            <w:webHidden/>
          </w:rPr>
          <w:fldChar w:fldCharType="separate"/>
        </w:r>
        <w:r>
          <w:rPr>
            <w:noProof/>
            <w:webHidden/>
          </w:rPr>
          <w:t>5</w:t>
        </w:r>
        <w:r>
          <w:rPr>
            <w:noProof/>
            <w:webHidden/>
          </w:rPr>
          <w:fldChar w:fldCharType="end"/>
        </w:r>
      </w:hyperlink>
    </w:p>
    <w:p w14:paraId="06599C09" w14:textId="2A789D03" w:rsidR="00154F0D" w:rsidRDefault="00154F0D">
      <w:pPr>
        <w:pStyle w:val="TOC2"/>
        <w:tabs>
          <w:tab w:val="right" w:leader="dot" w:pos="9350"/>
        </w:tabs>
        <w:rPr>
          <w:rFonts w:asciiTheme="minorHAnsi" w:eastAsiaTheme="minorEastAsia" w:hAnsiTheme="minorHAnsi" w:cstheme="minorBidi"/>
          <w:noProof/>
        </w:rPr>
      </w:pPr>
      <w:hyperlink w:anchor="_Toc119834415" w:history="1">
        <w:r w:rsidRPr="00915829">
          <w:rPr>
            <w:rStyle w:val="Hyperlink"/>
            <w:rFonts w:asciiTheme="majorHAnsi" w:hAnsiTheme="majorHAnsi" w:cstheme="majorHAnsi"/>
            <w:noProof/>
          </w:rPr>
          <w:t>Laboratory Blood Test</w:t>
        </w:r>
        <w:r>
          <w:rPr>
            <w:noProof/>
            <w:webHidden/>
          </w:rPr>
          <w:tab/>
        </w:r>
        <w:r>
          <w:rPr>
            <w:noProof/>
            <w:webHidden/>
          </w:rPr>
          <w:fldChar w:fldCharType="begin"/>
        </w:r>
        <w:r>
          <w:rPr>
            <w:noProof/>
            <w:webHidden/>
          </w:rPr>
          <w:instrText xml:space="preserve"> PAGEREF _Toc119834415 \h </w:instrText>
        </w:r>
        <w:r>
          <w:rPr>
            <w:noProof/>
            <w:webHidden/>
          </w:rPr>
        </w:r>
        <w:r>
          <w:rPr>
            <w:noProof/>
            <w:webHidden/>
          </w:rPr>
          <w:fldChar w:fldCharType="separate"/>
        </w:r>
        <w:r>
          <w:rPr>
            <w:noProof/>
            <w:webHidden/>
          </w:rPr>
          <w:t>5</w:t>
        </w:r>
        <w:r>
          <w:rPr>
            <w:noProof/>
            <w:webHidden/>
          </w:rPr>
          <w:fldChar w:fldCharType="end"/>
        </w:r>
      </w:hyperlink>
    </w:p>
    <w:p w14:paraId="36C3B586" w14:textId="07203382" w:rsidR="00154F0D" w:rsidRDefault="00154F0D">
      <w:pPr>
        <w:pStyle w:val="TOC3"/>
        <w:tabs>
          <w:tab w:val="right" w:leader="dot" w:pos="9350"/>
        </w:tabs>
        <w:rPr>
          <w:rFonts w:asciiTheme="minorHAnsi" w:eastAsiaTheme="minorEastAsia" w:hAnsiTheme="minorHAnsi" w:cstheme="minorBidi"/>
          <w:noProof/>
        </w:rPr>
      </w:pPr>
      <w:hyperlink w:anchor="_Toc119834416" w:history="1">
        <w:r w:rsidRPr="00915829">
          <w:rPr>
            <w:rStyle w:val="Hyperlink"/>
            <w:rFonts w:asciiTheme="majorHAnsi" w:hAnsiTheme="majorHAnsi" w:cstheme="majorHAnsi"/>
            <w:noProof/>
          </w:rPr>
          <w:t>Basic Metabolic Panel</w:t>
        </w:r>
        <w:r>
          <w:rPr>
            <w:noProof/>
            <w:webHidden/>
          </w:rPr>
          <w:tab/>
        </w:r>
        <w:r>
          <w:rPr>
            <w:noProof/>
            <w:webHidden/>
          </w:rPr>
          <w:fldChar w:fldCharType="begin"/>
        </w:r>
        <w:r>
          <w:rPr>
            <w:noProof/>
            <w:webHidden/>
          </w:rPr>
          <w:instrText xml:space="preserve"> PAGEREF _Toc119834416 \h </w:instrText>
        </w:r>
        <w:r>
          <w:rPr>
            <w:noProof/>
            <w:webHidden/>
          </w:rPr>
        </w:r>
        <w:r>
          <w:rPr>
            <w:noProof/>
            <w:webHidden/>
          </w:rPr>
          <w:fldChar w:fldCharType="separate"/>
        </w:r>
        <w:r>
          <w:rPr>
            <w:noProof/>
            <w:webHidden/>
          </w:rPr>
          <w:t>6</w:t>
        </w:r>
        <w:r>
          <w:rPr>
            <w:noProof/>
            <w:webHidden/>
          </w:rPr>
          <w:fldChar w:fldCharType="end"/>
        </w:r>
      </w:hyperlink>
    </w:p>
    <w:p w14:paraId="0D17AE9F" w14:textId="5D3EFEDC" w:rsidR="00154F0D" w:rsidRDefault="00154F0D">
      <w:pPr>
        <w:pStyle w:val="TOC3"/>
        <w:tabs>
          <w:tab w:val="right" w:leader="dot" w:pos="9350"/>
        </w:tabs>
        <w:rPr>
          <w:rFonts w:asciiTheme="minorHAnsi" w:eastAsiaTheme="minorEastAsia" w:hAnsiTheme="minorHAnsi" w:cstheme="minorBidi"/>
          <w:noProof/>
        </w:rPr>
      </w:pPr>
      <w:hyperlink w:anchor="_Toc119834417" w:history="1">
        <w:r w:rsidRPr="00915829">
          <w:rPr>
            <w:rStyle w:val="Hyperlink"/>
            <w:rFonts w:asciiTheme="majorHAnsi" w:hAnsiTheme="majorHAnsi" w:cstheme="majorHAnsi"/>
            <w:noProof/>
          </w:rPr>
          <w:t>Lipid Panel</w:t>
        </w:r>
        <w:r>
          <w:rPr>
            <w:noProof/>
            <w:webHidden/>
          </w:rPr>
          <w:tab/>
        </w:r>
        <w:r>
          <w:rPr>
            <w:noProof/>
            <w:webHidden/>
          </w:rPr>
          <w:fldChar w:fldCharType="begin"/>
        </w:r>
        <w:r>
          <w:rPr>
            <w:noProof/>
            <w:webHidden/>
          </w:rPr>
          <w:instrText xml:space="preserve"> PAGEREF _Toc119834417 \h </w:instrText>
        </w:r>
        <w:r>
          <w:rPr>
            <w:noProof/>
            <w:webHidden/>
          </w:rPr>
        </w:r>
        <w:r>
          <w:rPr>
            <w:noProof/>
            <w:webHidden/>
          </w:rPr>
          <w:fldChar w:fldCharType="separate"/>
        </w:r>
        <w:r>
          <w:rPr>
            <w:noProof/>
            <w:webHidden/>
          </w:rPr>
          <w:t>6</w:t>
        </w:r>
        <w:r>
          <w:rPr>
            <w:noProof/>
            <w:webHidden/>
          </w:rPr>
          <w:fldChar w:fldCharType="end"/>
        </w:r>
      </w:hyperlink>
    </w:p>
    <w:p w14:paraId="6092D48A" w14:textId="2E56F41F" w:rsidR="00154F0D" w:rsidRDefault="00154F0D">
      <w:pPr>
        <w:pStyle w:val="TOC3"/>
        <w:tabs>
          <w:tab w:val="right" w:leader="dot" w:pos="9350"/>
        </w:tabs>
        <w:rPr>
          <w:rFonts w:asciiTheme="minorHAnsi" w:eastAsiaTheme="minorEastAsia" w:hAnsiTheme="minorHAnsi" w:cstheme="minorBidi"/>
          <w:noProof/>
        </w:rPr>
      </w:pPr>
      <w:hyperlink w:anchor="_Toc119834418" w:history="1">
        <w:r w:rsidRPr="00915829">
          <w:rPr>
            <w:rStyle w:val="Hyperlink"/>
            <w:rFonts w:asciiTheme="majorHAnsi" w:hAnsiTheme="majorHAnsi" w:cstheme="majorHAnsi"/>
            <w:noProof/>
          </w:rPr>
          <w:t>Advanced Lipid Panel</w:t>
        </w:r>
        <w:r>
          <w:rPr>
            <w:noProof/>
            <w:webHidden/>
          </w:rPr>
          <w:tab/>
        </w:r>
        <w:r>
          <w:rPr>
            <w:noProof/>
            <w:webHidden/>
          </w:rPr>
          <w:fldChar w:fldCharType="begin"/>
        </w:r>
        <w:r>
          <w:rPr>
            <w:noProof/>
            <w:webHidden/>
          </w:rPr>
          <w:instrText xml:space="preserve"> PAGEREF _Toc119834418 \h </w:instrText>
        </w:r>
        <w:r>
          <w:rPr>
            <w:noProof/>
            <w:webHidden/>
          </w:rPr>
        </w:r>
        <w:r>
          <w:rPr>
            <w:noProof/>
            <w:webHidden/>
          </w:rPr>
          <w:fldChar w:fldCharType="separate"/>
        </w:r>
        <w:r>
          <w:rPr>
            <w:noProof/>
            <w:webHidden/>
          </w:rPr>
          <w:t>7</w:t>
        </w:r>
        <w:r>
          <w:rPr>
            <w:noProof/>
            <w:webHidden/>
          </w:rPr>
          <w:fldChar w:fldCharType="end"/>
        </w:r>
      </w:hyperlink>
    </w:p>
    <w:p w14:paraId="7BF0969C" w14:textId="59D302FD" w:rsidR="00154F0D" w:rsidRDefault="00154F0D">
      <w:pPr>
        <w:pStyle w:val="TOC3"/>
        <w:tabs>
          <w:tab w:val="right" w:leader="dot" w:pos="9350"/>
        </w:tabs>
        <w:rPr>
          <w:rFonts w:asciiTheme="minorHAnsi" w:eastAsiaTheme="minorEastAsia" w:hAnsiTheme="minorHAnsi" w:cstheme="minorBidi"/>
          <w:noProof/>
        </w:rPr>
      </w:pPr>
      <w:hyperlink w:anchor="_Toc119834419" w:history="1">
        <w:r w:rsidRPr="00915829">
          <w:rPr>
            <w:rStyle w:val="Hyperlink"/>
            <w:rFonts w:asciiTheme="majorHAnsi" w:hAnsiTheme="majorHAnsi" w:cstheme="majorHAnsi"/>
            <w:noProof/>
          </w:rPr>
          <w:t>Inflammatory Panel</w:t>
        </w:r>
        <w:r>
          <w:rPr>
            <w:noProof/>
            <w:webHidden/>
          </w:rPr>
          <w:tab/>
        </w:r>
        <w:r>
          <w:rPr>
            <w:noProof/>
            <w:webHidden/>
          </w:rPr>
          <w:fldChar w:fldCharType="begin"/>
        </w:r>
        <w:r>
          <w:rPr>
            <w:noProof/>
            <w:webHidden/>
          </w:rPr>
          <w:instrText xml:space="preserve"> PAGEREF _Toc119834419 \h </w:instrText>
        </w:r>
        <w:r>
          <w:rPr>
            <w:noProof/>
            <w:webHidden/>
          </w:rPr>
        </w:r>
        <w:r>
          <w:rPr>
            <w:noProof/>
            <w:webHidden/>
          </w:rPr>
          <w:fldChar w:fldCharType="separate"/>
        </w:r>
        <w:r>
          <w:rPr>
            <w:noProof/>
            <w:webHidden/>
          </w:rPr>
          <w:t>7</w:t>
        </w:r>
        <w:r>
          <w:rPr>
            <w:noProof/>
            <w:webHidden/>
          </w:rPr>
          <w:fldChar w:fldCharType="end"/>
        </w:r>
      </w:hyperlink>
    </w:p>
    <w:p w14:paraId="57CECEC3" w14:textId="0E5799AB" w:rsidR="00154F0D" w:rsidRDefault="00154F0D">
      <w:pPr>
        <w:pStyle w:val="TOC3"/>
        <w:tabs>
          <w:tab w:val="right" w:leader="dot" w:pos="9350"/>
        </w:tabs>
        <w:rPr>
          <w:rFonts w:asciiTheme="minorHAnsi" w:eastAsiaTheme="minorEastAsia" w:hAnsiTheme="minorHAnsi" w:cstheme="minorBidi"/>
          <w:noProof/>
        </w:rPr>
      </w:pPr>
      <w:hyperlink w:anchor="_Toc119834420" w:history="1">
        <w:r w:rsidRPr="00915829">
          <w:rPr>
            <w:rStyle w:val="Hyperlink"/>
            <w:rFonts w:asciiTheme="majorHAnsi" w:hAnsiTheme="majorHAnsi" w:cstheme="majorHAnsi"/>
            <w:noProof/>
          </w:rPr>
          <w:t>Thyroid Function Test</w:t>
        </w:r>
        <w:r>
          <w:rPr>
            <w:noProof/>
            <w:webHidden/>
          </w:rPr>
          <w:tab/>
        </w:r>
        <w:r>
          <w:rPr>
            <w:noProof/>
            <w:webHidden/>
          </w:rPr>
          <w:fldChar w:fldCharType="begin"/>
        </w:r>
        <w:r>
          <w:rPr>
            <w:noProof/>
            <w:webHidden/>
          </w:rPr>
          <w:instrText xml:space="preserve"> PAGEREF _Toc119834420 \h </w:instrText>
        </w:r>
        <w:r>
          <w:rPr>
            <w:noProof/>
            <w:webHidden/>
          </w:rPr>
        </w:r>
        <w:r>
          <w:rPr>
            <w:noProof/>
            <w:webHidden/>
          </w:rPr>
          <w:fldChar w:fldCharType="separate"/>
        </w:r>
        <w:r>
          <w:rPr>
            <w:noProof/>
            <w:webHidden/>
          </w:rPr>
          <w:t>8</w:t>
        </w:r>
        <w:r>
          <w:rPr>
            <w:noProof/>
            <w:webHidden/>
          </w:rPr>
          <w:fldChar w:fldCharType="end"/>
        </w:r>
      </w:hyperlink>
    </w:p>
    <w:p w14:paraId="33DF04DA" w14:textId="78DB6E57" w:rsidR="00154F0D" w:rsidRDefault="00154F0D">
      <w:pPr>
        <w:pStyle w:val="TOC3"/>
        <w:tabs>
          <w:tab w:val="right" w:leader="dot" w:pos="9350"/>
        </w:tabs>
        <w:rPr>
          <w:rFonts w:asciiTheme="minorHAnsi" w:eastAsiaTheme="minorEastAsia" w:hAnsiTheme="minorHAnsi" w:cstheme="minorBidi"/>
          <w:noProof/>
        </w:rPr>
      </w:pPr>
      <w:hyperlink w:anchor="_Toc119834421" w:history="1">
        <w:r w:rsidRPr="00915829">
          <w:rPr>
            <w:rStyle w:val="Hyperlink"/>
            <w:rFonts w:asciiTheme="majorHAnsi" w:hAnsiTheme="majorHAnsi" w:cstheme="majorHAnsi"/>
            <w:noProof/>
          </w:rPr>
          <w:t>Liver Function Test</w:t>
        </w:r>
        <w:r>
          <w:rPr>
            <w:noProof/>
            <w:webHidden/>
          </w:rPr>
          <w:tab/>
        </w:r>
        <w:r>
          <w:rPr>
            <w:noProof/>
            <w:webHidden/>
          </w:rPr>
          <w:fldChar w:fldCharType="begin"/>
        </w:r>
        <w:r>
          <w:rPr>
            <w:noProof/>
            <w:webHidden/>
          </w:rPr>
          <w:instrText xml:space="preserve"> PAGEREF _Toc119834421 \h </w:instrText>
        </w:r>
        <w:r>
          <w:rPr>
            <w:noProof/>
            <w:webHidden/>
          </w:rPr>
        </w:r>
        <w:r>
          <w:rPr>
            <w:noProof/>
            <w:webHidden/>
          </w:rPr>
          <w:fldChar w:fldCharType="separate"/>
        </w:r>
        <w:r>
          <w:rPr>
            <w:noProof/>
            <w:webHidden/>
          </w:rPr>
          <w:t>8</w:t>
        </w:r>
        <w:r>
          <w:rPr>
            <w:noProof/>
            <w:webHidden/>
          </w:rPr>
          <w:fldChar w:fldCharType="end"/>
        </w:r>
      </w:hyperlink>
    </w:p>
    <w:p w14:paraId="0DC9FC42" w14:textId="2DA51D60" w:rsidR="00154F0D" w:rsidRDefault="00154F0D">
      <w:pPr>
        <w:pStyle w:val="TOC3"/>
        <w:tabs>
          <w:tab w:val="right" w:leader="dot" w:pos="9350"/>
        </w:tabs>
        <w:rPr>
          <w:rFonts w:asciiTheme="minorHAnsi" w:eastAsiaTheme="minorEastAsia" w:hAnsiTheme="minorHAnsi" w:cstheme="minorBidi"/>
          <w:noProof/>
        </w:rPr>
      </w:pPr>
      <w:hyperlink w:anchor="_Toc119834422" w:history="1">
        <w:r w:rsidRPr="00915829">
          <w:rPr>
            <w:rStyle w:val="Hyperlink"/>
            <w:rFonts w:asciiTheme="majorHAnsi" w:hAnsiTheme="majorHAnsi" w:cstheme="majorHAnsi"/>
            <w:noProof/>
          </w:rPr>
          <w:t>Hormones</w:t>
        </w:r>
        <w:r>
          <w:rPr>
            <w:noProof/>
            <w:webHidden/>
          </w:rPr>
          <w:tab/>
        </w:r>
        <w:r>
          <w:rPr>
            <w:noProof/>
            <w:webHidden/>
          </w:rPr>
          <w:fldChar w:fldCharType="begin"/>
        </w:r>
        <w:r>
          <w:rPr>
            <w:noProof/>
            <w:webHidden/>
          </w:rPr>
          <w:instrText xml:space="preserve"> PAGEREF _Toc119834422 \h </w:instrText>
        </w:r>
        <w:r>
          <w:rPr>
            <w:noProof/>
            <w:webHidden/>
          </w:rPr>
        </w:r>
        <w:r>
          <w:rPr>
            <w:noProof/>
            <w:webHidden/>
          </w:rPr>
          <w:fldChar w:fldCharType="separate"/>
        </w:r>
        <w:r>
          <w:rPr>
            <w:noProof/>
            <w:webHidden/>
          </w:rPr>
          <w:t>9</w:t>
        </w:r>
        <w:r>
          <w:rPr>
            <w:noProof/>
            <w:webHidden/>
          </w:rPr>
          <w:fldChar w:fldCharType="end"/>
        </w:r>
      </w:hyperlink>
    </w:p>
    <w:p w14:paraId="18DF3A62" w14:textId="11033C74" w:rsidR="00154F0D" w:rsidRDefault="00154F0D">
      <w:pPr>
        <w:pStyle w:val="TOC3"/>
        <w:tabs>
          <w:tab w:val="right" w:leader="dot" w:pos="9350"/>
        </w:tabs>
        <w:rPr>
          <w:rFonts w:asciiTheme="minorHAnsi" w:eastAsiaTheme="minorEastAsia" w:hAnsiTheme="minorHAnsi" w:cstheme="minorBidi"/>
          <w:noProof/>
        </w:rPr>
      </w:pPr>
      <w:hyperlink w:anchor="_Toc119834423" w:history="1">
        <w:r w:rsidRPr="00915829">
          <w:rPr>
            <w:rStyle w:val="Hyperlink"/>
            <w:rFonts w:asciiTheme="majorHAnsi" w:hAnsiTheme="majorHAnsi" w:cstheme="majorHAnsi"/>
            <w:noProof/>
          </w:rPr>
          <w:t>Others</w:t>
        </w:r>
        <w:r>
          <w:rPr>
            <w:noProof/>
            <w:webHidden/>
          </w:rPr>
          <w:tab/>
        </w:r>
        <w:r>
          <w:rPr>
            <w:noProof/>
            <w:webHidden/>
          </w:rPr>
          <w:fldChar w:fldCharType="begin"/>
        </w:r>
        <w:r>
          <w:rPr>
            <w:noProof/>
            <w:webHidden/>
          </w:rPr>
          <w:instrText xml:space="preserve"> PAGEREF _Toc119834423 \h </w:instrText>
        </w:r>
        <w:r>
          <w:rPr>
            <w:noProof/>
            <w:webHidden/>
          </w:rPr>
        </w:r>
        <w:r>
          <w:rPr>
            <w:noProof/>
            <w:webHidden/>
          </w:rPr>
          <w:fldChar w:fldCharType="separate"/>
        </w:r>
        <w:r>
          <w:rPr>
            <w:noProof/>
            <w:webHidden/>
          </w:rPr>
          <w:t>9</w:t>
        </w:r>
        <w:r>
          <w:rPr>
            <w:noProof/>
            <w:webHidden/>
          </w:rPr>
          <w:fldChar w:fldCharType="end"/>
        </w:r>
      </w:hyperlink>
    </w:p>
    <w:p w14:paraId="46CF833D" w14:textId="016284AF" w:rsidR="00154F0D" w:rsidRDefault="00154F0D">
      <w:pPr>
        <w:pStyle w:val="TOC2"/>
        <w:tabs>
          <w:tab w:val="right" w:leader="dot" w:pos="9350"/>
        </w:tabs>
        <w:rPr>
          <w:rFonts w:asciiTheme="minorHAnsi" w:eastAsiaTheme="minorEastAsia" w:hAnsiTheme="minorHAnsi" w:cstheme="minorBidi"/>
          <w:noProof/>
        </w:rPr>
      </w:pPr>
      <w:hyperlink w:anchor="_Toc119834424" w:history="1">
        <w:r w:rsidRPr="00915829">
          <w:rPr>
            <w:rStyle w:val="Hyperlink"/>
            <w:rFonts w:asciiTheme="majorHAnsi" w:hAnsiTheme="majorHAnsi" w:cstheme="majorHAnsi"/>
            <w:noProof/>
          </w:rPr>
          <w:t>Traits</w:t>
        </w:r>
        <w:r>
          <w:rPr>
            <w:noProof/>
            <w:webHidden/>
          </w:rPr>
          <w:tab/>
        </w:r>
        <w:r>
          <w:rPr>
            <w:noProof/>
            <w:webHidden/>
          </w:rPr>
          <w:fldChar w:fldCharType="begin"/>
        </w:r>
        <w:r>
          <w:rPr>
            <w:noProof/>
            <w:webHidden/>
          </w:rPr>
          <w:instrText xml:space="preserve"> PAGEREF _Toc119834424 \h </w:instrText>
        </w:r>
        <w:r>
          <w:rPr>
            <w:noProof/>
            <w:webHidden/>
          </w:rPr>
        </w:r>
        <w:r>
          <w:rPr>
            <w:noProof/>
            <w:webHidden/>
          </w:rPr>
          <w:fldChar w:fldCharType="separate"/>
        </w:r>
        <w:r>
          <w:rPr>
            <w:noProof/>
            <w:webHidden/>
          </w:rPr>
          <w:t>10</w:t>
        </w:r>
        <w:r>
          <w:rPr>
            <w:noProof/>
            <w:webHidden/>
          </w:rPr>
          <w:fldChar w:fldCharType="end"/>
        </w:r>
      </w:hyperlink>
    </w:p>
    <w:p w14:paraId="21EA997F" w14:textId="5EBECFA4" w:rsidR="00154F0D" w:rsidRDefault="00154F0D">
      <w:pPr>
        <w:pStyle w:val="TOC3"/>
        <w:tabs>
          <w:tab w:val="right" w:leader="dot" w:pos="9350"/>
        </w:tabs>
        <w:rPr>
          <w:rFonts w:asciiTheme="minorHAnsi" w:eastAsiaTheme="minorEastAsia" w:hAnsiTheme="minorHAnsi" w:cstheme="minorBidi"/>
          <w:noProof/>
        </w:rPr>
      </w:pPr>
      <w:hyperlink w:anchor="_Toc119834425" w:history="1">
        <w:r w:rsidRPr="00915829">
          <w:rPr>
            <w:rStyle w:val="Hyperlink"/>
            <w:rFonts w:asciiTheme="majorHAnsi" w:hAnsiTheme="majorHAnsi" w:cstheme="majorHAnsi"/>
            <w:noProof/>
          </w:rPr>
          <w:t>Questionnaires</w:t>
        </w:r>
        <w:r>
          <w:rPr>
            <w:noProof/>
            <w:webHidden/>
          </w:rPr>
          <w:tab/>
        </w:r>
        <w:r>
          <w:rPr>
            <w:noProof/>
            <w:webHidden/>
          </w:rPr>
          <w:fldChar w:fldCharType="begin"/>
        </w:r>
        <w:r>
          <w:rPr>
            <w:noProof/>
            <w:webHidden/>
          </w:rPr>
          <w:instrText xml:space="preserve"> PAGEREF _Toc119834425 \h </w:instrText>
        </w:r>
        <w:r>
          <w:rPr>
            <w:noProof/>
            <w:webHidden/>
          </w:rPr>
        </w:r>
        <w:r>
          <w:rPr>
            <w:noProof/>
            <w:webHidden/>
          </w:rPr>
          <w:fldChar w:fldCharType="separate"/>
        </w:r>
        <w:r>
          <w:rPr>
            <w:noProof/>
            <w:webHidden/>
          </w:rPr>
          <w:t>10</w:t>
        </w:r>
        <w:r>
          <w:rPr>
            <w:noProof/>
            <w:webHidden/>
          </w:rPr>
          <w:fldChar w:fldCharType="end"/>
        </w:r>
      </w:hyperlink>
    </w:p>
    <w:p w14:paraId="400F6AEA" w14:textId="46B3127D" w:rsidR="00154F0D" w:rsidRDefault="00154F0D">
      <w:pPr>
        <w:pStyle w:val="TOC4"/>
        <w:tabs>
          <w:tab w:val="right" w:leader="dot" w:pos="9350"/>
        </w:tabs>
        <w:rPr>
          <w:rFonts w:asciiTheme="minorHAnsi" w:eastAsiaTheme="minorEastAsia" w:hAnsiTheme="minorHAnsi" w:cstheme="minorBidi"/>
          <w:noProof/>
        </w:rPr>
      </w:pPr>
      <w:hyperlink w:anchor="_Toc119834426" w:history="1">
        <w:r w:rsidRPr="00915829">
          <w:rPr>
            <w:rStyle w:val="Hyperlink"/>
            <w:noProof/>
          </w:rPr>
          <w:t>Demographic information</w:t>
        </w:r>
        <w:r>
          <w:rPr>
            <w:noProof/>
            <w:webHidden/>
          </w:rPr>
          <w:tab/>
        </w:r>
        <w:r>
          <w:rPr>
            <w:noProof/>
            <w:webHidden/>
          </w:rPr>
          <w:fldChar w:fldCharType="begin"/>
        </w:r>
        <w:r>
          <w:rPr>
            <w:noProof/>
            <w:webHidden/>
          </w:rPr>
          <w:instrText xml:space="preserve"> PAGEREF _Toc119834426 \h </w:instrText>
        </w:r>
        <w:r>
          <w:rPr>
            <w:noProof/>
            <w:webHidden/>
          </w:rPr>
        </w:r>
        <w:r>
          <w:rPr>
            <w:noProof/>
            <w:webHidden/>
          </w:rPr>
          <w:fldChar w:fldCharType="separate"/>
        </w:r>
        <w:r>
          <w:rPr>
            <w:noProof/>
            <w:webHidden/>
          </w:rPr>
          <w:t>11</w:t>
        </w:r>
        <w:r>
          <w:rPr>
            <w:noProof/>
            <w:webHidden/>
          </w:rPr>
          <w:fldChar w:fldCharType="end"/>
        </w:r>
      </w:hyperlink>
    </w:p>
    <w:p w14:paraId="2A855B51" w14:textId="3DB20B98" w:rsidR="00154F0D" w:rsidRDefault="00154F0D">
      <w:pPr>
        <w:pStyle w:val="TOC4"/>
        <w:tabs>
          <w:tab w:val="right" w:leader="dot" w:pos="9350"/>
        </w:tabs>
        <w:rPr>
          <w:rFonts w:asciiTheme="minorHAnsi" w:eastAsiaTheme="minorEastAsia" w:hAnsiTheme="minorHAnsi" w:cstheme="minorBidi"/>
          <w:noProof/>
        </w:rPr>
      </w:pPr>
      <w:hyperlink w:anchor="_Toc119834427" w:history="1">
        <w:r w:rsidRPr="00915829">
          <w:rPr>
            <w:rStyle w:val="Hyperlink"/>
            <w:noProof/>
          </w:rPr>
          <w:t>Ethnicity</w:t>
        </w:r>
        <w:r>
          <w:rPr>
            <w:noProof/>
            <w:webHidden/>
          </w:rPr>
          <w:tab/>
        </w:r>
        <w:r>
          <w:rPr>
            <w:noProof/>
            <w:webHidden/>
          </w:rPr>
          <w:fldChar w:fldCharType="begin"/>
        </w:r>
        <w:r>
          <w:rPr>
            <w:noProof/>
            <w:webHidden/>
          </w:rPr>
          <w:instrText xml:space="preserve"> PAGEREF _Toc119834427 \h </w:instrText>
        </w:r>
        <w:r>
          <w:rPr>
            <w:noProof/>
            <w:webHidden/>
          </w:rPr>
        </w:r>
        <w:r>
          <w:rPr>
            <w:noProof/>
            <w:webHidden/>
          </w:rPr>
          <w:fldChar w:fldCharType="separate"/>
        </w:r>
        <w:r>
          <w:rPr>
            <w:noProof/>
            <w:webHidden/>
          </w:rPr>
          <w:t>11</w:t>
        </w:r>
        <w:r>
          <w:rPr>
            <w:noProof/>
            <w:webHidden/>
          </w:rPr>
          <w:fldChar w:fldCharType="end"/>
        </w:r>
      </w:hyperlink>
    </w:p>
    <w:p w14:paraId="590CF0C4" w14:textId="200C4971" w:rsidR="00154F0D" w:rsidRDefault="00154F0D">
      <w:pPr>
        <w:pStyle w:val="TOC4"/>
        <w:tabs>
          <w:tab w:val="right" w:leader="dot" w:pos="9350"/>
        </w:tabs>
        <w:rPr>
          <w:rFonts w:asciiTheme="minorHAnsi" w:eastAsiaTheme="minorEastAsia" w:hAnsiTheme="minorHAnsi" w:cstheme="minorBidi"/>
          <w:noProof/>
        </w:rPr>
      </w:pPr>
      <w:hyperlink w:anchor="_Toc119834428" w:history="1">
        <w:r w:rsidRPr="00915829">
          <w:rPr>
            <w:rStyle w:val="Hyperlink"/>
            <w:noProof/>
          </w:rPr>
          <w:t>Past Medical History</w:t>
        </w:r>
        <w:r>
          <w:rPr>
            <w:noProof/>
            <w:webHidden/>
          </w:rPr>
          <w:tab/>
        </w:r>
        <w:r>
          <w:rPr>
            <w:noProof/>
            <w:webHidden/>
          </w:rPr>
          <w:fldChar w:fldCharType="begin"/>
        </w:r>
        <w:r>
          <w:rPr>
            <w:noProof/>
            <w:webHidden/>
          </w:rPr>
          <w:instrText xml:space="preserve"> PAGEREF _Toc119834428 \h </w:instrText>
        </w:r>
        <w:r>
          <w:rPr>
            <w:noProof/>
            <w:webHidden/>
          </w:rPr>
        </w:r>
        <w:r>
          <w:rPr>
            <w:noProof/>
            <w:webHidden/>
          </w:rPr>
          <w:fldChar w:fldCharType="separate"/>
        </w:r>
        <w:r>
          <w:rPr>
            <w:noProof/>
            <w:webHidden/>
          </w:rPr>
          <w:t>11</w:t>
        </w:r>
        <w:r>
          <w:rPr>
            <w:noProof/>
            <w:webHidden/>
          </w:rPr>
          <w:fldChar w:fldCharType="end"/>
        </w:r>
      </w:hyperlink>
    </w:p>
    <w:p w14:paraId="607D6DD6" w14:textId="13340252" w:rsidR="00154F0D" w:rsidRDefault="00154F0D">
      <w:pPr>
        <w:pStyle w:val="TOC4"/>
        <w:tabs>
          <w:tab w:val="right" w:leader="dot" w:pos="9350"/>
        </w:tabs>
        <w:rPr>
          <w:rFonts w:asciiTheme="minorHAnsi" w:eastAsiaTheme="minorEastAsia" w:hAnsiTheme="minorHAnsi" w:cstheme="minorBidi"/>
          <w:noProof/>
        </w:rPr>
      </w:pPr>
      <w:hyperlink w:anchor="_Toc119834429" w:history="1">
        <w:r w:rsidRPr="00915829">
          <w:rPr>
            <w:rStyle w:val="Hyperlink"/>
            <w:noProof/>
          </w:rPr>
          <w:t>Smoking and Physical activity</w:t>
        </w:r>
        <w:r>
          <w:rPr>
            <w:noProof/>
            <w:webHidden/>
          </w:rPr>
          <w:tab/>
        </w:r>
        <w:r>
          <w:rPr>
            <w:noProof/>
            <w:webHidden/>
          </w:rPr>
          <w:fldChar w:fldCharType="begin"/>
        </w:r>
        <w:r>
          <w:rPr>
            <w:noProof/>
            <w:webHidden/>
          </w:rPr>
          <w:instrText xml:space="preserve"> PAGEREF _Toc119834429 \h </w:instrText>
        </w:r>
        <w:r>
          <w:rPr>
            <w:noProof/>
            <w:webHidden/>
          </w:rPr>
        </w:r>
        <w:r>
          <w:rPr>
            <w:noProof/>
            <w:webHidden/>
          </w:rPr>
          <w:fldChar w:fldCharType="separate"/>
        </w:r>
        <w:r>
          <w:rPr>
            <w:noProof/>
            <w:webHidden/>
          </w:rPr>
          <w:t>11</w:t>
        </w:r>
        <w:r>
          <w:rPr>
            <w:noProof/>
            <w:webHidden/>
          </w:rPr>
          <w:fldChar w:fldCharType="end"/>
        </w:r>
      </w:hyperlink>
    </w:p>
    <w:p w14:paraId="46EB9464" w14:textId="6BD37A11" w:rsidR="00154F0D" w:rsidRDefault="00154F0D">
      <w:pPr>
        <w:pStyle w:val="TOC4"/>
        <w:tabs>
          <w:tab w:val="right" w:leader="dot" w:pos="9350"/>
        </w:tabs>
        <w:rPr>
          <w:rFonts w:asciiTheme="minorHAnsi" w:eastAsiaTheme="minorEastAsia" w:hAnsiTheme="minorHAnsi" w:cstheme="minorBidi"/>
          <w:noProof/>
        </w:rPr>
      </w:pPr>
      <w:hyperlink w:anchor="_Toc119834430" w:history="1">
        <w:r w:rsidRPr="00915829">
          <w:rPr>
            <w:rStyle w:val="Hyperlink"/>
            <w:noProof/>
          </w:rPr>
          <w:t>Obstetric and Gynecology</w:t>
        </w:r>
        <w:r>
          <w:rPr>
            <w:noProof/>
            <w:webHidden/>
          </w:rPr>
          <w:tab/>
        </w:r>
        <w:r>
          <w:rPr>
            <w:noProof/>
            <w:webHidden/>
          </w:rPr>
          <w:fldChar w:fldCharType="begin"/>
        </w:r>
        <w:r>
          <w:rPr>
            <w:noProof/>
            <w:webHidden/>
          </w:rPr>
          <w:instrText xml:space="preserve"> PAGEREF _Toc119834430 \h </w:instrText>
        </w:r>
        <w:r>
          <w:rPr>
            <w:noProof/>
            <w:webHidden/>
          </w:rPr>
        </w:r>
        <w:r>
          <w:rPr>
            <w:noProof/>
            <w:webHidden/>
          </w:rPr>
          <w:fldChar w:fldCharType="separate"/>
        </w:r>
        <w:r>
          <w:rPr>
            <w:noProof/>
            <w:webHidden/>
          </w:rPr>
          <w:t>13</w:t>
        </w:r>
        <w:r>
          <w:rPr>
            <w:noProof/>
            <w:webHidden/>
          </w:rPr>
          <w:fldChar w:fldCharType="end"/>
        </w:r>
      </w:hyperlink>
    </w:p>
    <w:p w14:paraId="56A89E83" w14:textId="0D6183F0" w:rsidR="00154F0D" w:rsidRDefault="00154F0D">
      <w:pPr>
        <w:pStyle w:val="TOC4"/>
        <w:tabs>
          <w:tab w:val="right" w:leader="dot" w:pos="9350"/>
        </w:tabs>
        <w:rPr>
          <w:rFonts w:asciiTheme="minorHAnsi" w:eastAsiaTheme="minorEastAsia" w:hAnsiTheme="minorHAnsi" w:cstheme="minorBidi"/>
          <w:noProof/>
        </w:rPr>
      </w:pPr>
      <w:hyperlink w:anchor="_Toc119834431" w:history="1">
        <w:r w:rsidRPr="00915829">
          <w:rPr>
            <w:rStyle w:val="Hyperlink"/>
            <w:noProof/>
          </w:rPr>
          <w:t>Dietary assessment</w:t>
        </w:r>
        <w:r>
          <w:rPr>
            <w:noProof/>
            <w:webHidden/>
          </w:rPr>
          <w:tab/>
        </w:r>
        <w:r>
          <w:rPr>
            <w:noProof/>
            <w:webHidden/>
          </w:rPr>
          <w:fldChar w:fldCharType="begin"/>
        </w:r>
        <w:r>
          <w:rPr>
            <w:noProof/>
            <w:webHidden/>
          </w:rPr>
          <w:instrText xml:space="preserve"> PAGEREF _Toc119834431 \h </w:instrText>
        </w:r>
        <w:r>
          <w:rPr>
            <w:noProof/>
            <w:webHidden/>
          </w:rPr>
        </w:r>
        <w:r>
          <w:rPr>
            <w:noProof/>
            <w:webHidden/>
          </w:rPr>
          <w:fldChar w:fldCharType="separate"/>
        </w:r>
        <w:r>
          <w:rPr>
            <w:noProof/>
            <w:webHidden/>
          </w:rPr>
          <w:t>13</w:t>
        </w:r>
        <w:r>
          <w:rPr>
            <w:noProof/>
            <w:webHidden/>
          </w:rPr>
          <w:fldChar w:fldCharType="end"/>
        </w:r>
      </w:hyperlink>
    </w:p>
    <w:p w14:paraId="1DD5EDCB" w14:textId="51ABB7A7" w:rsidR="00154F0D" w:rsidRDefault="00154F0D">
      <w:pPr>
        <w:pStyle w:val="TOC4"/>
        <w:tabs>
          <w:tab w:val="right" w:leader="dot" w:pos="9350"/>
        </w:tabs>
        <w:rPr>
          <w:rFonts w:asciiTheme="minorHAnsi" w:eastAsiaTheme="minorEastAsia" w:hAnsiTheme="minorHAnsi" w:cstheme="minorBidi"/>
          <w:noProof/>
        </w:rPr>
      </w:pPr>
      <w:hyperlink w:anchor="_Toc119834432" w:history="1">
        <w:r w:rsidRPr="00915829">
          <w:rPr>
            <w:rStyle w:val="Hyperlink"/>
            <w:noProof/>
          </w:rPr>
          <w:t>The health-related quality of life (HRQoL)</w:t>
        </w:r>
        <w:r>
          <w:rPr>
            <w:noProof/>
            <w:webHidden/>
          </w:rPr>
          <w:tab/>
        </w:r>
        <w:r>
          <w:rPr>
            <w:noProof/>
            <w:webHidden/>
          </w:rPr>
          <w:fldChar w:fldCharType="begin"/>
        </w:r>
        <w:r>
          <w:rPr>
            <w:noProof/>
            <w:webHidden/>
          </w:rPr>
          <w:instrText xml:space="preserve"> PAGEREF _Toc119834432 \h </w:instrText>
        </w:r>
        <w:r>
          <w:rPr>
            <w:noProof/>
            <w:webHidden/>
          </w:rPr>
        </w:r>
        <w:r>
          <w:rPr>
            <w:noProof/>
            <w:webHidden/>
          </w:rPr>
          <w:fldChar w:fldCharType="separate"/>
        </w:r>
        <w:r>
          <w:rPr>
            <w:noProof/>
            <w:webHidden/>
          </w:rPr>
          <w:t>14</w:t>
        </w:r>
        <w:r>
          <w:rPr>
            <w:noProof/>
            <w:webHidden/>
          </w:rPr>
          <w:fldChar w:fldCharType="end"/>
        </w:r>
      </w:hyperlink>
    </w:p>
    <w:p w14:paraId="3310554C" w14:textId="74DB723C" w:rsidR="00154F0D" w:rsidRDefault="00154F0D">
      <w:pPr>
        <w:pStyle w:val="TOC3"/>
        <w:tabs>
          <w:tab w:val="right" w:leader="dot" w:pos="9350"/>
        </w:tabs>
        <w:rPr>
          <w:rFonts w:asciiTheme="minorHAnsi" w:eastAsiaTheme="minorEastAsia" w:hAnsiTheme="minorHAnsi" w:cstheme="minorBidi"/>
          <w:noProof/>
        </w:rPr>
      </w:pPr>
      <w:hyperlink w:anchor="_Toc119834433" w:history="1">
        <w:r w:rsidRPr="00915829">
          <w:rPr>
            <w:rStyle w:val="Hyperlink"/>
            <w:rFonts w:asciiTheme="majorHAnsi" w:hAnsiTheme="majorHAnsi" w:cstheme="majorHAnsi"/>
            <w:noProof/>
          </w:rPr>
          <w:t>Medical complication</w:t>
        </w:r>
        <w:r>
          <w:rPr>
            <w:noProof/>
            <w:webHidden/>
          </w:rPr>
          <w:tab/>
        </w:r>
        <w:r>
          <w:rPr>
            <w:noProof/>
            <w:webHidden/>
          </w:rPr>
          <w:fldChar w:fldCharType="begin"/>
        </w:r>
        <w:r>
          <w:rPr>
            <w:noProof/>
            <w:webHidden/>
          </w:rPr>
          <w:instrText xml:space="preserve"> PAGEREF _Toc119834433 \h </w:instrText>
        </w:r>
        <w:r>
          <w:rPr>
            <w:noProof/>
            <w:webHidden/>
          </w:rPr>
        </w:r>
        <w:r>
          <w:rPr>
            <w:noProof/>
            <w:webHidden/>
          </w:rPr>
          <w:fldChar w:fldCharType="separate"/>
        </w:r>
        <w:r>
          <w:rPr>
            <w:noProof/>
            <w:webHidden/>
          </w:rPr>
          <w:t>15</w:t>
        </w:r>
        <w:r>
          <w:rPr>
            <w:noProof/>
            <w:webHidden/>
          </w:rPr>
          <w:fldChar w:fldCharType="end"/>
        </w:r>
      </w:hyperlink>
    </w:p>
    <w:p w14:paraId="14A50234" w14:textId="67D06ECA" w:rsidR="00154F0D" w:rsidRDefault="00154F0D">
      <w:pPr>
        <w:pStyle w:val="TOC4"/>
        <w:tabs>
          <w:tab w:val="right" w:leader="dot" w:pos="9350"/>
        </w:tabs>
        <w:rPr>
          <w:rFonts w:asciiTheme="minorHAnsi" w:eastAsiaTheme="minorEastAsia" w:hAnsiTheme="minorHAnsi" w:cstheme="minorBidi"/>
          <w:noProof/>
        </w:rPr>
      </w:pPr>
      <w:hyperlink w:anchor="_Toc119834434" w:history="1">
        <w:r w:rsidRPr="00915829">
          <w:rPr>
            <w:rStyle w:val="Hyperlink"/>
            <w:noProof/>
          </w:rPr>
          <w:t>Self-reports</w:t>
        </w:r>
        <w:r>
          <w:rPr>
            <w:noProof/>
            <w:webHidden/>
          </w:rPr>
          <w:tab/>
        </w:r>
        <w:r>
          <w:rPr>
            <w:noProof/>
            <w:webHidden/>
          </w:rPr>
          <w:fldChar w:fldCharType="begin"/>
        </w:r>
        <w:r>
          <w:rPr>
            <w:noProof/>
            <w:webHidden/>
          </w:rPr>
          <w:instrText xml:space="preserve"> PAGEREF _Toc119834434 \h </w:instrText>
        </w:r>
        <w:r>
          <w:rPr>
            <w:noProof/>
            <w:webHidden/>
          </w:rPr>
        </w:r>
        <w:r>
          <w:rPr>
            <w:noProof/>
            <w:webHidden/>
          </w:rPr>
          <w:fldChar w:fldCharType="separate"/>
        </w:r>
        <w:r>
          <w:rPr>
            <w:noProof/>
            <w:webHidden/>
          </w:rPr>
          <w:t>15</w:t>
        </w:r>
        <w:r>
          <w:rPr>
            <w:noProof/>
            <w:webHidden/>
          </w:rPr>
          <w:fldChar w:fldCharType="end"/>
        </w:r>
      </w:hyperlink>
    </w:p>
    <w:p w14:paraId="19524435" w14:textId="5C97F82B" w:rsidR="00154F0D" w:rsidRDefault="00154F0D">
      <w:pPr>
        <w:pStyle w:val="TOC4"/>
        <w:tabs>
          <w:tab w:val="right" w:leader="dot" w:pos="9350"/>
        </w:tabs>
        <w:rPr>
          <w:rFonts w:asciiTheme="minorHAnsi" w:eastAsiaTheme="minorEastAsia" w:hAnsiTheme="minorHAnsi" w:cstheme="minorBidi"/>
          <w:noProof/>
        </w:rPr>
      </w:pPr>
      <w:hyperlink w:anchor="_Toc119834435" w:history="1">
        <w:r w:rsidRPr="00915829">
          <w:rPr>
            <w:rStyle w:val="Hyperlink"/>
            <w:noProof/>
          </w:rPr>
          <w:t>Hospitalization</w:t>
        </w:r>
        <w:r>
          <w:rPr>
            <w:noProof/>
            <w:webHidden/>
          </w:rPr>
          <w:tab/>
        </w:r>
        <w:r>
          <w:rPr>
            <w:noProof/>
            <w:webHidden/>
          </w:rPr>
          <w:fldChar w:fldCharType="begin"/>
        </w:r>
        <w:r>
          <w:rPr>
            <w:noProof/>
            <w:webHidden/>
          </w:rPr>
          <w:instrText xml:space="preserve"> PAGEREF _Toc119834435 \h </w:instrText>
        </w:r>
        <w:r>
          <w:rPr>
            <w:noProof/>
            <w:webHidden/>
          </w:rPr>
        </w:r>
        <w:r>
          <w:rPr>
            <w:noProof/>
            <w:webHidden/>
          </w:rPr>
          <w:fldChar w:fldCharType="separate"/>
        </w:r>
        <w:r>
          <w:rPr>
            <w:noProof/>
            <w:webHidden/>
          </w:rPr>
          <w:t>15</w:t>
        </w:r>
        <w:r>
          <w:rPr>
            <w:noProof/>
            <w:webHidden/>
          </w:rPr>
          <w:fldChar w:fldCharType="end"/>
        </w:r>
      </w:hyperlink>
    </w:p>
    <w:p w14:paraId="040F6B64" w14:textId="6C2B4D0C" w:rsidR="00154F0D" w:rsidRDefault="00154F0D">
      <w:pPr>
        <w:pStyle w:val="TOC4"/>
        <w:tabs>
          <w:tab w:val="right" w:leader="dot" w:pos="9350"/>
        </w:tabs>
        <w:rPr>
          <w:rFonts w:asciiTheme="minorHAnsi" w:eastAsiaTheme="minorEastAsia" w:hAnsiTheme="minorHAnsi" w:cstheme="minorBidi"/>
          <w:noProof/>
        </w:rPr>
      </w:pPr>
      <w:hyperlink w:anchor="_Toc119834436" w:history="1">
        <w:r w:rsidRPr="00915829">
          <w:rPr>
            <w:rStyle w:val="Hyperlink"/>
            <w:noProof/>
          </w:rPr>
          <w:t>ICD 11 coding</w:t>
        </w:r>
        <w:r>
          <w:rPr>
            <w:noProof/>
            <w:webHidden/>
          </w:rPr>
          <w:tab/>
        </w:r>
        <w:r>
          <w:rPr>
            <w:noProof/>
            <w:webHidden/>
          </w:rPr>
          <w:fldChar w:fldCharType="begin"/>
        </w:r>
        <w:r>
          <w:rPr>
            <w:noProof/>
            <w:webHidden/>
          </w:rPr>
          <w:instrText xml:space="preserve"> PAGEREF _Toc119834436 \h </w:instrText>
        </w:r>
        <w:r>
          <w:rPr>
            <w:noProof/>
            <w:webHidden/>
          </w:rPr>
        </w:r>
        <w:r>
          <w:rPr>
            <w:noProof/>
            <w:webHidden/>
          </w:rPr>
          <w:fldChar w:fldCharType="separate"/>
        </w:r>
        <w:r>
          <w:rPr>
            <w:noProof/>
            <w:webHidden/>
          </w:rPr>
          <w:t>16</w:t>
        </w:r>
        <w:r>
          <w:rPr>
            <w:noProof/>
            <w:webHidden/>
          </w:rPr>
          <w:fldChar w:fldCharType="end"/>
        </w:r>
      </w:hyperlink>
    </w:p>
    <w:p w14:paraId="5E978F67" w14:textId="5B245A98" w:rsidR="00154F0D" w:rsidRDefault="00154F0D">
      <w:pPr>
        <w:pStyle w:val="TOC2"/>
        <w:tabs>
          <w:tab w:val="right" w:leader="dot" w:pos="9350"/>
        </w:tabs>
        <w:rPr>
          <w:rFonts w:asciiTheme="minorHAnsi" w:eastAsiaTheme="minorEastAsia" w:hAnsiTheme="minorHAnsi" w:cstheme="minorBidi"/>
          <w:noProof/>
        </w:rPr>
      </w:pPr>
      <w:hyperlink w:anchor="_Toc119834437" w:history="1">
        <w:r w:rsidRPr="00915829">
          <w:rPr>
            <w:rStyle w:val="Hyperlink"/>
            <w:rFonts w:asciiTheme="majorHAnsi" w:hAnsiTheme="majorHAnsi" w:cstheme="majorHAnsi"/>
            <w:noProof/>
          </w:rPr>
          <w:t>Biobanking</w:t>
        </w:r>
        <w:r>
          <w:rPr>
            <w:noProof/>
            <w:webHidden/>
          </w:rPr>
          <w:tab/>
        </w:r>
        <w:r>
          <w:rPr>
            <w:noProof/>
            <w:webHidden/>
          </w:rPr>
          <w:fldChar w:fldCharType="begin"/>
        </w:r>
        <w:r>
          <w:rPr>
            <w:noProof/>
            <w:webHidden/>
          </w:rPr>
          <w:instrText xml:space="preserve"> PAGEREF _Toc119834437 \h </w:instrText>
        </w:r>
        <w:r>
          <w:rPr>
            <w:noProof/>
            <w:webHidden/>
          </w:rPr>
        </w:r>
        <w:r>
          <w:rPr>
            <w:noProof/>
            <w:webHidden/>
          </w:rPr>
          <w:fldChar w:fldCharType="separate"/>
        </w:r>
        <w:r>
          <w:rPr>
            <w:noProof/>
            <w:webHidden/>
          </w:rPr>
          <w:t>16</w:t>
        </w:r>
        <w:r>
          <w:rPr>
            <w:noProof/>
            <w:webHidden/>
          </w:rPr>
          <w:fldChar w:fldCharType="end"/>
        </w:r>
      </w:hyperlink>
    </w:p>
    <w:p w14:paraId="77654578" w14:textId="04BA7C72" w:rsidR="00154F0D" w:rsidRDefault="00154F0D">
      <w:pPr>
        <w:pStyle w:val="TOC2"/>
        <w:tabs>
          <w:tab w:val="right" w:leader="dot" w:pos="9350"/>
        </w:tabs>
        <w:rPr>
          <w:rFonts w:asciiTheme="minorHAnsi" w:eastAsiaTheme="minorEastAsia" w:hAnsiTheme="minorHAnsi" w:cstheme="minorBidi"/>
          <w:noProof/>
        </w:rPr>
      </w:pPr>
      <w:hyperlink w:anchor="_Toc119834438" w:history="1">
        <w:r w:rsidRPr="00915829">
          <w:rPr>
            <w:rStyle w:val="Hyperlink"/>
            <w:rFonts w:asciiTheme="majorHAnsi" w:hAnsiTheme="majorHAnsi" w:cstheme="majorHAnsi"/>
            <w:noProof/>
          </w:rPr>
          <w:t>Genotyping</w:t>
        </w:r>
        <w:r>
          <w:rPr>
            <w:noProof/>
            <w:webHidden/>
          </w:rPr>
          <w:tab/>
        </w:r>
        <w:r>
          <w:rPr>
            <w:noProof/>
            <w:webHidden/>
          </w:rPr>
          <w:fldChar w:fldCharType="begin"/>
        </w:r>
        <w:r>
          <w:rPr>
            <w:noProof/>
            <w:webHidden/>
          </w:rPr>
          <w:instrText xml:space="preserve"> PAGEREF _Toc119834438 \h </w:instrText>
        </w:r>
        <w:r>
          <w:rPr>
            <w:noProof/>
            <w:webHidden/>
          </w:rPr>
        </w:r>
        <w:r>
          <w:rPr>
            <w:noProof/>
            <w:webHidden/>
          </w:rPr>
          <w:fldChar w:fldCharType="separate"/>
        </w:r>
        <w:r>
          <w:rPr>
            <w:noProof/>
            <w:webHidden/>
          </w:rPr>
          <w:t>17</w:t>
        </w:r>
        <w:r>
          <w:rPr>
            <w:noProof/>
            <w:webHidden/>
          </w:rPr>
          <w:fldChar w:fldCharType="end"/>
        </w:r>
      </w:hyperlink>
    </w:p>
    <w:p w14:paraId="032711BF" w14:textId="61C8FA8C" w:rsidR="00154F0D" w:rsidRDefault="00154F0D">
      <w:pPr>
        <w:pStyle w:val="TOC3"/>
        <w:tabs>
          <w:tab w:val="right" w:leader="dot" w:pos="9350"/>
        </w:tabs>
        <w:rPr>
          <w:rFonts w:asciiTheme="minorHAnsi" w:eastAsiaTheme="minorEastAsia" w:hAnsiTheme="minorHAnsi" w:cstheme="minorBidi"/>
          <w:noProof/>
        </w:rPr>
      </w:pPr>
      <w:hyperlink w:anchor="_Toc119834439" w:history="1">
        <w:r w:rsidRPr="00915829">
          <w:rPr>
            <w:rStyle w:val="Hyperlink"/>
            <w:rFonts w:asciiTheme="majorHAnsi" w:hAnsiTheme="majorHAnsi" w:cstheme="majorHAnsi"/>
            <w:noProof/>
          </w:rPr>
          <w:t>DNA extraction</w:t>
        </w:r>
        <w:r>
          <w:rPr>
            <w:noProof/>
            <w:webHidden/>
          </w:rPr>
          <w:tab/>
        </w:r>
        <w:r>
          <w:rPr>
            <w:noProof/>
            <w:webHidden/>
          </w:rPr>
          <w:fldChar w:fldCharType="begin"/>
        </w:r>
        <w:r>
          <w:rPr>
            <w:noProof/>
            <w:webHidden/>
          </w:rPr>
          <w:instrText xml:space="preserve"> PAGEREF _Toc119834439 \h </w:instrText>
        </w:r>
        <w:r>
          <w:rPr>
            <w:noProof/>
            <w:webHidden/>
          </w:rPr>
        </w:r>
        <w:r>
          <w:rPr>
            <w:noProof/>
            <w:webHidden/>
          </w:rPr>
          <w:fldChar w:fldCharType="separate"/>
        </w:r>
        <w:r>
          <w:rPr>
            <w:noProof/>
            <w:webHidden/>
          </w:rPr>
          <w:t>17</w:t>
        </w:r>
        <w:r>
          <w:rPr>
            <w:noProof/>
            <w:webHidden/>
          </w:rPr>
          <w:fldChar w:fldCharType="end"/>
        </w:r>
      </w:hyperlink>
    </w:p>
    <w:p w14:paraId="0CE07753" w14:textId="31640BC1" w:rsidR="00154F0D" w:rsidRDefault="00154F0D">
      <w:pPr>
        <w:pStyle w:val="TOC2"/>
        <w:tabs>
          <w:tab w:val="right" w:leader="dot" w:pos="9350"/>
        </w:tabs>
        <w:rPr>
          <w:rFonts w:asciiTheme="minorHAnsi" w:eastAsiaTheme="minorEastAsia" w:hAnsiTheme="minorHAnsi" w:cstheme="minorBidi"/>
          <w:noProof/>
        </w:rPr>
      </w:pPr>
      <w:hyperlink w:anchor="_Toc119834440" w:history="1">
        <w:r w:rsidRPr="00915829">
          <w:rPr>
            <w:rStyle w:val="Hyperlink"/>
            <w:rFonts w:asciiTheme="majorHAnsi" w:hAnsiTheme="majorHAnsi" w:cstheme="majorHAnsi"/>
            <w:noProof/>
          </w:rPr>
          <w:t>Familial relationship</w:t>
        </w:r>
        <w:r>
          <w:rPr>
            <w:noProof/>
            <w:webHidden/>
          </w:rPr>
          <w:tab/>
        </w:r>
        <w:r>
          <w:rPr>
            <w:noProof/>
            <w:webHidden/>
          </w:rPr>
          <w:fldChar w:fldCharType="begin"/>
        </w:r>
        <w:r>
          <w:rPr>
            <w:noProof/>
            <w:webHidden/>
          </w:rPr>
          <w:instrText xml:space="preserve"> PAGEREF _Toc119834440 \h </w:instrText>
        </w:r>
        <w:r>
          <w:rPr>
            <w:noProof/>
            <w:webHidden/>
          </w:rPr>
        </w:r>
        <w:r>
          <w:rPr>
            <w:noProof/>
            <w:webHidden/>
          </w:rPr>
          <w:fldChar w:fldCharType="separate"/>
        </w:r>
        <w:r>
          <w:rPr>
            <w:noProof/>
            <w:webHidden/>
          </w:rPr>
          <w:t>18</w:t>
        </w:r>
        <w:r>
          <w:rPr>
            <w:noProof/>
            <w:webHidden/>
          </w:rPr>
          <w:fldChar w:fldCharType="end"/>
        </w:r>
      </w:hyperlink>
    </w:p>
    <w:p w14:paraId="1A4E61B5" w14:textId="23BD1CC7" w:rsidR="00154F0D" w:rsidRDefault="00154F0D">
      <w:pPr>
        <w:pStyle w:val="TOC2"/>
        <w:tabs>
          <w:tab w:val="right" w:leader="dot" w:pos="9350"/>
        </w:tabs>
        <w:rPr>
          <w:rFonts w:asciiTheme="minorHAnsi" w:eastAsiaTheme="minorEastAsia" w:hAnsiTheme="minorHAnsi" w:cstheme="minorBidi"/>
          <w:noProof/>
        </w:rPr>
      </w:pPr>
      <w:hyperlink w:anchor="_Toc119834441" w:history="1">
        <w:r w:rsidRPr="00915829">
          <w:rPr>
            <w:rStyle w:val="Hyperlink"/>
            <w:rFonts w:asciiTheme="majorHAnsi" w:hAnsiTheme="majorHAnsi" w:cstheme="majorHAnsi"/>
            <w:noProof/>
          </w:rPr>
          <w:t>Ethnicity</w:t>
        </w:r>
        <w:r>
          <w:rPr>
            <w:noProof/>
            <w:webHidden/>
          </w:rPr>
          <w:tab/>
        </w:r>
        <w:r>
          <w:rPr>
            <w:noProof/>
            <w:webHidden/>
          </w:rPr>
          <w:fldChar w:fldCharType="begin"/>
        </w:r>
        <w:r>
          <w:rPr>
            <w:noProof/>
            <w:webHidden/>
          </w:rPr>
          <w:instrText xml:space="preserve"> PAGEREF _Toc119834441 \h </w:instrText>
        </w:r>
        <w:r>
          <w:rPr>
            <w:noProof/>
            <w:webHidden/>
          </w:rPr>
        </w:r>
        <w:r>
          <w:rPr>
            <w:noProof/>
            <w:webHidden/>
          </w:rPr>
          <w:fldChar w:fldCharType="separate"/>
        </w:r>
        <w:r>
          <w:rPr>
            <w:noProof/>
            <w:webHidden/>
          </w:rPr>
          <w:t>20</w:t>
        </w:r>
        <w:r>
          <w:rPr>
            <w:noProof/>
            <w:webHidden/>
          </w:rPr>
          <w:fldChar w:fldCharType="end"/>
        </w:r>
      </w:hyperlink>
    </w:p>
    <w:p w14:paraId="4C0709DA" w14:textId="56F13721" w:rsidR="00154F0D" w:rsidRDefault="00154F0D">
      <w:pPr>
        <w:pStyle w:val="TOC2"/>
        <w:tabs>
          <w:tab w:val="right" w:leader="dot" w:pos="9350"/>
        </w:tabs>
        <w:rPr>
          <w:rFonts w:asciiTheme="minorHAnsi" w:eastAsiaTheme="minorEastAsia" w:hAnsiTheme="minorHAnsi" w:cstheme="minorBidi"/>
          <w:noProof/>
        </w:rPr>
      </w:pPr>
      <w:hyperlink w:anchor="_Toc119834442" w:history="1">
        <w:r w:rsidRPr="00915829">
          <w:rPr>
            <w:rStyle w:val="Hyperlink"/>
            <w:noProof/>
          </w:rPr>
          <w:t>Obstetric and Gynecology assessment</w:t>
        </w:r>
        <w:r>
          <w:rPr>
            <w:noProof/>
            <w:webHidden/>
          </w:rPr>
          <w:tab/>
        </w:r>
        <w:r>
          <w:rPr>
            <w:noProof/>
            <w:webHidden/>
          </w:rPr>
          <w:fldChar w:fldCharType="begin"/>
        </w:r>
        <w:r>
          <w:rPr>
            <w:noProof/>
            <w:webHidden/>
          </w:rPr>
          <w:instrText xml:space="preserve"> PAGEREF _Toc119834442 \h </w:instrText>
        </w:r>
        <w:r>
          <w:rPr>
            <w:noProof/>
            <w:webHidden/>
          </w:rPr>
        </w:r>
        <w:r>
          <w:rPr>
            <w:noProof/>
            <w:webHidden/>
          </w:rPr>
          <w:fldChar w:fldCharType="separate"/>
        </w:r>
        <w:r>
          <w:rPr>
            <w:noProof/>
            <w:webHidden/>
          </w:rPr>
          <w:t>21</w:t>
        </w:r>
        <w:r>
          <w:rPr>
            <w:noProof/>
            <w:webHidden/>
          </w:rPr>
          <w:fldChar w:fldCharType="end"/>
        </w:r>
      </w:hyperlink>
    </w:p>
    <w:p w14:paraId="4511C820" w14:textId="564A230D" w:rsidR="00154F0D" w:rsidRDefault="00154F0D">
      <w:pPr>
        <w:pStyle w:val="TOC2"/>
        <w:tabs>
          <w:tab w:val="right" w:leader="dot" w:pos="9350"/>
        </w:tabs>
        <w:rPr>
          <w:rFonts w:asciiTheme="minorHAnsi" w:eastAsiaTheme="minorEastAsia" w:hAnsiTheme="minorHAnsi" w:cstheme="minorBidi"/>
          <w:noProof/>
        </w:rPr>
      </w:pPr>
      <w:hyperlink w:anchor="_Toc119834443" w:history="1">
        <w:r w:rsidRPr="00915829">
          <w:rPr>
            <w:rStyle w:val="Hyperlink"/>
            <w:noProof/>
          </w:rPr>
          <w:t>Infrastructure</w:t>
        </w:r>
        <w:r>
          <w:rPr>
            <w:noProof/>
            <w:webHidden/>
          </w:rPr>
          <w:tab/>
        </w:r>
        <w:r>
          <w:rPr>
            <w:noProof/>
            <w:webHidden/>
          </w:rPr>
          <w:fldChar w:fldCharType="begin"/>
        </w:r>
        <w:r>
          <w:rPr>
            <w:noProof/>
            <w:webHidden/>
          </w:rPr>
          <w:instrText xml:space="preserve"> PAGEREF _Toc119834443 \h </w:instrText>
        </w:r>
        <w:r>
          <w:rPr>
            <w:noProof/>
            <w:webHidden/>
          </w:rPr>
        </w:r>
        <w:r>
          <w:rPr>
            <w:noProof/>
            <w:webHidden/>
          </w:rPr>
          <w:fldChar w:fldCharType="separate"/>
        </w:r>
        <w:r>
          <w:rPr>
            <w:noProof/>
            <w:webHidden/>
          </w:rPr>
          <w:t>22</w:t>
        </w:r>
        <w:r>
          <w:rPr>
            <w:noProof/>
            <w:webHidden/>
          </w:rPr>
          <w:fldChar w:fldCharType="end"/>
        </w:r>
      </w:hyperlink>
    </w:p>
    <w:p w14:paraId="56374033" w14:textId="13FE52C1" w:rsidR="00154F0D" w:rsidRDefault="00154F0D">
      <w:pPr>
        <w:pStyle w:val="TOC1"/>
        <w:tabs>
          <w:tab w:val="right" w:leader="dot" w:pos="9350"/>
        </w:tabs>
        <w:rPr>
          <w:rFonts w:asciiTheme="minorHAnsi" w:eastAsiaTheme="minorEastAsia" w:hAnsiTheme="minorHAnsi" w:cstheme="minorBidi"/>
          <w:noProof/>
        </w:rPr>
      </w:pPr>
      <w:hyperlink w:anchor="_Toc119834444" w:history="1">
        <w:r w:rsidRPr="00915829">
          <w:rPr>
            <w:rStyle w:val="Hyperlink"/>
            <w:rFonts w:asciiTheme="majorHAnsi" w:hAnsiTheme="majorHAnsi" w:cstheme="majorHAnsi"/>
            <w:noProof/>
          </w:rPr>
          <w:t>Management</w:t>
        </w:r>
        <w:r>
          <w:rPr>
            <w:noProof/>
            <w:webHidden/>
          </w:rPr>
          <w:tab/>
        </w:r>
        <w:r>
          <w:rPr>
            <w:noProof/>
            <w:webHidden/>
          </w:rPr>
          <w:fldChar w:fldCharType="begin"/>
        </w:r>
        <w:r>
          <w:rPr>
            <w:noProof/>
            <w:webHidden/>
          </w:rPr>
          <w:instrText xml:space="preserve"> PAGEREF _Toc119834444 \h </w:instrText>
        </w:r>
        <w:r>
          <w:rPr>
            <w:noProof/>
            <w:webHidden/>
          </w:rPr>
        </w:r>
        <w:r>
          <w:rPr>
            <w:noProof/>
            <w:webHidden/>
          </w:rPr>
          <w:fldChar w:fldCharType="separate"/>
        </w:r>
        <w:r>
          <w:rPr>
            <w:noProof/>
            <w:webHidden/>
          </w:rPr>
          <w:t>22</w:t>
        </w:r>
        <w:r>
          <w:rPr>
            <w:noProof/>
            <w:webHidden/>
          </w:rPr>
          <w:fldChar w:fldCharType="end"/>
        </w:r>
      </w:hyperlink>
    </w:p>
    <w:p w14:paraId="20A6D6CC" w14:textId="69ECCDD3" w:rsidR="00154F0D" w:rsidRDefault="00154F0D">
      <w:pPr>
        <w:pStyle w:val="TOC1"/>
        <w:tabs>
          <w:tab w:val="right" w:leader="dot" w:pos="9350"/>
        </w:tabs>
        <w:rPr>
          <w:rFonts w:asciiTheme="minorHAnsi" w:eastAsiaTheme="minorEastAsia" w:hAnsiTheme="minorHAnsi" w:cstheme="minorBidi"/>
          <w:noProof/>
        </w:rPr>
      </w:pPr>
      <w:hyperlink w:anchor="_Toc119834445" w:history="1">
        <w:r w:rsidRPr="00915829">
          <w:rPr>
            <w:rStyle w:val="Hyperlink"/>
            <w:rFonts w:asciiTheme="majorHAnsi" w:hAnsiTheme="majorHAnsi" w:cstheme="majorHAnsi"/>
            <w:noProof/>
          </w:rPr>
          <w:t>Steering committee</w:t>
        </w:r>
        <w:r>
          <w:rPr>
            <w:noProof/>
            <w:webHidden/>
          </w:rPr>
          <w:tab/>
        </w:r>
        <w:r>
          <w:rPr>
            <w:noProof/>
            <w:webHidden/>
          </w:rPr>
          <w:fldChar w:fldCharType="begin"/>
        </w:r>
        <w:r>
          <w:rPr>
            <w:noProof/>
            <w:webHidden/>
          </w:rPr>
          <w:instrText xml:space="preserve"> PAGEREF _Toc119834445 \h </w:instrText>
        </w:r>
        <w:r>
          <w:rPr>
            <w:noProof/>
            <w:webHidden/>
          </w:rPr>
        </w:r>
        <w:r>
          <w:rPr>
            <w:noProof/>
            <w:webHidden/>
          </w:rPr>
          <w:fldChar w:fldCharType="separate"/>
        </w:r>
        <w:r>
          <w:rPr>
            <w:noProof/>
            <w:webHidden/>
          </w:rPr>
          <w:t>23</w:t>
        </w:r>
        <w:r>
          <w:rPr>
            <w:noProof/>
            <w:webHidden/>
          </w:rPr>
          <w:fldChar w:fldCharType="end"/>
        </w:r>
      </w:hyperlink>
    </w:p>
    <w:p w14:paraId="3B8B03A9" w14:textId="0E4171DA" w:rsidR="00154F0D" w:rsidRDefault="00154F0D">
      <w:pPr>
        <w:pStyle w:val="TOC1"/>
        <w:tabs>
          <w:tab w:val="right" w:leader="dot" w:pos="9350"/>
        </w:tabs>
        <w:rPr>
          <w:rFonts w:asciiTheme="minorHAnsi" w:eastAsiaTheme="minorEastAsia" w:hAnsiTheme="minorHAnsi" w:cstheme="minorBidi"/>
          <w:noProof/>
        </w:rPr>
      </w:pPr>
      <w:hyperlink w:anchor="_Toc119834446" w:history="1">
        <w:r w:rsidRPr="00915829">
          <w:rPr>
            <w:rStyle w:val="Hyperlink"/>
            <w:rFonts w:asciiTheme="majorHAnsi" w:hAnsiTheme="majorHAnsi" w:cstheme="majorHAnsi"/>
            <w:noProof/>
          </w:rPr>
          <w:t>References</w:t>
        </w:r>
        <w:r>
          <w:rPr>
            <w:noProof/>
            <w:webHidden/>
          </w:rPr>
          <w:tab/>
        </w:r>
        <w:r>
          <w:rPr>
            <w:noProof/>
            <w:webHidden/>
          </w:rPr>
          <w:fldChar w:fldCharType="begin"/>
        </w:r>
        <w:r>
          <w:rPr>
            <w:noProof/>
            <w:webHidden/>
          </w:rPr>
          <w:instrText xml:space="preserve"> PAGEREF _Toc119834446 \h </w:instrText>
        </w:r>
        <w:r>
          <w:rPr>
            <w:noProof/>
            <w:webHidden/>
          </w:rPr>
        </w:r>
        <w:r>
          <w:rPr>
            <w:noProof/>
            <w:webHidden/>
          </w:rPr>
          <w:fldChar w:fldCharType="separate"/>
        </w:r>
        <w:r>
          <w:rPr>
            <w:noProof/>
            <w:webHidden/>
          </w:rPr>
          <w:t>23</w:t>
        </w:r>
        <w:r>
          <w:rPr>
            <w:noProof/>
            <w:webHidden/>
          </w:rPr>
          <w:fldChar w:fldCharType="end"/>
        </w:r>
      </w:hyperlink>
    </w:p>
    <w:p w14:paraId="5F184308" w14:textId="5E303A34" w:rsidR="00154F0D" w:rsidRDefault="00154F0D">
      <w:pPr>
        <w:pStyle w:val="TOC1"/>
        <w:tabs>
          <w:tab w:val="right" w:leader="dot" w:pos="9350"/>
        </w:tabs>
        <w:rPr>
          <w:rFonts w:asciiTheme="minorHAnsi" w:eastAsiaTheme="minorEastAsia" w:hAnsiTheme="minorHAnsi" w:cstheme="minorBidi"/>
          <w:noProof/>
        </w:rPr>
      </w:pPr>
      <w:hyperlink w:anchor="_Toc119834447" w:history="1">
        <w:r w:rsidRPr="00915829">
          <w:rPr>
            <w:rStyle w:val="Hyperlink"/>
            <w:noProof/>
          </w:rPr>
          <w:t>Table 1: Participants by region, province, ethnicity, and chip data</w:t>
        </w:r>
        <w:r>
          <w:rPr>
            <w:noProof/>
            <w:webHidden/>
          </w:rPr>
          <w:tab/>
        </w:r>
        <w:r>
          <w:rPr>
            <w:noProof/>
            <w:webHidden/>
          </w:rPr>
          <w:fldChar w:fldCharType="begin"/>
        </w:r>
        <w:r>
          <w:rPr>
            <w:noProof/>
            <w:webHidden/>
          </w:rPr>
          <w:instrText xml:space="preserve"> PAGEREF _Toc119834447 \h </w:instrText>
        </w:r>
        <w:r>
          <w:rPr>
            <w:noProof/>
            <w:webHidden/>
          </w:rPr>
        </w:r>
        <w:r>
          <w:rPr>
            <w:noProof/>
            <w:webHidden/>
          </w:rPr>
          <w:fldChar w:fldCharType="separate"/>
        </w:r>
        <w:r>
          <w:rPr>
            <w:noProof/>
            <w:webHidden/>
          </w:rPr>
          <w:t>25</w:t>
        </w:r>
        <w:r>
          <w:rPr>
            <w:noProof/>
            <w:webHidden/>
          </w:rPr>
          <w:fldChar w:fldCharType="end"/>
        </w:r>
      </w:hyperlink>
    </w:p>
    <w:p w14:paraId="40D0858A" w14:textId="354C2D6C" w:rsidR="00154F0D" w:rsidRDefault="00154F0D">
      <w:pPr>
        <w:pStyle w:val="TOC1"/>
        <w:tabs>
          <w:tab w:val="right" w:leader="dot" w:pos="9350"/>
        </w:tabs>
        <w:rPr>
          <w:rFonts w:asciiTheme="minorHAnsi" w:eastAsiaTheme="minorEastAsia" w:hAnsiTheme="minorHAnsi" w:cstheme="minorBidi"/>
          <w:noProof/>
        </w:rPr>
      </w:pPr>
      <w:hyperlink w:anchor="_Toc119834448" w:history="1">
        <w:r w:rsidRPr="00915829">
          <w:rPr>
            <w:rStyle w:val="Hyperlink"/>
            <w:noProof/>
          </w:rPr>
          <w:t>Table 2: Missing call rate of 652,341 SNPs among TCGS participants</w:t>
        </w:r>
        <w:r>
          <w:rPr>
            <w:noProof/>
            <w:webHidden/>
          </w:rPr>
          <w:tab/>
        </w:r>
        <w:r>
          <w:rPr>
            <w:noProof/>
            <w:webHidden/>
          </w:rPr>
          <w:fldChar w:fldCharType="begin"/>
        </w:r>
        <w:r>
          <w:rPr>
            <w:noProof/>
            <w:webHidden/>
          </w:rPr>
          <w:instrText xml:space="preserve"> PAGEREF _Toc119834448 \h </w:instrText>
        </w:r>
        <w:r>
          <w:rPr>
            <w:noProof/>
            <w:webHidden/>
          </w:rPr>
        </w:r>
        <w:r>
          <w:rPr>
            <w:noProof/>
            <w:webHidden/>
          </w:rPr>
          <w:fldChar w:fldCharType="separate"/>
        </w:r>
        <w:r>
          <w:rPr>
            <w:noProof/>
            <w:webHidden/>
          </w:rPr>
          <w:t>26</w:t>
        </w:r>
        <w:r>
          <w:rPr>
            <w:noProof/>
            <w:webHidden/>
          </w:rPr>
          <w:fldChar w:fldCharType="end"/>
        </w:r>
      </w:hyperlink>
    </w:p>
    <w:p w14:paraId="1A9FCDBC" w14:textId="6E6CA08E" w:rsidR="00154F0D" w:rsidRDefault="00154F0D">
      <w:pPr>
        <w:pStyle w:val="TOC1"/>
        <w:tabs>
          <w:tab w:val="right" w:leader="dot" w:pos="9350"/>
        </w:tabs>
        <w:rPr>
          <w:rFonts w:asciiTheme="minorHAnsi" w:eastAsiaTheme="minorEastAsia" w:hAnsiTheme="minorHAnsi" w:cstheme="minorBidi"/>
          <w:noProof/>
        </w:rPr>
      </w:pPr>
      <w:hyperlink w:anchor="_Toc119834449" w:history="1">
        <w:r w:rsidRPr="00915829">
          <w:rPr>
            <w:rStyle w:val="Hyperlink"/>
            <w:noProof/>
          </w:rPr>
          <w:t>Table 3: Per-individual missingness among 14,835 TCGS participants</w:t>
        </w:r>
        <w:r>
          <w:rPr>
            <w:noProof/>
            <w:webHidden/>
          </w:rPr>
          <w:tab/>
        </w:r>
        <w:r>
          <w:rPr>
            <w:noProof/>
            <w:webHidden/>
          </w:rPr>
          <w:fldChar w:fldCharType="begin"/>
        </w:r>
        <w:r>
          <w:rPr>
            <w:noProof/>
            <w:webHidden/>
          </w:rPr>
          <w:instrText xml:space="preserve"> PAGEREF _Toc119834449 \h </w:instrText>
        </w:r>
        <w:r>
          <w:rPr>
            <w:noProof/>
            <w:webHidden/>
          </w:rPr>
        </w:r>
        <w:r>
          <w:rPr>
            <w:noProof/>
            <w:webHidden/>
          </w:rPr>
          <w:fldChar w:fldCharType="separate"/>
        </w:r>
        <w:r>
          <w:rPr>
            <w:noProof/>
            <w:webHidden/>
          </w:rPr>
          <w:t>27</w:t>
        </w:r>
        <w:r>
          <w:rPr>
            <w:noProof/>
            <w:webHidden/>
          </w:rPr>
          <w:fldChar w:fldCharType="end"/>
        </w:r>
      </w:hyperlink>
    </w:p>
    <w:p w14:paraId="7FA46D86" w14:textId="3FCE41DC" w:rsidR="00154F0D" w:rsidRDefault="00154F0D">
      <w:pPr>
        <w:pStyle w:val="TOC1"/>
        <w:tabs>
          <w:tab w:val="right" w:leader="dot" w:pos="9350"/>
        </w:tabs>
        <w:rPr>
          <w:rFonts w:asciiTheme="minorHAnsi" w:eastAsiaTheme="minorEastAsia" w:hAnsiTheme="minorHAnsi" w:cstheme="minorBidi"/>
          <w:noProof/>
        </w:rPr>
      </w:pPr>
      <w:hyperlink w:anchor="_Toc119834450" w:history="1">
        <w:r w:rsidRPr="00915829">
          <w:rPr>
            <w:rStyle w:val="Hyperlink"/>
            <w:noProof/>
          </w:rPr>
          <w:t>Table 4: Missing call rate of 652,341 SNPs among TCGS participants</w:t>
        </w:r>
        <w:r>
          <w:rPr>
            <w:noProof/>
            <w:webHidden/>
          </w:rPr>
          <w:tab/>
        </w:r>
        <w:r>
          <w:rPr>
            <w:noProof/>
            <w:webHidden/>
          </w:rPr>
          <w:fldChar w:fldCharType="begin"/>
        </w:r>
        <w:r>
          <w:rPr>
            <w:noProof/>
            <w:webHidden/>
          </w:rPr>
          <w:instrText xml:space="preserve"> PAGEREF _Toc119834450 \h </w:instrText>
        </w:r>
        <w:r>
          <w:rPr>
            <w:noProof/>
            <w:webHidden/>
          </w:rPr>
        </w:r>
        <w:r>
          <w:rPr>
            <w:noProof/>
            <w:webHidden/>
          </w:rPr>
          <w:fldChar w:fldCharType="separate"/>
        </w:r>
        <w:r>
          <w:rPr>
            <w:noProof/>
            <w:webHidden/>
          </w:rPr>
          <w:t>28</w:t>
        </w:r>
        <w:r>
          <w:rPr>
            <w:noProof/>
            <w:webHidden/>
          </w:rPr>
          <w:fldChar w:fldCharType="end"/>
        </w:r>
      </w:hyperlink>
    </w:p>
    <w:p w14:paraId="620AB1C7" w14:textId="2C78BA80" w:rsidR="00154F0D" w:rsidRDefault="00154F0D">
      <w:pPr>
        <w:pStyle w:val="TOC1"/>
        <w:tabs>
          <w:tab w:val="right" w:leader="dot" w:pos="9350"/>
        </w:tabs>
        <w:rPr>
          <w:rFonts w:asciiTheme="minorHAnsi" w:eastAsiaTheme="minorEastAsia" w:hAnsiTheme="minorHAnsi" w:cstheme="minorBidi"/>
          <w:noProof/>
        </w:rPr>
      </w:pPr>
      <w:hyperlink w:anchor="_Toc119834451" w:history="1">
        <w:r w:rsidRPr="00915829">
          <w:rPr>
            <w:rStyle w:val="Hyperlink"/>
            <w:noProof/>
          </w:rPr>
          <w:t>Table 5: Relationship between MAF and variants' impact among genotyped data</w:t>
        </w:r>
        <w:r>
          <w:rPr>
            <w:noProof/>
            <w:webHidden/>
          </w:rPr>
          <w:tab/>
        </w:r>
        <w:r>
          <w:rPr>
            <w:noProof/>
            <w:webHidden/>
          </w:rPr>
          <w:fldChar w:fldCharType="begin"/>
        </w:r>
        <w:r>
          <w:rPr>
            <w:noProof/>
            <w:webHidden/>
          </w:rPr>
          <w:instrText xml:space="preserve"> PAGEREF _Toc119834451 \h </w:instrText>
        </w:r>
        <w:r>
          <w:rPr>
            <w:noProof/>
            <w:webHidden/>
          </w:rPr>
        </w:r>
        <w:r>
          <w:rPr>
            <w:noProof/>
            <w:webHidden/>
          </w:rPr>
          <w:fldChar w:fldCharType="separate"/>
        </w:r>
        <w:r>
          <w:rPr>
            <w:noProof/>
            <w:webHidden/>
          </w:rPr>
          <w:t>29</w:t>
        </w:r>
        <w:r>
          <w:rPr>
            <w:noProof/>
            <w:webHidden/>
          </w:rPr>
          <w:fldChar w:fldCharType="end"/>
        </w:r>
      </w:hyperlink>
    </w:p>
    <w:p w14:paraId="4F53021F" w14:textId="100AC676" w:rsidR="00154F0D" w:rsidRDefault="00154F0D">
      <w:pPr>
        <w:pStyle w:val="TOC1"/>
        <w:tabs>
          <w:tab w:val="right" w:leader="dot" w:pos="9350"/>
        </w:tabs>
        <w:rPr>
          <w:rFonts w:asciiTheme="minorHAnsi" w:eastAsiaTheme="minorEastAsia" w:hAnsiTheme="minorHAnsi" w:cstheme="minorBidi"/>
          <w:noProof/>
        </w:rPr>
      </w:pPr>
      <w:hyperlink w:anchor="_Toc119834452" w:history="1">
        <w:r w:rsidRPr="00915829">
          <w:rPr>
            <w:rStyle w:val="Hyperlink"/>
            <w:noProof/>
          </w:rPr>
          <w:t>Table 6: Top five ICD-11 chapters with the most reported mortality and morbidity conditions in the TCGS cohort</w:t>
        </w:r>
        <w:r>
          <w:rPr>
            <w:noProof/>
            <w:webHidden/>
          </w:rPr>
          <w:tab/>
        </w:r>
        <w:r>
          <w:rPr>
            <w:noProof/>
            <w:webHidden/>
          </w:rPr>
          <w:fldChar w:fldCharType="begin"/>
        </w:r>
        <w:r>
          <w:rPr>
            <w:noProof/>
            <w:webHidden/>
          </w:rPr>
          <w:instrText xml:space="preserve"> PAGEREF _Toc119834452 \h </w:instrText>
        </w:r>
        <w:r>
          <w:rPr>
            <w:noProof/>
            <w:webHidden/>
          </w:rPr>
        </w:r>
        <w:r>
          <w:rPr>
            <w:noProof/>
            <w:webHidden/>
          </w:rPr>
          <w:fldChar w:fldCharType="separate"/>
        </w:r>
        <w:r>
          <w:rPr>
            <w:noProof/>
            <w:webHidden/>
          </w:rPr>
          <w:t>30</w:t>
        </w:r>
        <w:r>
          <w:rPr>
            <w:noProof/>
            <w:webHidden/>
          </w:rPr>
          <w:fldChar w:fldCharType="end"/>
        </w:r>
      </w:hyperlink>
    </w:p>
    <w:p w14:paraId="3E854F81" w14:textId="66D111B7" w:rsidR="00154F0D" w:rsidRDefault="00154F0D">
      <w:pPr>
        <w:pStyle w:val="TOC1"/>
        <w:tabs>
          <w:tab w:val="right" w:leader="dot" w:pos="9350"/>
        </w:tabs>
        <w:rPr>
          <w:rFonts w:asciiTheme="minorHAnsi" w:eastAsiaTheme="minorEastAsia" w:hAnsiTheme="minorHAnsi" w:cstheme="minorBidi"/>
          <w:noProof/>
        </w:rPr>
      </w:pPr>
      <w:hyperlink w:anchor="_Toc119834453" w:history="1">
        <w:r w:rsidRPr="00915829">
          <w:rPr>
            <w:rStyle w:val="Hyperlink"/>
            <w:noProof/>
          </w:rPr>
          <w:t>Table 7: Characteristics of traits included in ROH analysis</w:t>
        </w:r>
        <w:r>
          <w:rPr>
            <w:noProof/>
            <w:webHidden/>
          </w:rPr>
          <w:tab/>
        </w:r>
        <w:r>
          <w:rPr>
            <w:noProof/>
            <w:webHidden/>
          </w:rPr>
          <w:fldChar w:fldCharType="begin"/>
        </w:r>
        <w:r>
          <w:rPr>
            <w:noProof/>
            <w:webHidden/>
          </w:rPr>
          <w:instrText xml:space="preserve"> PAGEREF _Toc119834453 \h </w:instrText>
        </w:r>
        <w:r>
          <w:rPr>
            <w:noProof/>
            <w:webHidden/>
          </w:rPr>
        </w:r>
        <w:r>
          <w:rPr>
            <w:noProof/>
            <w:webHidden/>
          </w:rPr>
          <w:fldChar w:fldCharType="separate"/>
        </w:r>
        <w:r>
          <w:rPr>
            <w:noProof/>
            <w:webHidden/>
          </w:rPr>
          <w:t>31</w:t>
        </w:r>
        <w:r>
          <w:rPr>
            <w:noProof/>
            <w:webHidden/>
          </w:rPr>
          <w:fldChar w:fldCharType="end"/>
        </w:r>
      </w:hyperlink>
    </w:p>
    <w:p w14:paraId="1B47E574" w14:textId="645FFF1D" w:rsidR="00154F0D" w:rsidRDefault="00154F0D">
      <w:pPr>
        <w:pStyle w:val="TOC1"/>
        <w:tabs>
          <w:tab w:val="right" w:leader="dot" w:pos="9350"/>
        </w:tabs>
        <w:rPr>
          <w:rFonts w:asciiTheme="minorHAnsi" w:eastAsiaTheme="minorEastAsia" w:hAnsiTheme="minorHAnsi" w:cstheme="minorBidi"/>
          <w:noProof/>
        </w:rPr>
      </w:pPr>
      <w:hyperlink w:anchor="_Toc119834454" w:history="1">
        <w:r w:rsidRPr="00915829">
          <w:rPr>
            <w:rStyle w:val="Hyperlink"/>
            <w:noProof/>
          </w:rPr>
          <w:t>Figure 1: Relationship between MAF and MAC in TCGS genotyped data</w:t>
        </w:r>
        <w:r>
          <w:rPr>
            <w:noProof/>
            <w:webHidden/>
          </w:rPr>
          <w:tab/>
        </w:r>
        <w:r>
          <w:rPr>
            <w:noProof/>
            <w:webHidden/>
          </w:rPr>
          <w:fldChar w:fldCharType="begin"/>
        </w:r>
        <w:r>
          <w:rPr>
            <w:noProof/>
            <w:webHidden/>
          </w:rPr>
          <w:instrText xml:space="preserve"> PAGEREF _Toc119834454 \h </w:instrText>
        </w:r>
        <w:r>
          <w:rPr>
            <w:noProof/>
            <w:webHidden/>
          </w:rPr>
        </w:r>
        <w:r>
          <w:rPr>
            <w:noProof/>
            <w:webHidden/>
          </w:rPr>
          <w:fldChar w:fldCharType="separate"/>
        </w:r>
        <w:r>
          <w:rPr>
            <w:noProof/>
            <w:webHidden/>
          </w:rPr>
          <w:t>32</w:t>
        </w:r>
        <w:r>
          <w:rPr>
            <w:noProof/>
            <w:webHidden/>
          </w:rPr>
          <w:fldChar w:fldCharType="end"/>
        </w:r>
      </w:hyperlink>
    </w:p>
    <w:p w14:paraId="303A4199" w14:textId="3A693BCC" w:rsidR="00154F0D" w:rsidRDefault="00154F0D">
      <w:pPr>
        <w:pStyle w:val="TOC1"/>
        <w:tabs>
          <w:tab w:val="right" w:leader="dot" w:pos="9350"/>
        </w:tabs>
        <w:rPr>
          <w:rFonts w:asciiTheme="minorHAnsi" w:eastAsiaTheme="minorEastAsia" w:hAnsiTheme="minorHAnsi" w:cstheme="minorBidi"/>
          <w:noProof/>
        </w:rPr>
      </w:pPr>
      <w:hyperlink w:anchor="_Toc119834455" w:history="1">
        <w:r w:rsidRPr="00915829">
          <w:rPr>
            <w:rStyle w:val="Hyperlink"/>
            <w:noProof/>
          </w:rPr>
          <w:t>Figure 2: Hardy-Weinberg Equilibrium assumption in TCGS</w:t>
        </w:r>
        <w:r>
          <w:rPr>
            <w:noProof/>
            <w:webHidden/>
          </w:rPr>
          <w:tab/>
        </w:r>
        <w:r>
          <w:rPr>
            <w:noProof/>
            <w:webHidden/>
          </w:rPr>
          <w:fldChar w:fldCharType="begin"/>
        </w:r>
        <w:r>
          <w:rPr>
            <w:noProof/>
            <w:webHidden/>
          </w:rPr>
          <w:instrText xml:space="preserve"> PAGEREF _Toc119834455 \h </w:instrText>
        </w:r>
        <w:r>
          <w:rPr>
            <w:noProof/>
            <w:webHidden/>
          </w:rPr>
        </w:r>
        <w:r>
          <w:rPr>
            <w:noProof/>
            <w:webHidden/>
          </w:rPr>
          <w:fldChar w:fldCharType="separate"/>
        </w:r>
        <w:r>
          <w:rPr>
            <w:noProof/>
            <w:webHidden/>
          </w:rPr>
          <w:t>33</w:t>
        </w:r>
        <w:r>
          <w:rPr>
            <w:noProof/>
            <w:webHidden/>
          </w:rPr>
          <w:fldChar w:fldCharType="end"/>
        </w:r>
      </w:hyperlink>
    </w:p>
    <w:p w14:paraId="45F355BC" w14:textId="7513E7A3" w:rsidR="00154F0D" w:rsidRDefault="00154F0D">
      <w:pPr>
        <w:pStyle w:val="TOC1"/>
        <w:tabs>
          <w:tab w:val="right" w:leader="dot" w:pos="9350"/>
        </w:tabs>
        <w:rPr>
          <w:rFonts w:asciiTheme="minorHAnsi" w:eastAsiaTheme="minorEastAsia" w:hAnsiTheme="minorHAnsi" w:cstheme="minorBidi"/>
          <w:noProof/>
        </w:rPr>
      </w:pPr>
      <w:hyperlink w:anchor="_Toc119834456" w:history="1">
        <w:r w:rsidRPr="00915829">
          <w:rPr>
            <w:rStyle w:val="Hyperlink"/>
            <w:noProof/>
          </w:rPr>
          <w:t>Figure 3: Missingness and Minor Allele Frequency (MAF)</w:t>
        </w:r>
        <w:r>
          <w:rPr>
            <w:noProof/>
            <w:webHidden/>
          </w:rPr>
          <w:tab/>
        </w:r>
        <w:r>
          <w:rPr>
            <w:noProof/>
            <w:webHidden/>
          </w:rPr>
          <w:fldChar w:fldCharType="begin"/>
        </w:r>
        <w:r>
          <w:rPr>
            <w:noProof/>
            <w:webHidden/>
          </w:rPr>
          <w:instrText xml:space="preserve"> PAGEREF _Toc119834456 \h </w:instrText>
        </w:r>
        <w:r>
          <w:rPr>
            <w:noProof/>
            <w:webHidden/>
          </w:rPr>
        </w:r>
        <w:r>
          <w:rPr>
            <w:noProof/>
            <w:webHidden/>
          </w:rPr>
          <w:fldChar w:fldCharType="separate"/>
        </w:r>
        <w:r>
          <w:rPr>
            <w:noProof/>
            <w:webHidden/>
          </w:rPr>
          <w:t>34</w:t>
        </w:r>
        <w:r>
          <w:rPr>
            <w:noProof/>
            <w:webHidden/>
          </w:rPr>
          <w:fldChar w:fldCharType="end"/>
        </w:r>
      </w:hyperlink>
    </w:p>
    <w:p w14:paraId="232CEE42" w14:textId="2D354D29" w:rsidR="00154F0D" w:rsidRDefault="00154F0D">
      <w:pPr>
        <w:pStyle w:val="TOC1"/>
        <w:tabs>
          <w:tab w:val="right" w:leader="dot" w:pos="9350"/>
        </w:tabs>
        <w:rPr>
          <w:rFonts w:asciiTheme="minorHAnsi" w:eastAsiaTheme="minorEastAsia" w:hAnsiTheme="minorHAnsi" w:cstheme="minorBidi"/>
          <w:noProof/>
        </w:rPr>
      </w:pPr>
      <w:hyperlink w:anchor="_Toc119834457" w:history="1">
        <w:r w:rsidRPr="00915829">
          <w:rPr>
            <w:rStyle w:val="Hyperlink"/>
            <w:noProof/>
          </w:rPr>
          <w:t>Figure 4: Distribution of MAF through the different impact of the variants</w:t>
        </w:r>
        <w:r>
          <w:rPr>
            <w:noProof/>
            <w:webHidden/>
          </w:rPr>
          <w:tab/>
        </w:r>
        <w:r>
          <w:rPr>
            <w:noProof/>
            <w:webHidden/>
          </w:rPr>
          <w:fldChar w:fldCharType="begin"/>
        </w:r>
        <w:r>
          <w:rPr>
            <w:noProof/>
            <w:webHidden/>
          </w:rPr>
          <w:instrText xml:space="preserve"> PAGEREF _Toc119834457 \h </w:instrText>
        </w:r>
        <w:r>
          <w:rPr>
            <w:noProof/>
            <w:webHidden/>
          </w:rPr>
        </w:r>
        <w:r>
          <w:rPr>
            <w:noProof/>
            <w:webHidden/>
          </w:rPr>
          <w:fldChar w:fldCharType="separate"/>
        </w:r>
        <w:r>
          <w:rPr>
            <w:noProof/>
            <w:webHidden/>
          </w:rPr>
          <w:t>35</w:t>
        </w:r>
        <w:r>
          <w:rPr>
            <w:noProof/>
            <w:webHidden/>
          </w:rPr>
          <w:fldChar w:fldCharType="end"/>
        </w:r>
      </w:hyperlink>
    </w:p>
    <w:p w14:paraId="0DBD0F1B" w14:textId="03D4FD9A" w:rsidR="00154F0D" w:rsidRDefault="00154F0D">
      <w:pPr>
        <w:pStyle w:val="TOC1"/>
        <w:tabs>
          <w:tab w:val="right" w:leader="dot" w:pos="9350"/>
        </w:tabs>
        <w:rPr>
          <w:rFonts w:asciiTheme="minorHAnsi" w:eastAsiaTheme="minorEastAsia" w:hAnsiTheme="minorHAnsi" w:cstheme="minorBidi"/>
          <w:noProof/>
        </w:rPr>
      </w:pPr>
      <w:hyperlink w:anchor="_Toc119834458" w:history="1">
        <w:r w:rsidRPr="00915829">
          <w:rPr>
            <w:rStyle w:val="Hyperlink"/>
            <w:noProof/>
          </w:rPr>
          <w:t>Figure 5: Comparison between family identification numbers and clusters</w:t>
        </w:r>
        <w:r>
          <w:rPr>
            <w:noProof/>
            <w:webHidden/>
          </w:rPr>
          <w:tab/>
        </w:r>
        <w:r>
          <w:rPr>
            <w:noProof/>
            <w:webHidden/>
          </w:rPr>
          <w:fldChar w:fldCharType="begin"/>
        </w:r>
        <w:r>
          <w:rPr>
            <w:noProof/>
            <w:webHidden/>
          </w:rPr>
          <w:instrText xml:space="preserve"> PAGEREF _Toc119834458 \h </w:instrText>
        </w:r>
        <w:r>
          <w:rPr>
            <w:noProof/>
            <w:webHidden/>
          </w:rPr>
        </w:r>
        <w:r>
          <w:rPr>
            <w:noProof/>
            <w:webHidden/>
          </w:rPr>
          <w:fldChar w:fldCharType="separate"/>
        </w:r>
        <w:r>
          <w:rPr>
            <w:noProof/>
            <w:webHidden/>
          </w:rPr>
          <w:t>36</w:t>
        </w:r>
        <w:r>
          <w:rPr>
            <w:noProof/>
            <w:webHidden/>
          </w:rPr>
          <w:fldChar w:fldCharType="end"/>
        </w:r>
      </w:hyperlink>
    </w:p>
    <w:p w14:paraId="28F929F8" w14:textId="3DBBCE9D" w:rsidR="00154F0D" w:rsidRDefault="00154F0D">
      <w:pPr>
        <w:pStyle w:val="TOC1"/>
        <w:tabs>
          <w:tab w:val="right" w:leader="dot" w:pos="9350"/>
        </w:tabs>
        <w:rPr>
          <w:rFonts w:asciiTheme="minorHAnsi" w:eastAsiaTheme="minorEastAsia" w:hAnsiTheme="minorHAnsi" w:cstheme="minorBidi"/>
          <w:noProof/>
        </w:rPr>
      </w:pPr>
      <w:hyperlink w:anchor="_Toc119834459" w:history="1">
        <w:r w:rsidRPr="00915829">
          <w:rPr>
            <w:rStyle w:val="Hyperlink"/>
            <w:noProof/>
          </w:rPr>
          <w:t>Figure 6: The relationship distribution in TCGS families</w:t>
        </w:r>
        <w:r>
          <w:rPr>
            <w:noProof/>
            <w:webHidden/>
          </w:rPr>
          <w:tab/>
        </w:r>
        <w:r>
          <w:rPr>
            <w:noProof/>
            <w:webHidden/>
          </w:rPr>
          <w:fldChar w:fldCharType="begin"/>
        </w:r>
        <w:r>
          <w:rPr>
            <w:noProof/>
            <w:webHidden/>
          </w:rPr>
          <w:instrText xml:space="preserve"> PAGEREF _Toc119834459 \h </w:instrText>
        </w:r>
        <w:r>
          <w:rPr>
            <w:noProof/>
            <w:webHidden/>
          </w:rPr>
        </w:r>
        <w:r>
          <w:rPr>
            <w:noProof/>
            <w:webHidden/>
          </w:rPr>
          <w:fldChar w:fldCharType="separate"/>
        </w:r>
        <w:r>
          <w:rPr>
            <w:noProof/>
            <w:webHidden/>
          </w:rPr>
          <w:t>37</w:t>
        </w:r>
        <w:r>
          <w:rPr>
            <w:noProof/>
            <w:webHidden/>
          </w:rPr>
          <w:fldChar w:fldCharType="end"/>
        </w:r>
      </w:hyperlink>
    </w:p>
    <w:p w14:paraId="79CBDA8B" w14:textId="55BE1A6D" w:rsidR="00154F0D" w:rsidRDefault="00154F0D">
      <w:pPr>
        <w:pStyle w:val="TOC1"/>
        <w:tabs>
          <w:tab w:val="right" w:leader="dot" w:pos="9350"/>
        </w:tabs>
        <w:rPr>
          <w:rFonts w:asciiTheme="minorHAnsi" w:eastAsiaTheme="minorEastAsia" w:hAnsiTheme="minorHAnsi" w:cstheme="minorBidi"/>
          <w:noProof/>
        </w:rPr>
      </w:pPr>
      <w:hyperlink w:anchor="_Toc119834460" w:history="1">
        <w:r w:rsidRPr="00915829">
          <w:rPr>
            <w:rStyle w:val="Hyperlink"/>
            <w:noProof/>
          </w:rPr>
          <w:t>Figure 7. The genomic relationship matrix of spouses</w:t>
        </w:r>
        <w:r>
          <w:rPr>
            <w:noProof/>
            <w:webHidden/>
          </w:rPr>
          <w:tab/>
        </w:r>
        <w:r>
          <w:rPr>
            <w:noProof/>
            <w:webHidden/>
          </w:rPr>
          <w:fldChar w:fldCharType="begin"/>
        </w:r>
        <w:r>
          <w:rPr>
            <w:noProof/>
            <w:webHidden/>
          </w:rPr>
          <w:instrText xml:space="preserve"> PAGEREF _Toc119834460 \h </w:instrText>
        </w:r>
        <w:r>
          <w:rPr>
            <w:noProof/>
            <w:webHidden/>
          </w:rPr>
        </w:r>
        <w:r>
          <w:rPr>
            <w:noProof/>
            <w:webHidden/>
          </w:rPr>
          <w:fldChar w:fldCharType="separate"/>
        </w:r>
        <w:r>
          <w:rPr>
            <w:noProof/>
            <w:webHidden/>
          </w:rPr>
          <w:t>38</w:t>
        </w:r>
        <w:r>
          <w:rPr>
            <w:noProof/>
            <w:webHidden/>
          </w:rPr>
          <w:fldChar w:fldCharType="end"/>
        </w:r>
      </w:hyperlink>
    </w:p>
    <w:p w14:paraId="73322CE9" w14:textId="1C8C0354" w:rsidR="00E24790" w:rsidRPr="00AE1D54" w:rsidRDefault="00E24790">
      <w:pPr>
        <w:pStyle w:val="Subtitle"/>
        <w:rPr>
          <w:rFonts w:asciiTheme="majorHAnsi" w:hAnsiTheme="majorHAnsi" w:cstheme="majorHAnsi"/>
          <w:color w:val="000000" w:themeColor="text1"/>
        </w:rPr>
      </w:pPr>
      <w:r w:rsidRPr="00AE1D54">
        <w:rPr>
          <w:rFonts w:asciiTheme="majorHAnsi" w:hAnsiTheme="majorHAnsi" w:cstheme="majorHAnsi"/>
          <w:color w:val="000000" w:themeColor="text1"/>
          <w:sz w:val="22"/>
          <w:szCs w:val="22"/>
        </w:rPr>
        <w:fldChar w:fldCharType="end"/>
      </w:r>
      <w:r w:rsidRPr="00AE1D54">
        <w:rPr>
          <w:rFonts w:asciiTheme="majorHAnsi" w:hAnsiTheme="majorHAnsi" w:cstheme="majorHAnsi"/>
          <w:color w:val="000000" w:themeColor="text1"/>
        </w:rPr>
        <w:t xml:space="preserve"> </w:t>
      </w:r>
    </w:p>
    <w:p w14:paraId="6566504A" w14:textId="18D9D211" w:rsidR="00E24790" w:rsidRPr="00AE1D54" w:rsidRDefault="00E24790" w:rsidP="002F5481">
      <w:pPr>
        <w:pStyle w:val="Title"/>
      </w:pPr>
      <w:bookmarkStart w:id="0" w:name="_heading=h.gjdgxs" w:colFirst="0" w:colLast="0"/>
      <w:bookmarkEnd w:id="0"/>
      <w:r w:rsidRPr="00AE1D54">
        <w:rPr>
          <w:sz w:val="24"/>
          <w:szCs w:val="24"/>
        </w:rPr>
        <w:br w:type="page"/>
      </w:r>
      <w:bookmarkStart w:id="1" w:name="_Toc119834406"/>
      <w:r w:rsidRPr="00AE1D54">
        <w:lastRenderedPageBreak/>
        <w:t>Study design and sampling</w:t>
      </w:r>
      <w:bookmarkStart w:id="2" w:name="_heading=h.3znysh7" w:colFirst="0" w:colLast="0"/>
      <w:bookmarkEnd w:id="1"/>
      <w:bookmarkEnd w:id="2"/>
    </w:p>
    <w:p w14:paraId="21231315" w14:textId="77777777" w:rsidR="00E24790" w:rsidRPr="00AE1D54" w:rsidRDefault="00E24790" w:rsidP="005357D4">
      <w:pPr>
        <w:pStyle w:val="Title"/>
        <w:rPr>
          <w:rFonts w:asciiTheme="majorHAnsi" w:hAnsiTheme="majorHAnsi" w:cstheme="majorHAnsi"/>
          <w:color w:val="000000" w:themeColor="text1"/>
        </w:rPr>
      </w:pPr>
      <w:bookmarkStart w:id="3" w:name="_heading=h.2et92p0" w:colFirst="0" w:colLast="0"/>
      <w:bookmarkEnd w:id="3"/>
    </w:p>
    <w:p w14:paraId="599FCB31" w14:textId="77777777" w:rsidR="00E24790" w:rsidRPr="00AE1D54" w:rsidRDefault="00E24790">
      <w:pPr>
        <w:pStyle w:val="Subtitle"/>
        <w:rPr>
          <w:rFonts w:asciiTheme="majorHAnsi" w:hAnsiTheme="majorHAnsi" w:cstheme="majorHAnsi"/>
          <w:color w:val="000000" w:themeColor="text1"/>
        </w:rPr>
      </w:pPr>
      <w:bookmarkStart w:id="4" w:name="_Toc119834407"/>
      <w:r w:rsidRPr="00AE1D54">
        <w:rPr>
          <w:rFonts w:asciiTheme="majorHAnsi" w:hAnsiTheme="majorHAnsi" w:cstheme="majorHAnsi"/>
          <w:color w:val="000000" w:themeColor="text1"/>
        </w:rPr>
        <w:t>Tehran lipid and glucose study (TLGS)</w:t>
      </w:r>
      <w:bookmarkEnd w:id="4"/>
      <w:r w:rsidRPr="00AE1D54">
        <w:rPr>
          <w:rFonts w:asciiTheme="majorHAnsi" w:hAnsiTheme="majorHAnsi" w:cstheme="majorHAnsi"/>
          <w:color w:val="000000" w:themeColor="text1"/>
        </w:rPr>
        <w:t xml:space="preserve"> </w:t>
      </w:r>
    </w:p>
    <w:p w14:paraId="62430A57" w14:textId="0980AD79" w:rsidR="00E24790" w:rsidRPr="00AE1D54" w:rsidRDefault="00E24790" w:rsidP="004268E4">
      <w:pPr>
        <w:spacing w:line="480" w:lineRule="auto"/>
        <w:jc w:val="both"/>
        <w:rPr>
          <w:rFonts w:asciiTheme="majorHAnsi" w:hAnsiTheme="majorHAnsi" w:cstheme="majorHAnsi"/>
          <w:color w:val="000000" w:themeColor="text1"/>
          <w:sz w:val="24"/>
          <w:szCs w:val="24"/>
        </w:rPr>
      </w:pPr>
      <w:bookmarkStart w:id="5" w:name="_heading=h.3dy6vkm" w:colFirst="0" w:colLast="0"/>
      <w:bookmarkEnd w:id="5"/>
      <w:r w:rsidRPr="00AE1D54">
        <w:rPr>
          <w:rFonts w:asciiTheme="majorHAnsi" w:hAnsiTheme="majorHAnsi" w:cstheme="majorHAnsi"/>
          <w:color w:val="000000" w:themeColor="text1"/>
          <w:sz w:val="24"/>
          <w:szCs w:val="24"/>
        </w:rPr>
        <w:t>Tehran lipid and glucose study (TLGS) is a large prospective population cohort study in Tehran, Iran. A detailed description of the survey can be found elsewhere</w:t>
      </w:r>
      <w:sdt>
        <w:sdtPr>
          <w:rPr>
            <w:rFonts w:asciiTheme="majorHAnsi" w:hAnsiTheme="majorHAnsi" w:cstheme="majorHAnsi"/>
            <w:color w:val="000000"/>
            <w:sz w:val="24"/>
            <w:szCs w:val="24"/>
            <w:vertAlign w:val="superscript"/>
          </w:rPr>
          <w:tag w:val="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"/>
          <w:id w:val="1477334623"/>
          <w:placeholder>
            <w:docPart w:val="08D23A0B0AE545CFA5F4F009173B72E9"/>
          </w:placeholder>
        </w:sdtPr>
        <w:sdtEndPr>
          <w:rPr>
            <w:sz w:val="22"/>
            <w:szCs w:val="22"/>
          </w:rPr>
        </w:sdtEndPr>
        <w:sdtContent>
          <w:r w:rsidR="0089281A" w:rsidRPr="0089281A">
            <w:rPr>
              <w:rFonts w:asciiTheme="majorHAnsi" w:hAnsiTheme="majorHAnsi" w:cstheme="majorHAnsi"/>
              <w:color w:val="000000"/>
              <w:vertAlign w:val="superscript"/>
            </w:rPr>
            <w:t>1,2</w:t>
          </w:r>
        </w:sdtContent>
      </w:sdt>
      <w:r w:rsidRPr="00AE1D54">
        <w:rPr>
          <w:rFonts w:asciiTheme="majorHAnsi" w:hAnsiTheme="majorHAnsi" w:cstheme="majorHAnsi"/>
          <w:color w:val="000000" w:themeColor="text1"/>
          <w:sz w:val="24"/>
          <w:szCs w:val="24"/>
        </w:rPr>
        <w:t>. The cohort included 19118 participants (mean age 46.2 and female 51%) who were initiated by 1999. Researchers did the baseline assessments (demographics, risk factors, anthropometry, and biospecimens) between 1999 and 2001, and they continued the follow-up for six phases with periodic intervals of 3 years (1999-until now). The major cardio-metabolic-related health events, such as myocardial infarction, stroke, diabetes mellitus, hypertension, obesity, hyperlipidemia, and familial hypercholesterolemia, were followed up over the last 22 years. All participants provided written informed consent at the start of the study and follow-up visits, and the Medical Ethics Committee approved the study.</w:t>
      </w:r>
    </w:p>
    <w:p w14:paraId="40F088E4" w14:textId="77777777" w:rsidR="00E24790" w:rsidRPr="00AE1D54" w:rsidRDefault="00E24790">
      <w:pPr>
        <w:pStyle w:val="Subtitle"/>
        <w:rPr>
          <w:rFonts w:asciiTheme="majorHAnsi" w:hAnsiTheme="majorHAnsi" w:cstheme="majorHAnsi"/>
          <w:color w:val="000000" w:themeColor="text1"/>
        </w:rPr>
      </w:pPr>
      <w:bookmarkStart w:id="6" w:name="_Toc119834408"/>
      <w:r w:rsidRPr="00AE1D54">
        <w:rPr>
          <w:rFonts w:asciiTheme="majorHAnsi" w:hAnsiTheme="majorHAnsi" w:cstheme="majorHAnsi"/>
          <w:color w:val="000000" w:themeColor="text1"/>
        </w:rPr>
        <w:t>Tehran Obesity Treatment Study (TOTS)</w:t>
      </w:r>
      <w:bookmarkEnd w:id="6"/>
    </w:p>
    <w:p w14:paraId="66C07223" w14:textId="61C91E81" w:rsidR="00E24790" w:rsidRDefault="00E24790" w:rsidP="007058A6">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Tehran Obesity Treatment Study (TOTS) commenced in March 2013 to undertake a prospective study evaluating and comparing several surgical bariatric procedures in an Iranian population of morbidly obese patients presenting to a specialized bariatric center. This study is a longitudinal prospective cohort in 5500 consecutive patients undergoing bariatric surgery (mean age xxx and female 79.7%). The TOTS study, with 457 genotyped participants (women%) and at least nine years follow–up, was included in TCGS to examine the genomic study. DNA was obtained from </w:t>
      </w:r>
      <w:r w:rsidRPr="00AE1D54">
        <w:rPr>
          <w:rFonts w:asciiTheme="majorHAnsi" w:hAnsiTheme="majorHAnsi" w:cstheme="majorHAnsi"/>
          <w:color w:val="000000" w:themeColor="text1"/>
          <w:sz w:val="24"/>
          <w:szCs w:val="24"/>
        </w:rPr>
        <w:lastRenderedPageBreak/>
        <w:t xml:space="preserve">consenting participants. Additional details on the study protocol have previously been described </w:t>
      </w:r>
      <w:sdt>
        <w:sdtPr>
          <w:rPr>
            <w:rFonts w:asciiTheme="majorHAnsi" w:hAnsiTheme="majorHAnsi" w:cstheme="majorHAnsi"/>
            <w:color w:val="000000"/>
            <w:sz w:val="24"/>
            <w:szCs w:val="24"/>
            <w:vertAlign w:val="superscript"/>
          </w:rPr>
          <w:tag w:val="MENDELEY_CITATION_v3_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"/>
          <w:id w:val="-1410610565"/>
          <w:placeholder>
            <w:docPart w:val="08D23A0B0AE545CFA5F4F009173B72E9"/>
          </w:placeholder>
        </w:sdtPr>
        <w:sdtEndPr>
          <w:rPr>
            <w:sz w:val="22"/>
            <w:szCs w:val="22"/>
          </w:rPr>
        </w:sdtEndPr>
        <w:sdtContent>
          <w:r w:rsidR="0089281A" w:rsidRPr="0089281A">
            <w:rPr>
              <w:rFonts w:asciiTheme="majorHAnsi" w:hAnsiTheme="majorHAnsi" w:cstheme="majorHAnsi"/>
              <w:color w:val="000000"/>
              <w:vertAlign w:val="superscript"/>
            </w:rPr>
            <w:t>3</w:t>
          </w:r>
        </w:sdtContent>
      </w:sdt>
      <w:r w:rsidRPr="00AE1D54">
        <w:rPr>
          <w:rFonts w:asciiTheme="majorHAnsi" w:hAnsiTheme="majorHAnsi" w:cstheme="majorHAnsi"/>
          <w:color w:val="000000" w:themeColor="text1"/>
          <w:sz w:val="24"/>
          <w:szCs w:val="24"/>
        </w:rPr>
        <w:t>.</w:t>
      </w:r>
    </w:p>
    <w:p w14:paraId="7FE78459" w14:textId="77777777" w:rsidR="00E24790" w:rsidRPr="00AE1D54" w:rsidRDefault="00E24790" w:rsidP="00141084">
      <w:pPr>
        <w:pStyle w:val="Subtitle"/>
        <w:rPr>
          <w:rFonts w:asciiTheme="majorHAnsi" w:hAnsiTheme="majorHAnsi" w:cstheme="majorHAnsi"/>
          <w:color w:val="000000" w:themeColor="text1"/>
        </w:rPr>
      </w:pPr>
      <w:bookmarkStart w:id="7" w:name="_Toc119834409"/>
      <w:r w:rsidRPr="00AE1D54">
        <w:rPr>
          <w:rFonts w:asciiTheme="majorHAnsi" w:hAnsiTheme="majorHAnsi" w:cstheme="majorHAnsi"/>
          <w:color w:val="000000" w:themeColor="text1"/>
        </w:rPr>
        <w:t>Thyroid cancer Project (TCP)</w:t>
      </w:r>
      <w:bookmarkEnd w:id="7"/>
      <w:r w:rsidRPr="00AE1D54">
        <w:rPr>
          <w:rFonts w:asciiTheme="majorHAnsi" w:hAnsiTheme="majorHAnsi" w:cstheme="majorHAnsi"/>
          <w:color w:val="000000" w:themeColor="text1"/>
        </w:rPr>
        <w:t xml:space="preserve"> </w:t>
      </w:r>
    </w:p>
    <w:p w14:paraId="6FCD5027" w14:textId="02544009" w:rsidR="00E24790" w:rsidRPr="00AE1D54" w:rsidRDefault="00E24790" w:rsidP="007058A6">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In 2006, a genetic study was started on patients with medullary thyroid cancer (MTC). First, according to American Thyroid Association (ATA) guidelines, the study aimed to assess and compare mutations of two exons 10 and 11 of the RET proto-oncogene in patients of the Iranian population with reports from other populations </w:t>
      </w:r>
      <w:sdt>
        <w:sdtPr>
          <w:rPr>
            <w:rFonts w:asciiTheme="majorHAnsi" w:hAnsiTheme="majorHAnsi" w:cstheme="majorHAnsi"/>
            <w:color w:val="000000"/>
            <w:sz w:val="24"/>
            <w:szCs w:val="24"/>
            <w:vertAlign w:val="superscript"/>
          </w:rPr>
          <w:tag w:val="MENDELEY_CITATION_v3_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"/>
          <w:id w:val="-1831126564"/>
          <w:placeholder>
            <w:docPart w:val="08D23A0B0AE545CFA5F4F009173B72E9"/>
          </w:placeholder>
        </w:sdtPr>
        <w:sdtEndPr>
          <w:rPr>
            <w:sz w:val="22"/>
            <w:szCs w:val="22"/>
          </w:rPr>
        </w:sdtEndPr>
        <w:sdtContent>
          <w:r w:rsidR="0089281A" w:rsidRPr="0089281A">
            <w:rPr>
              <w:rFonts w:asciiTheme="majorHAnsi" w:hAnsiTheme="majorHAnsi" w:cstheme="majorHAnsi"/>
              <w:color w:val="000000"/>
              <w:vertAlign w:val="superscript"/>
            </w:rPr>
            <w:t>4</w:t>
          </w:r>
        </w:sdtContent>
      </w:sdt>
      <w:r w:rsidRPr="00AE1D54">
        <w:rPr>
          <w:rFonts w:asciiTheme="majorHAnsi" w:hAnsiTheme="majorHAnsi" w:cstheme="majorHAnsi"/>
          <w:color w:val="000000" w:themeColor="text1"/>
          <w:sz w:val="24"/>
          <w:szCs w:val="24"/>
        </w:rPr>
        <w:t xml:space="preserve">. With the discovery and identification of 5 specific Mutations in the Iranian population in the NCBI, the decision was made to conduct a comprehensive genetic study on these patients. In the next step, exons 10, 11, 15, 16, 17, 18, and 19 were added to this study. From this clinical registry, we included 416 participants for genotyping. </w:t>
      </w:r>
    </w:p>
    <w:p w14:paraId="3288D1E5" w14:textId="77777777" w:rsidR="00E24790" w:rsidRPr="00AE1D54" w:rsidRDefault="00E24790" w:rsidP="00141084">
      <w:pPr>
        <w:pStyle w:val="Subtitle"/>
        <w:rPr>
          <w:rFonts w:asciiTheme="majorHAnsi" w:hAnsiTheme="majorHAnsi" w:cstheme="majorHAnsi"/>
          <w:color w:val="000000" w:themeColor="text1"/>
        </w:rPr>
      </w:pPr>
      <w:bookmarkStart w:id="8" w:name="_Toc119834410"/>
      <w:r w:rsidRPr="00AE1D54">
        <w:rPr>
          <w:rFonts w:asciiTheme="majorHAnsi" w:hAnsiTheme="majorHAnsi" w:cstheme="majorHAnsi"/>
          <w:color w:val="000000" w:themeColor="text1"/>
        </w:rPr>
        <w:t>Clinical Follow-up Project (CFP)</w:t>
      </w:r>
      <w:bookmarkEnd w:id="8"/>
    </w:p>
    <w:p w14:paraId="45E8FD0E" w14:textId="0BCF69D8" w:rsidR="00E24790" w:rsidRPr="00AE1D54" w:rsidRDefault="00E24790" w:rsidP="007058A6">
      <w:pPr>
        <w:spacing w:line="480" w:lineRule="auto"/>
        <w:jc w:val="both"/>
        <w:rPr>
          <w:rFonts w:asciiTheme="majorHAnsi" w:hAnsiTheme="majorHAnsi" w:cstheme="majorHAnsi"/>
          <w:color w:val="000000" w:themeColor="text1"/>
          <w:sz w:val="24"/>
          <w:szCs w:val="24"/>
        </w:rPr>
      </w:pPr>
      <w:bookmarkStart w:id="9" w:name="_heading=h.17dp8vu" w:colFirst="0" w:colLast="0"/>
      <w:bookmarkEnd w:id="9"/>
      <w:proofErr w:type="spellStart"/>
      <w:r w:rsidRPr="00AE1D54">
        <w:rPr>
          <w:rFonts w:asciiTheme="majorHAnsi" w:hAnsiTheme="majorHAnsi" w:cstheme="majorHAnsi"/>
          <w:color w:val="000000" w:themeColor="text1"/>
          <w:sz w:val="24"/>
          <w:szCs w:val="24"/>
        </w:rPr>
        <w:t>Kawsar</w:t>
      </w:r>
      <w:proofErr w:type="spellEnd"/>
      <w:r w:rsidRPr="00AE1D54">
        <w:rPr>
          <w:rFonts w:asciiTheme="majorHAnsi" w:hAnsiTheme="majorHAnsi" w:cstheme="majorHAnsi"/>
          <w:color w:val="000000" w:themeColor="text1"/>
          <w:sz w:val="24"/>
          <w:szCs w:val="24"/>
        </w:rPr>
        <w:t xml:space="preserve"> Human Genetics Research Center (KHGRC) focuses on the genetic diagnosis of more than 130 genetic diseases in Iran. KHGRC center has a family-based DNA biobank with more than 10,000 participants</w:t>
      </w:r>
      <w:sdt>
        <w:sdtPr>
          <w:rPr>
            <w:rFonts w:asciiTheme="majorHAnsi" w:hAnsiTheme="majorHAnsi" w:cstheme="majorHAnsi"/>
            <w:color w:val="000000"/>
            <w:sz w:val="24"/>
            <w:szCs w:val="24"/>
            <w:vertAlign w:val="superscript"/>
          </w:rPr>
          <w:tag w:val="MENDELEY_CITATION_v3_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"/>
          <w:id w:val="558750374"/>
          <w:placeholder>
            <w:docPart w:val="08D23A0B0AE545CFA5F4F009173B72E9"/>
          </w:placeholder>
        </w:sdtPr>
        <w:sdtEndPr>
          <w:rPr>
            <w:sz w:val="22"/>
            <w:szCs w:val="22"/>
          </w:rPr>
        </w:sdtEndPr>
        <w:sdtContent>
          <w:r w:rsidR="0089281A" w:rsidRPr="0089281A">
            <w:rPr>
              <w:rFonts w:asciiTheme="majorHAnsi" w:hAnsiTheme="majorHAnsi" w:cstheme="majorHAnsi"/>
              <w:color w:val="000000"/>
              <w:vertAlign w:val="superscript"/>
            </w:rPr>
            <w:t>5</w:t>
          </w:r>
        </w:sdtContent>
      </w:sdt>
      <w:r w:rsidRPr="00AE1D54">
        <w:rPr>
          <w:rFonts w:asciiTheme="majorHAnsi" w:hAnsiTheme="majorHAnsi" w:cstheme="majorHAnsi"/>
          <w:color w:val="000000" w:themeColor="text1"/>
          <w:sz w:val="24"/>
          <w:szCs w:val="24"/>
        </w:rPr>
        <w:t xml:space="preserve">. From this center, 320 genotyped participants were selected based on the birthplace of the last three generations and included in TCGS.  </w:t>
      </w:r>
    </w:p>
    <w:p w14:paraId="1640EB23" w14:textId="77777777" w:rsidR="00E24790" w:rsidRPr="00AE1D54" w:rsidRDefault="00E24790">
      <w:pPr>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br w:type="page"/>
      </w:r>
    </w:p>
    <w:p w14:paraId="53896A84" w14:textId="77777777" w:rsidR="00E24790" w:rsidRPr="00AE1D54" w:rsidRDefault="00E24790" w:rsidP="005357D4">
      <w:pPr>
        <w:pStyle w:val="Title"/>
        <w:rPr>
          <w:rFonts w:asciiTheme="majorHAnsi" w:hAnsiTheme="majorHAnsi" w:cstheme="majorHAnsi"/>
          <w:color w:val="000000" w:themeColor="text1"/>
        </w:rPr>
      </w:pPr>
      <w:bookmarkStart w:id="10" w:name="_Toc119834411"/>
      <w:r w:rsidRPr="00AE1D54">
        <w:rPr>
          <w:rFonts w:asciiTheme="majorHAnsi" w:hAnsiTheme="majorHAnsi" w:cstheme="majorHAnsi"/>
          <w:color w:val="000000" w:themeColor="text1"/>
        </w:rPr>
        <w:lastRenderedPageBreak/>
        <w:t>What has been measured?</w:t>
      </w:r>
      <w:bookmarkEnd w:id="10"/>
    </w:p>
    <w:p w14:paraId="59C82AC2" w14:textId="77777777" w:rsidR="00E24790" w:rsidRPr="00AE1D54" w:rsidRDefault="00E24790">
      <w:pPr>
        <w:pStyle w:val="Subtitle"/>
        <w:rPr>
          <w:rFonts w:asciiTheme="majorHAnsi" w:hAnsiTheme="majorHAnsi" w:cstheme="majorHAnsi"/>
          <w:color w:val="000000" w:themeColor="text1"/>
        </w:rPr>
      </w:pPr>
      <w:bookmarkStart w:id="11" w:name="_Toc119834412"/>
      <w:r w:rsidRPr="00AE1D54">
        <w:rPr>
          <w:rFonts w:asciiTheme="majorHAnsi" w:hAnsiTheme="majorHAnsi" w:cstheme="majorHAnsi"/>
          <w:color w:val="000000" w:themeColor="text1"/>
        </w:rPr>
        <w:t>Physical Examination (P/E)</w:t>
      </w:r>
      <w:bookmarkEnd w:id="11"/>
    </w:p>
    <w:p w14:paraId="6F1D4863" w14:textId="77777777" w:rsidR="00E24790" w:rsidRPr="00AE1D54" w:rsidRDefault="00E24790" w:rsidP="004042C9">
      <w:pPr>
        <w:pStyle w:val="Heading1"/>
        <w:rPr>
          <w:rFonts w:asciiTheme="majorHAnsi" w:hAnsiTheme="majorHAnsi" w:cstheme="majorHAnsi"/>
          <w:color w:val="000000" w:themeColor="text1"/>
        </w:rPr>
      </w:pPr>
      <w:bookmarkStart w:id="12" w:name="_Toc119834413"/>
      <w:r w:rsidRPr="00AE1D54">
        <w:rPr>
          <w:rFonts w:asciiTheme="majorHAnsi" w:hAnsiTheme="majorHAnsi" w:cstheme="majorHAnsi"/>
          <w:color w:val="000000" w:themeColor="text1"/>
        </w:rPr>
        <w:t>Anthropometric Measurements</w:t>
      </w:r>
      <w:bookmarkEnd w:id="12"/>
    </w:p>
    <w:p w14:paraId="516EFE17" w14:textId="77777777" w:rsidR="00E24790" w:rsidRPr="00AE1D54" w:rsidRDefault="00E24790">
      <w:pPr>
        <w:spacing w:line="480" w:lineRule="auto"/>
        <w:ind w:firstLine="720"/>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Anthropometric measurements are taken with shoes removed and the participants wearing light clothing. Weight and height are measured according to the standard protocol. Body mass index (BMI) is calculated by dividing the weight in kilograms by the square of height in meters. Waist circumference is measured at the level of the umbilicus, and hip circumference is measured over light clothing at the widest girth of the hip. </w:t>
      </w:r>
    </w:p>
    <w:p w14:paraId="2A16A993" w14:textId="77777777" w:rsidR="00E24790" w:rsidRPr="00AE1D54" w:rsidRDefault="00E24790" w:rsidP="004042C9">
      <w:pPr>
        <w:pStyle w:val="Heading1"/>
        <w:rPr>
          <w:rFonts w:asciiTheme="majorHAnsi" w:hAnsiTheme="majorHAnsi" w:cstheme="majorHAnsi"/>
          <w:color w:val="000000" w:themeColor="text1"/>
        </w:rPr>
      </w:pPr>
      <w:bookmarkStart w:id="13" w:name="_Toc119834414"/>
      <w:r w:rsidRPr="00AE1D54">
        <w:rPr>
          <w:rFonts w:asciiTheme="majorHAnsi" w:hAnsiTheme="majorHAnsi" w:cstheme="majorHAnsi"/>
          <w:color w:val="000000" w:themeColor="text1"/>
        </w:rPr>
        <w:t>Ankle-arm Blood Pressure</w:t>
      </w:r>
      <w:bookmarkEnd w:id="13"/>
      <w:r w:rsidRPr="00AE1D54">
        <w:rPr>
          <w:rFonts w:asciiTheme="majorHAnsi" w:hAnsiTheme="majorHAnsi" w:cstheme="majorHAnsi"/>
          <w:color w:val="000000" w:themeColor="text1"/>
        </w:rPr>
        <w:t xml:space="preserve"> </w:t>
      </w:r>
    </w:p>
    <w:p w14:paraId="4274317D" w14:textId="6B68D8E2" w:rsidR="00E24790" w:rsidRPr="00AE1D54" w:rsidRDefault="00E24790" w:rsidP="00141084">
      <w:pPr>
        <w:spacing w:line="480" w:lineRule="auto"/>
        <w:ind w:firstLine="720"/>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After 15 minutes of participant arrival, a qualified physician measures blood pressure two times using a standard mercury sphygmomanometer calibrated by the Iranian Institute of Standards and Industrial Researches. The participants remained seated for 15 minutes. A pediatric, regular adult</w:t>
      </w:r>
      <w:r w:rsidR="002F5481">
        <w:rPr>
          <w:rFonts w:asciiTheme="majorHAnsi" w:hAnsiTheme="majorHAnsi" w:cstheme="majorHAnsi"/>
          <w:color w:val="000000" w:themeColor="text1"/>
          <w:sz w:val="24"/>
          <w:szCs w:val="24"/>
        </w:rPr>
        <w:t>,</w:t>
      </w:r>
      <w:r w:rsidRPr="00AE1D54">
        <w:rPr>
          <w:rFonts w:asciiTheme="majorHAnsi" w:hAnsiTheme="majorHAnsi" w:cstheme="majorHAnsi"/>
          <w:color w:val="000000" w:themeColor="text1"/>
          <w:sz w:val="24"/>
          <w:szCs w:val="24"/>
        </w:rPr>
        <w:t xml:space="preserve"> or large cuff is used based on the participant's arm's circumference. The cuff is placed on the right arm at the heart level and inflated as high as possible increments until the cuff pressure is 30 mmHg above the level at which the radial pulse disappeared. There is at least a 30-second interval between those two separate measurements, and the mean of two measurements is recorded as the participant's blood pressure. Systolic Blood Pressure (SBP) is the first sound's appearance. Diastolic Blood Pressure (DBP) is defined as the disappearance of the sound while deflating the cuff at a 2–3 mm per second decrement rate.</w:t>
      </w:r>
    </w:p>
    <w:p w14:paraId="7E9B4E04" w14:textId="77777777" w:rsidR="00E24790" w:rsidRPr="00AE1D54" w:rsidRDefault="00E24790" w:rsidP="004042C9">
      <w:pPr>
        <w:pStyle w:val="Subtitle"/>
        <w:rPr>
          <w:rFonts w:asciiTheme="majorHAnsi" w:hAnsiTheme="majorHAnsi" w:cstheme="majorHAnsi"/>
          <w:color w:val="000000" w:themeColor="text1"/>
        </w:rPr>
      </w:pPr>
      <w:bookmarkStart w:id="14" w:name="_Toc119834415"/>
      <w:r w:rsidRPr="00AE1D54">
        <w:rPr>
          <w:rFonts w:asciiTheme="majorHAnsi" w:hAnsiTheme="majorHAnsi" w:cstheme="majorHAnsi"/>
          <w:color w:val="000000" w:themeColor="text1"/>
        </w:rPr>
        <w:t>Laboratory Blood Test</w:t>
      </w:r>
      <w:bookmarkEnd w:id="14"/>
      <w:r w:rsidRPr="00AE1D54">
        <w:rPr>
          <w:rFonts w:asciiTheme="majorHAnsi" w:hAnsiTheme="majorHAnsi" w:cstheme="majorHAnsi"/>
          <w:color w:val="000000" w:themeColor="text1"/>
        </w:rPr>
        <w:t xml:space="preserve">  </w:t>
      </w:r>
    </w:p>
    <w:p w14:paraId="270CE5D7" w14:textId="77777777" w:rsidR="00E24790" w:rsidRPr="00AE1D54" w:rsidRDefault="00E24790" w:rsidP="00235F2B">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lastRenderedPageBreak/>
        <w:t xml:space="preserve">After 12–14 hours of overnight fasting, a venous blood sample was drawn and centrifuged within 30–45 minutes of collection. All blood sampling was done between 7.00 and 9.00 A.M, and all measurements were completed on the sampling day. A </w:t>
      </w:r>
      <w:proofErr w:type="spellStart"/>
      <w:r w:rsidRPr="00AE1D54">
        <w:rPr>
          <w:rFonts w:asciiTheme="majorHAnsi" w:hAnsiTheme="majorHAnsi" w:cstheme="majorHAnsi"/>
          <w:color w:val="000000" w:themeColor="text1"/>
          <w:sz w:val="24"/>
          <w:szCs w:val="24"/>
        </w:rPr>
        <w:t>Selectra</w:t>
      </w:r>
      <w:proofErr w:type="spellEnd"/>
      <w:r w:rsidRPr="00AE1D54">
        <w:rPr>
          <w:rFonts w:asciiTheme="majorHAnsi" w:hAnsiTheme="majorHAnsi" w:cstheme="majorHAnsi"/>
          <w:color w:val="000000" w:themeColor="text1"/>
          <w:sz w:val="24"/>
          <w:szCs w:val="24"/>
        </w:rPr>
        <w:t xml:space="preserve"> 2 autoanalyzer (Vital Scientific, </w:t>
      </w:r>
      <w:proofErr w:type="spellStart"/>
      <w:r w:rsidRPr="00AE1D54">
        <w:rPr>
          <w:rFonts w:asciiTheme="majorHAnsi" w:hAnsiTheme="majorHAnsi" w:cstheme="majorHAnsi"/>
          <w:color w:val="000000" w:themeColor="text1"/>
          <w:sz w:val="24"/>
          <w:szCs w:val="24"/>
        </w:rPr>
        <w:t>Spankeren</w:t>
      </w:r>
      <w:proofErr w:type="spellEnd"/>
      <w:r w:rsidRPr="00AE1D54">
        <w:rPr>
          <w:rFonts w:asciiTheme="majorHAnsi" w:hAnsiTheme="majorHAnsi" w:cstheme="majorHAnsi"/>
          <w:color w:val="000000" w:themeColor="text1"/>
          <w:sz w:val="24"/>
          <w:szCs w:val="24"/>
        </w:rPr>
        <w:t>, Netherlands) was used in the TLGS research laboratory on the day of blood collection to analyze samples.</w:t>
      </w:r>
    </w:p>
    <w:p w14:paraId="34DA42A5" w14:textId="77777777" w:rsidR="00E24790" w:rsidRPr="00AE1D54" w:rsidRDefault="00E24790" w:rsidP="004042C9">
      <w:pPr>
        <w:pStyle w:val="Heading1"/>
        <w:rPr>
          <w:rFonts w:asciiTheme="majorHAnsi" w:hAnsiTheme="majorHAnsi" w:cstheme="majorHAnsi"/>
          <w:color w:val="000000" w:themeColor="text1"/>
        </w:rPr>
      </w:pPr>
      <w:bookmarkStart w:id="15" w:name="_Toc119834416"/>
      <w:r w:rsidRPr="00AE1D54">
        <w:rPr>
          <w:rFonts w:asciiTheme="majorHAnsi" w:hAnsiTheme="majorHAnsi" w:cstheme="majorHAnsi"/>
          <w:color w:val="000000" w:themeColor="text1"/>
        </w:rPr>
        <w:t>Basic Metabolic Panel</w:t>
      </w:r>
      <w:bookmarkEnd w:id="15"/>
    </w:p>
    <w:p w14:paraId="343B901B" w14:textId="77777777" w:rsidR="00E24790" w:rsidRPr="00AE1D54" w:rsidRDefault="00E24790">
      <w:pPr>
        <w:spacing w:after="0" w:line="480" w:lineRule="auto"/>
        <w:ind w:firstLine="720"/>
        <w:jc w:val="both"/>
        <w:rPr>
          <w:rFonts w:asciiTheme="majorHAnsi" w:hAnsiTheme="majorHAnsi" w:cstheme="majorHAnsi"/>
          <w:color w:val="000000" w:themeColor="text1"/>
          <w:sz w:val="24"/>
          <w:szCs w:val="24"/>
          <w:highlight w:val="yellow"/>
        </w:rPr>
      </w:pPr>
      <w:r w:rsidRPr="00AE1D54">
        <w:rPr>
          <w:rFonts w:asciiTheme="majorHAnsi" w:hAnsiTheme="majorHAnsi" w:cstheme="majorHAnsi"/>
          <w:color w:val="000000" w:themeColor="text1"/>
          <w:sz w:val="24"/>
          <w:szCs w:val="24"/>
        </w:rPr>
        <w:t xml:space="preserve">Fasting and 2h blood sugar (FBS and 2h BS) were measured by the enzymatic colorimetric glucose oxidase method (Pars </w:t>
      </w:r>
      <w:proofErr w:type="spellStart"/>
      <w:r w:rsidRPr="00AE1D54">
        <w:rPr>
          <w:rFonts w:asciiTheme="majorHAnsi" w:hAnsiTheme="majorHAnsi" w:cstheme="majorHAnsi"/>
          <w:color w:val="000000" w:themeColor="text1"/>
          <w:sz w:val="24"/>
          <w:szCs w:val="24"/>
        </w:rPr>
        <w:t>Azmoon</w:t>
      </w:r>
      <w:proofErr w:type="spellEnd"/>
      <w:r w:rsidRPr="00AE1D54">
        <w:rPr>
          <w:rFonts w:asciiTheme="majorHAnsi" w:hAnsiTheme="majorHAnsi" w:cstheme="majorHAnsi"/>
          <w:color w:val="000000" w:themeColor="text1"/>
          <w:sz w:val="24"/>
          <w:szCs w:val="24"/>
        </w:rPr>
        <w:t xml:space="preserve"> Inc., Tehran, Iran); inter-and intra-assay coefficients of variation (CV) at baseline and follow-up phases were both less than 2.2%. </w:t>
      </w:r>
    </w:p>
    <w:p w14:paraId="6C141F51" w14:textId="77777777" w:rsidR="00E24790" w:rsidRPr="00AE1D54" w:rsidRDefault="00E24790">
      <w:pPr>
        <w:spacing w:after="240" w:line="480" w:lineRule="auto"/>
        <w:jc w:val="both"/>
        <w:rPr>
          <w:rFonts w:asciiTheme="majorHAnsi" w:hAnsiTheme="majorHAnsi" w:cstheme="majorHAnsi"/>
          <w:color w:val="000000" w:themeColor="text1"/>
          <w:sz w:val="24"/>
          <w:szCs w:val="24"/>
          <w:highlight w:val="yellow"/>
        </w:rPr>
      </w:pPr>
      <w:r w:rsidRPr="00AE1D54">
        <w:rPr>
          <w:rFonts w:asciiTheme="majorHAnsi" w:hAnsiTheme="majorHAnsi" w:cstheme="majorHAnsi"/>
          <w:color w:val="000000" w:themeColor="text1"/>
          <w:sz w:val="24"/>
          <w:szCs w:val="24"/>
        </w:rPr>
        <w:t xml:space="preserve">Serum creatinine levels were measured by the kinetic colorimetric Jaffe method. Both inter and intra-assay CVs were &lt;5%. </w:t>
      </w:r>
    </w:p>
    <w:p w14:paraId="5B025984" w14:textId="77777777" w:rsidR="00E24790" w:rsidRPr="00AE1D54" w:rsidRDefault="00E24790" w:rsidP="004042C9">
      <w:pPr>
        <w:pStyle w:val="Heading1"/>
        <w:rPr>
          <w:rFonts w:asciiTheme="majorHAnsi" w:hAnsiTheme="majorHAnsi" w:cstheme="majorHAnsi"/>
          <w:color w:val="000000" w:themeColor="text1"/>
        </w:rPr>
      </w:pPr>
      <w:bookmarkStart w:id="16" w:name="_Toc119834417"/>
      <w:r w:rsidRPr="00AE1D54">
        <w:rPr>
          <w:rFonts w:asciiTheme="majorHAnsi" w:hAnsiTheme="majorHAnsi" w:cstheme="majorHAnsi"/>
          <w:color w:val="000000" w:themeColor="text1"/>
        </w:rPr>
        <w:t>Lipid Panel</w:t>
      </w:r>
      <w:bookmarkEnd w:id="16"/>
      <w:r w:rsidRPr="00AE1D54">
        <w:rPr>
          <w:rFonts w:asciiTheme="majorHAnsi" w:hAnsiTheme="majorHAnsi" w:cstheme="majorHAnsi"/>
          <w:color w:val="000000" w:themeColor="text1"/>
        </w:rPr>
        <w:t xml:space="preserve"> </w:t>
      </w:r>
    </w:p>
    <w:p w14:paraId="0430F6CC" w14:textId="5018E763" w:rsidR="00E24790" w:rsidRPr="00AE1D54" w:rsidRDefault="00E24790" w:rsidP="00A97836">
      <w:pPr>
        <w:spacing w:after="0" w:line="480" w:lineRule="auto"/>
        <w:ind w:firstLine="720"/>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The enzymatic colorimetric test was used with cholesterol esterase and cholesterol oxidase to evaluate total cholesterol (TC). Triglyceride (TG) was assayed using an enzymatic colorimetric method with glycerol phosphate oxidase. High-density lipoprotein cholesterol (HDL-C) was measured after </w:t>
      </w:r>
      <w:r w:rsidR="00D45EC9">
        <w:rPr>
          <w:rFonts w:asciiTheme="majorHAnsi" w:hAnsiTheme="majorHAnsi" w:cstheme="majorHAnsi"/>
          <w:color w:val="000000" w:themeColor="text1"/>
          <w:sz w:val="24"/>
          <w:szCs w:val="24"/>
        </w:rPr>
        <w:t xml:space="preserve">the </w:t>
      </w:r>
      <w:r w:rsidRPr="00AE1D54">
        <w:rPr>
          <w:rFonts w:asciiTheme="majorHAnsi" w:hAnsiTheme="majorHAnsi" w:cstheme="majorHAnsi"/>
          <w:color w:val="000000" w:themeColor="text1"/>
          <w:sz w:val="24"/>
          <w:szCs w:val="24"/>
        </w:rPr>
        <w:t xml:space="preserve">precipitation of the lipoprotein-B-containing lipoproteins with </w:t>
      </w:r>
      <w:proofErr w:type="spellStart"/>
      <w:r w:rsidRPr="00AE1D54">
        <w:rPr>
          <w:rFonts w:asciiTheme="majorHAnsi" w:hAnsiTheme="majorHAnsi" w:cstheme="majorHAnsi"/>
          <w:color w:val="000000" w:themeColor="text1"/>
          <w:sz w:val="24"/>
          <w:szCs w:val="24"/>
        </w:rPr>
        <w:t>phosphotungstic</w:t>
      </w:r>
      <w:proofErr w:type="spellEnd"/>
      <w:r w:rsidRPr="00AE1D54">
        <w:rPr>
          <w:rFonts w:asciiTheme="majorHAnsi" w:hAnsiTheme="majorHAnsi" w:cstheme="majorHAnsi"/>
          <w:color w:val="000000" w:themeColor="text1"/>
          <w:sz w:val="24"/>
          <w:szCs w:val="24"/>
        </w:rPr>
        <w:t xml:space="preserve"> acid. These analyses were performed using commercial kits (Pars </w:t>
      </w:r>
      <w:proofErr w:type="spellStart"/>
      <w:r w:rsidRPr="00AE1D54">
        <w:rPr>
          <w:rFonts w:asciiTheme="majorHAnsi" w:hAnsiTheme="majorHAnsi" w:cstheme="majorHAnsi"/>
          <w:color w:val="000000" w:themeColor="text1"/>
          <w:sz w:val="24"/>
          <w:szCs w:val="24"/>
        </w:rPr>
        <w:t>Azmoon</w:t>
      </w:r>
      <w:proofErr w:type="spellEnd"/>
      <w:r w:rsidRPr="00AE1D54">
        <w:rPr>
          <w:rFonts w:asciiTheme="majorHAnsi" w:hAnsiTheme="majorHAnsi" w:cstheme="majorHAnsi"/>
          <w:color w:val="000000" w:themeColor="text1"/>
          <w:sz w:val="24"/>
          <w:szCs w:val="24"/>
        </w:rPr>
        <w:t xml:space="preserve"> Inc., Tehran, Iran) and a </w:t>
      </w:r>
      <w:proofErr w:type="spellStart"/>
      <w:r w:rsidRPr="00AE1D54">
        <w:rPr>
          <w:rFonts w:asciiTheme="majorHAnsi" w:hAnsiTheme="majorHAnsi" w:cstheme="majorHAnsi"/>
          <w:color w:val="000000" w:themeColor="text1"/>
          <w:sz w:val="24"/>
          <w:szCs w:val="24"/>
        </w:rPr>
        <w:t>Selectra</w:t>
      </w:r>
      <w:proofErr w:type="spellEnd"/>
      <w:r w:rsidRPr="00AE1D54">
        <w:rPr>
          <w:rFonts w:asciiTheme="majorHAnsi" w:hAnsiTheme="majorHAnsi" w:cstheme="majorHAnsi"/>
          <w:color w:val="000000" w:themeColor="text1"/>
          <w:sz w:val="24"/>
          <w:szCs w:val="24"/>
        </w:rPr>
        <w:t xml:space="preserve"> 2 auto-analyzer (Vital Scientific, </w:t>
      </w:r>
      <w:proofErr w:type="spellStart"/>
      <w:r w:rsidRPr="00AE1D54">
        <w:rPr>
          <w:rFonts w:asciiTheme="majorHAnsi" w:hAnsiTheme="majorHAnsi" w:cstheme="majorHAnsi"/>
          <w:color w:val="000000" w:themeColor="text1"/>
          <w:sz w:val="24"/>
          <w:szCs w:val="24"/>
        </w:rPr>
        <w:t>Spankeren</w:t>
      </w:r>
      <w:proofErr w:type="spellEnd"/>
      <w:r w:rsidRPr="00AE1D54">
        <w:rPr>
          <w:rFonts w:asciiTheme="majorHAnsi" w:hAnsiTheme="majorHAnsi" w:cstheme="majorHAnsi"/>
          <w:color w:val="000000" w:themeColor="text1"/>
          <w:sz w:val="24"/>
          <w:szCs w:val="24"/>
        </w:rPr>
        <w:t xml:space="preserve">, The Netherlands). Low-density lipoprotein cholesterol (LDL-C) was calculated from serum TC, TG, and HDL-C </w:t>
      </w:r>
      <w:r w:rsidRPr="00AE1D54">
        <w:rPr>
          <w:rFonts w:asciiTheme="majorHAnsi" w:hAnsiTheme="majorHAnsi" w:cstheme="majorHAnsi"/>
          <w:color w:val="000000" w:themeColor="text1"/>
          <w:sz w:val="24"/>
          <w:szCs w:val="24"/>
        </w:rPr>
        <w:lastRenderedPageBreak/>
        <w:t xml:space="preserve">concentration according to the modified </w:t>
      </w:r>
      <w:proofErr w:type="spellStart"/>
      <w:r w:rsidRPr="00AE1D54">
        <w:rPr>
          <w:rFonts w:asciiTheme="majorHAnsi" w:hAnsiTheme="majorHAnsi" w:cstheme="majorHAnsi"/>
          <w:color w:val="000000" w:themeColor="text1"/>
          <w:sz w:val="24"/>
          <w:szCs w:val="24"/>
        </w:rPr>
        <w:t>Friedewald</w:t>
      </w:r>
      <w:proofErr w:type="spellEnd"/>
      <w:r w:rsidRPr="00AE1D54">
        <w:rPr>
          <w:rFonts w:asciiTheme="majorHAnsi" w:hAnsiTheme="majorHAnsi" w:cstheme="majorHAnsi"/>
          <w:color w:val="000000" w:themeColor="text1"/>
          <w:sz w:val="24"/>
          <w:szCs w:val="24"/>
        </w:rPr>
        <w:t xml:space="preserve"> formula. Non-HDL-C was calculated by subtracting HDL-C from TC; TC/HDL-C and TG/HDL-C were calculated by dividing TC and TG by HDL-C, respectively. In all baseline and follow-up assays of lipid profile, the inter and intra-assay coefficients of variation were less than 1.9, 2.1, and 3% for TC, TG, and HDL-C.</w:t>
      </w:r>
    </w:p>
    <w:p w14:paraId="65789B6A" w14:textId="77777777" w:rsidR="00E24790" w:rsidRPr="00AE1D54" w:rsidRDefault="00E24790" w:rsidP="004042C9">
      <w:pPr>
        <w:pStyle w:val="Heading1"/>
        <w:rPr>
          <w:rFonts w:asciiTheme="majorHAnsi" w:hAnsiTheme="majorHAnsi" w:cstheme="majorHAnsi"/>
          <w:color w:val="000000" w:themeColor="text1"/>
        </w:rPr>
      </w:pPr>
      <w:bookmarkStart w:id="17" w:name="_Toc119834418"/>
      <w:r w:rsidRPr="00AE1D54">
        <w:rPr>
          <w:rFonts w:asciiTheme="majorHAnsi" w:hAnsiTheme="majorHAnsi" w:cstheme="majorHAnsi"/>
          <w:color w:val="000000" w:themeColor="text1"/>
        </w:rPr>
        <w:t>Advanced Lipid Panel</w:t>
      </w:r>
      <w:bookmarkEnd w:id="17"/>
    </w:p>
    <w:p w14:paraId="5EEF3142" w14:textId="77777777" w:rsidR="00E24790" w:rsidRPr="00AE1D54" w:rsidRDefault="00E24790" w:rsidP="00C55762">
      <w:pPr>
        <w:spacing w:after="240" w:line="480" w:lineRule="auto"/>
        <w:ind w:firstLine="720"/>
        <w:jc w:val="both"/>
        <w:rPr>
          <w:rFonts w:asciiTheme="majorHAnsi" w:eastAsia="Times New Roman" w:hAnsiTheme="majorHAnsi" w:cstheme="majorHAnsi"/>
          <w:color w:val="000000" w:themeColor="text1"/>
          <w:sz w:val="24"/>
          <w:szCs w:val="24"/>
          <w:highlight w:val="yellow"/>
        </w:rPr>
      </w:pPr>
      <w:r w:rsidRPr="00AE1D54">
        <w:rPr>
          <w:rFonts w:asciiTheme="majorHAnsi" w:hAnsiTheme="majorHAnsi" w:cstheme="majorHAnsi"/>
          <w:color w:val="000000" w:themeColor="text1"/>
          <w:sz w:val="24"/>
          <w:szCs w:val="24"/>
        </w:rPr>
        <w:t xml:space="preserve">Apolipoprotein A1 (Apo A1) and Apo B were measured by immunoturbidimetry methods (Pars Azmoun Co, Tehran, Iran), and Apo A4 and Apo C3 were measured by the enzyme-linked immunosorbent assay (ELISA) method. </w:t>
      </w:r>
    </w:p>
    <w:p w14:paraId="1941A591" w14:textId="77777777" w:rsidR="00E24790" w:rsidRPr="00AE1D54" w:rsidRDefault="00E24790" w:rsidP="004042C9">
      <w:pPr>
        <w:pStyle w:val="Heading1"/>
        <w:rPr>
          <w:rFonts w:asciiTheme="majorHAnsi" w:hAnsiTheme="majorHAnsi" w:cstheme="majorHAnsi"/>
          <w:color w:val="000000" w:themeColor="text1"/>
        </w:rPr>
      </w:pPr>
      <w:bookmarkStart w:id="18" w:name="_Toc119834419"/>
      <w:r w:rsidRPr="00AE1D54">
        <w:rPr>
          <w:rFonts w:asciiTheme="majorHAnsi" w:hAnsiTheme="majorHAnsi" w:cstheme="majorHAnsi"/>
          <w:color w:val="000000" w:themeColor="text1"/>
        </w:rPr>
        <w:t>Inflammatory Panel</w:t>
      </w:r>
      <w:bookmarkEnd w:id="18"/>
    </w:p>
    <w:p w14:paraId="0679776F" w14:textId="77777777" w:rsidR="00E24790" w:rsidRPr="00AE1D54" w:rsidRDefault="00E24790" w:rsidP="00492008">
      <w:pPr>
        <w:spacing w:line="480" w:lineRule="auto"/>
        <w:ind w:firstLine="720"/>
        <w:jc w:val="both"/>
        <w:rPr>
          <w:rFonts w:asciiTheme="majorHAnsi" w:hAnsiTheme="majorHAnsi" w:cstheme="majorHAnsi"/>
          <w:color w:val="000000" w:themeColor="text1"/>
          <w:sz w:val="24"/>
          <w:szCs w:val="24"/>
        </w:rPr>
      </w:pPr>
      <w:bookmarkStart w:id="19" w:name="_heading=h.1y810tw" w:colFirst="0" w:colLast="0"/>
      <w:bookmarkEnd w:id="19"/>
      <w:r w:rsidRPr="00AE1D54">
        <w:rPr>
          <w:rFonts w:asciiTheme="majorHAnsi" w:hAnsiTheme="majorHAnsi" w:cstheme="majorHAnsi"/>
          <w:color w:val="000000" w:themeColor="text1"/>
          <w:sz w:val="24"/>
          <w:szCs w:val="24"/>
        </w:rPr>
        <w:t>Interleukin-6 (IL-6) and IL-10 levels were measured on the frozen samples using the sensitive ELISA method (</w:t>
      </w:r>
      <w:proofErr w:type="spellStart"/>
      <w:r w:rsidRPr="00AE1D54">
        <w:rPr>
          <w:rFonts w:asciiTheme="majorHAnsi" w:hAnsiTheme="majorHAnsi" w:cstheme="majorHAnsi"/>
          <w:color w:val="000000" w:themeColor="text1"/>
          <w:sz w:val="24"/>
          <w:szCs w:val="24"/>
        </w:rPr>
        <w:t>Diaclone</w:t>
      </w:r>
      <w:proofErr w:type="spellEnd"/>
      <w:r w:rsidRPr="00AE1D54">
        <w:rPr>
          <w:rFonts w:asciiTheme="majorHAnsi" w:hAnsiTheme="majorHAnsi" w:cstheme="majorHAnsi"/>
          <w:color w:val="000000" w:themeColor="text1"/>
          <w:sz w:val="24"/>
          <w:szCs w:val="24"/>
        </w:rPr>
        <w:t xml:space="preserve"> Co. French). Adiponectin level was also measured using sensitive ELISA (</w:t>
      </w:r>
      <w:proofErr w:type="spellStart"/>
      <w:r w:rsidRPr="00AE1D54">
        <w:rPr>
          <w:rFonts w:asciiTheme="majorHAnsi" w:hAnsiTheme="majorHAnsi" w:cstheme="majorHAnsi"/>
          <w:color w:val="000000" w:themeColor="text1"/>
          <w:sz w:val="24"/>
          <w:szCs w:val="24"/>
        </w:rPr>
        <w:t>Adipogen</w:t>
      </w:r>
      <w:proofErr w:type="spellEnd"/>
      <w:r w:rsidRPr="00AE1D54">
        <w:rPr>
          <w:rFonts w:asciiTheme="majorHAnsi" w:hAnsiTheme="majorHAnsi" w:cstheme="majorHAnsi"/>
          <w:color w:val="000000" w:themeColor="text1"/>
          <w:sz w:val="24"/>
          <w:szCs w:val="24"/>
        </w:rPr>
        <w:t xml:space="preserve"> Co. Korea). Enzyme conversion method, sensitive ELISA, and Axis-Shield kit were used to measure homocysteine (</w:t>
      </w:r>
      <w:proofErr w:type="spellStart"/>
      <w:r w:rsidRPr="00AE1D54">
        <w:rPr>
          <w:rFonts w:asciiTheme="majorHAnsi" w:hAnsiTheme="majorHAnsi" w:cstheme="majorHAnsi"/>
          <w:color w:val="000000" w:themeColor="text1"/>
          <w:sz w:val="24"/>
          <w:szCs w:val="24"/>
        </w:rPr>
        <w:t>Hcy</w:t>
      </w:r>
      <w:proofErr w:type="spellEnd"/>
      <w:r w:rsidRPr="00AE1D54">
        <w:rPr>
          <w:rFonts w:asciiTheme="majorHAnsi" w:hAnsiTheme="majorHAnsi" w:cstheme="majorHAnsi"/>
          <w:color w:val="000000" w:themeColor="text1"/>
          <w:sz w:val="24"/>
          <w:szCs w:val="24"/>
        </w:rPr>
        <w:t>) level (</w:t>
      </w:r>
      <w:proofErr w:type="spellStart"/>
      <w:r w:rsidRPr="00AE1D54">
        <w:rPr>
          <w:rFonts w:asciiTheme="majorHAnsi" w:hAnsiTheme="majorHAnsi" w:cstheme="majorHAnsi"/>
          <w:color w:val="000000" w:themeColor="text1"/>
          <w:sz w:val="24"/>
          <w:szCs w:val="24"/>
        </w:rPr>
        <w:t>Diazyme</w:t>
      </w:r>
      <w:proofErr w:type="spellEnd"/>
      <w:r w:rsidRPr="00AE1D54">
        <w:rPr>
          <w:rFonts w:asciiTheme="majorHAnsi" w:hAnsiTheme="majorHAnsi" w:cstheme="majorHAnsi"/>
          <w:color w:val="000000" w:themeColor="text1"/>
          <w:sz w:val="24"/>
          <w:szCs w:val="24"/>
        </w:rPr>
        <w:t xml:space="preserve"> co. USA). Plasma C-reactive protein (</w:t>
      </w:r>
      <w:proofErr w:type="spellStart"/>
      <w:r w:rsidRPr="00AE1D54">
        <w:rPr>
          <w:rFonts w:asciiTheme="majorHAnsi" w:hAnsiTheme="majorHAnsi" w:cstheme="majorHAnsi"/>
          <w:color w:val="000000" w:themeColor="text1"/>
          <w:sz w:val="24"/>
          <w:szCs w:val="24"/>
        </w:rPr>
        <w:t>hs</w:t>
      </w:r>
      <w:proofErr w:type="spellEnd"/>
      <w:r w:rsidRPr="00AE1D54">
        <w:rPr>
          <w:rFonts w:asciiTheme="majorHAnsi" w:hAnsiTheme="majorHAnsi" w:cstheme="majorHAnsi"/>
          <w:color w:val="000000" w:themeColor="text1"/>
          <w:sz w:val="24"/>
          <w:szCs w:val="24"/>
        </w:rPr>
        <w:t xml:space="preserve">-CRP) was measured using highly sensitive </w:t>
      </w:r>
      <w:proofErr w:type="spellStart"/>
      <w:r w:rsidRPr="00AE1D54">
        <w:rPr>
          <w:rFonts w:asciiTheme="majorHAnsi" w:hAnsiTheme="majorHAnsi" w:cstheme="majorHAnsi"/>
          <w:color w:val="000000" w:themeColor="text1"/>
          <w:sz w:val="24"/>
          <w:szCs w:val="24"/>
        </w:rPr>
        <w:t>immunoenzymometric</w:t>
      </w:r>
      <w:proofErr w:type="spellEnd"/>
      <w:r w:rsidRPr="00AE1D54">
        <w:rPr>
          <w:rFonts w:asciiTheme="majorHAnsi" w:hAnsiTheme="majorHAnsi" w:cstheme="majorHAnsi"/>
          <w:color w:val="000000" w:themeColor="text1"/>
          <w:sz w:val="24"/>
          <w:szCs w:val="24"/>
        </w:rPr>
        <w:t xml:space="preserve"> assays (IEMA) (Diagnostic </w:t>
      </w:r>
      <w:proofErr w:type="spellStart"/>
      <w:r w:rsidRPr="00AE1D54">
        <w:rPr>
          <w:rFonts w:asciiTheme="majorHAnsi" w:hAnsiTheme="majorHAnsi" w:cstheme="majorHAnsi"/>
          <w:color w:val="000000" w:themeColor="text1"/>
          <w:sz w:val="24"/>
          <w:szCs w:val="24"/>
        </w:rPr>
        <w:t>Biochem</w:t>
      </w:r>
      <w:proofErr w:type="spellEnd"/>
      <w:r w:rsidRPr="00AE1D54">
        <w:rPr>
          <w:rFonts w:asciiTheme="majorHAnsi" w:hAnsiTheme="majorHAnsi" w:cstheme="majorHAnsi"/>
          <w:color w:val="000000" w:themeColor="text1"/>
          <w:sz w:val="24"/>
          <w:szCs w:val="24"/>
        </w:rPr>
        <w:t>, Co. Canada). The samples were analyzed by Sunrise ELISA reader (TECAN Co, Salzburg, Austria). The measurements' intra- and inter-assay coefficients of variations (CVs) were &lt;5%.</w:t>
      </w:r>
    </w:p>
    <w:p w14:paraId="7CE782EF" w14:textId="77777777" w:rsidR="00E24790" w:rsidRPr="00AE1D54" w:rsidRDefault="00E24790" w:rsidP="004042C9">
      <w:pPr>
        <w:pStyle w:val="Heading1"/>
        <w:rPr>
          <w:rFonts w:asciiTheme="majorHAnsi" w:hAnsiTheme="majorHAnsi" w:cstheme="majorHAnsi"/>
          <w:color w:val="000000" w:themeColor="text1"/>
        </w:rPr>
      </w:pPr>
      <w:bookmarkStart w:id="20" w:name="_Toc119834420"/>
      <w:r w:rsidRPr="00AE1D54">
        <w:rPr>
          <w:rFonts w:asciiTheme="majorHAnsi" w:hAnsiTheme="majorHAnsi" w:cstheme="majorHAnsi"/>
          <w:color w:val="000000" w:themeColor="text1"/>
        </w:rPr>
        <w:lastRenderedPageBreak/>
        <w:t>Thyroid Function Test</w:t>
      </w:r>
      <w:bookmarkEnd w:id="20"/>
    </w:p>
    <w:p w14:paraId="58971212" w14:textId="77777777" w:rsidR="00E24790" w:rsidRPr="00AE1D54" w:rsidRDefault="00E24790" w:rsidP="00A655F5">
      <w:pPr>
        <w:spacing w:line="480" w:lineRule="auto"/>
        <w:ind w:firstLine="720"/>
        <w:jc w:val="both"/>
        <w:rPr>
          <w:rFonts w:asciiTheme="majorHAnsi" w:hAnsiTheme="majorHAnsi" w:cstheme="majorHAnsi"/>
          <w:color w:val="000000" w:themeColor="text1"/>
          <w:sz w:val="24"/>
          <w:szCs w:val="24"/>
        </w:rPr>
      </w:pPr>
      <w:bookmarkStart w:id="21" w:name="_heading=h.2xcytpi" w:colFirst="0" w:colLast="0"/>
      <w:bookmarkEnd w:id="21"/>
      <w:r w:rsidRPr="00AE1D54">
        <w:rPr>
          <w:rFonts w:asciiTheme="majorHAnsi" w:hAnsiTheme="majorHAnsi" w:cstheme="majorHAnsi"/>
          <w:color w:val="000000" w:themeColor="text1"/>
          <w:sz w:val="24"/>
          <w:szCs w:val="24"/>
        </w:rPr>
        <w:t>Thyroid-stimulating hormone (TSH) and free thyroxine (fT4) were measured on serum samples by the electrochemiluminescence immunoassay (ECLIA) method, using Roche Diagnostics kits and Roche/Hitachi Cobas e- 411 analyzers (GmbH, Mannheim, Germany). Thyroid peroxidase antibody (TPO-Ab) was measured using IEMA by the related kit (</w:t>
      </w:r>
      <w:proofErr w:type="spellStart"/>
      <w:r w:rsidRPr="00AE1D54">
        <w:rPr>
          <w:rFonts w:asciiTheme="majorHAnsi" w:hAnsiTheme="majorHAnsi" w:cstheme="majorHAnsi"/>
          <w:color w:val="000000" w:themeColor="text1"/>
          <w:sz w:val="24"/>
          <w:szCs w:val="24"/>
        </w:rPr>
        <w:t>Monobind</w:t>
      </w:r>
      <w:proofErr w:type="spellEnd"/>
      <w:r w:rsidRPr="00AE1D54">
        <w:rPr>
          <w:rFonts w:asciiTheme="majorHAnsi" w:hAnsiTheme="majorHAnsi" w:cstheme="majorHAnsi"/>
          <w:color w:val="000000" w:themeColor="text1"/>
          <w:sz w:val="24"/>
          <w:szCs w:val="24"/>
        </w:rPr>
        <w:t>, Costa Mesa, CA, USA) and the Sunrise ELISA reader (Tecan Co., Salzburg, Austria). Lyophilized quality control material (</w:t>
      </w:r>
      <w:proofErr w:type="spellStart"/>
      <w:r w:rsidRPr="00AE1D54">
        <w:rPr>
          <w:rFonts w:asciiTheme="majorHAnsi" w:hAnsiTheme="majorHAnsi" w:cstheme="majorHAnsi"/>
          <w:color w:val="000000" w:themeColor="text1"/>
          <w:sz w:val="24"/>
          <w:szCs w:val="24"/>
        </w:rPr>
        <w:t>Lyphochek</w:t>
      </w:r>
      <w:proofErr w:type="spellEnd"/>
      <w:r w:rsidRPr="00AE1D54">
        <w:rPr>
          <w:rFonts w:asciiTheme="majorHAnsi" w:hAnsiTheme="majorHAnsi" w:cstheme="majorHAnsi"/>
          <w:color w:val="000000" w:themeColor="text1"/>
          <w:sz w:val="24"/>
          <w:szCs w:val="24"/>
        </w:rPr>
        <w:t xml:space="preserve"> Immunoassay plus Control, Bio-Rad Laboratories) was used to monitor the accuracy of assays. Intra- and inter-assay CVs were 1.3% and 3.7% for fT4 and 1.5% and 4.5% for TSH determinations, respectively. Intra- and inter-assay CVs for TPO-Ab were 3.9% and 4.7%, respectively</w:t>
      </w:r>
      <w:sdt>
        <w:sdtPr>
          <w:rPr>
            <w:rFonts w:asciiTheme="majorHAnsi" w:hAnsiTheme="majorHAnsi" w:cstheme="majorHAnsi"/>
            <w:color w:val="000000" w:themeColor="text1"/>
            <w:sz w:val="24"/>
            <w:szCs w:val="24"/>
          </w:rPr>
          <w:id w:val="1537775605"/>
          <w:placeholder>
            <w:docPart w:val="8DBEB46D80544FB19E3805FDDE5D55BF"/>
          </w:placeholder>
        </w:sdtPr>
        <w:sdtEndPr/>
        <w:sdtContent>
          <w:r w:rsidRPr="00AE1D54">
            <w:rPr>
              <w:rFonts w:asciiTheme="majorHAnsi" w:hAnsiTheme="majorHAnsi" w:cstheme="majorHAnsi"/>
              <w:color w:val="000000" w:themeColor="text1"/>
              <w:sz w:val="24"/>
              <w:szCs w:val="24"/>
            </w:rPr>
            <w:t>(1)</w:t>
          </w:r>
        </w:sdtContent>
      </w:sdt>
      <w:r w:rsidRPr="00AE1D54">
        <w:rPr>
          <w:rFonts w:asciiTheme="majorHAnsi" w:hAnsiTheme="majorHAnsi" w:cstheme="majorHAnsi"/>
          <w:color w:val="000000" w:themeColor="text1"/>
          <w:sz w:val="24"/>
          <w:szCs w:val="24"/>
        </w:rPr>
        <w:t xml:space="preserve">. Thyroid hormone resistance was calculated by the Thyroid Feedback Quantile-based Index (TFQI) and Iranian-referenced Parametric TFQI (PTFQI) and compared with two other indices: </w:t>
      </w:r>
      <w:proofErr w:type="spellStart"/>
      <w:r w:rsidRPr="00AE1D54">
        <w:rPr>
          <w:rFonts w:asciiTheme="majorHAnsi" w:hAnsiTheme="majorHAnsi" w:cstheme="majorHAnsi"/>
          <w:color w:val="000000" w:themeColor="text1"/>
          <w:sz w:val="24"/>
          <w:szCs w:val="24"/>
        </w:rPr>
        <w:t>Thyrotroph</w:t>
      </w:r>
      <w:proofErr w:type="spellEnd"/>
      <w:r w:rsidRPr="00AE1D54">
        <w:rPr>
          <w:rFonts w:asciiTheme="majorHAnsi" w:hAnsiTheme="majorHAnsi" w:cstheme="majorHAnsi"/>
          <w:color w:val="000000" w:themeColor="text1"/>
          <w:sz w:val="24"/>
          <w:szCs w:val="24"/>
        </w:rPr>
        <w:t xml:space="preserve"> T4 Resistance Index (TT4RI) and TSH Index. </w:t>
      </w:r>
    </w:p>
    <w:p w14:paraId="369D1122" w14:textId="77777777" w:rsidR="00E24790" w:rsidRPr="00AE1D54" w:rsidRDefault="00E24790" w:rsidP="004042C9">
      <w:pPr>
        <w:pStyle w:val="Heading1"/>
        <w:rPr>
          <w:rFonts w:asciiTheme="majorHAnsi" w:hAnsiTheme="majorHAnsi" w:cstheme="majorHAnsi"/>
          <w:color w:val="000000" w:themeColor="text1"/>
        </w:rPr>
      </w:pPr>
      <w:bookmarkStart w:id="22" w:name="_Toc119834421"/>
      <w:r w:rsidRPr="00AE1D54">
        <w:rPr>
          <w:rFonts w:asciiTheme="majorHAnsi" w:hAnsiTheme="majorHAnsi" w:cstheme="majorHAnsi"/>
          <w:color w:val="000000" w:themeColor="text1"/>
        </w:rPr>
        <w:t>Liver Function Test</w:t>
      </w:r>
      <w:bookmarkEnd w:id="22"/>
    </w:p>
    <w:p w14:paraId="42A721F7" w14:textId="77777777" w:rsidR="00E24790" w:rsidRPr="00AE1D54" w:rsidRDefault="00E24790" w:rsidP="00161C75">
      <w:pPr>
        <w:spacing w:after="240"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Liver function tests (LFTs), including aspartate aminotransferase (AST), alanine aminotransferase (ALT), gamma-</w:t>
      </w:r>
      <w:proofErr w:type="spellStart"/>
      <w:r w:rsidRPr="00AE1D54">
        <w:rPr>
          <w:rFonts w:asciiTheme="majorHAnsi" w:hAnsiTheme="majorHAnsi" w:cstheme="majorHAnsi"/>
          <w:color w:val="000000" w:themeColor="text1"/>
          <w:sz w:val="24"/>
          <w:szCs w:val="24"/>
        </w:rPr>
        <w:t>glutamyltransferase</w:t>
      </w:r>
      <w:proofErr w:type="spellEnd"/>
      <w:r w:rsidRPr="00AE1D54">
        <w:rPr>
          <w:rFonts w:asciiTheme="majorHAnsi" w:hAnsiTheme="majorHAnsi" w:cstheme="majorHAnsi"/>
          <w:color w:val="000000" w:themeColor="text1"/>
          <w:sz w:val="24"/>
          <w:szCs w:val="24"/>
        </w:rPr>
        <w:t xml:space="preserve"> (GGT), ALT/AST ratio, alkaline phosphatase (ALP), and lactate dehydrogenase (LDH) were measured using enzymatic colorimetric methods. AST and ALT were analyzed by enzymatic photometry and GGT by enzymatic colorimetric methods. Their intra- and inter-assay CVs were 2.8 and 3.8% for AST, 2.2 and 3.8% for ALT, and 2.9 and 3.0% for GGT, respectively. Both inter-and intra-assay CVs were &lt;5%. These analyses were performed using </w:t>
      </w:r>
      <w:r w:rsidRPr="00AE1D54">
        <w:rPr>
          <w:rFonts w:asciiTheme="majorHAnsi" w:hAnsiTheme="majorHAnsi" w:cstheme="majorHAnsi"/>
          <w:color w:val="000000" w:themeColor="text1"/>
          <w:sz w:val="24"/>
          <w:szCs w:val="24"/>
        </w:rPr>
        <w:lastRenderedPageBreak/>
        <w:t xml:space="preserve">commercial kits (Pars </w:t>
      </w:r>
      <w:proofErr w:type="spellStart"/>
      <w:r w:rsidRPr="00AE1D54">
        <w:rPr>
          <w:rFonts w:asciiTheme="majorHAnsi" w:hAnsiTheme="majorHAnsi" w:cstheme="majorHAnsi"/>
          <w:color w:val="000000" w:themeColor="text1"/>
          <w:sz w:val="24"/>
          <w:szCs w:val="24"/>
        </w:rPr>
        <w:t>Azmon</w:t>
      </w:r>
      <w:proofErr w:type="spellEnd"/>
      <w:r w:rsidRPr="00AE1D54">
        <w:rPr>
          <w:rFonts w:asciiTheme="majorHAnsi" w:hAnsiTheme="majorHAnsi" w:cstheme="majorHAnsi"/>
          <w:color w:val="000000" w:themeColor="text1"/>
          <w:sz w:val="24"/>
          <w:szCs w:val="24"/>
        </w:rPr>
        <w:t xml:space="preserve"> Inc., Tehran, Iran) and a </w:t>
      </w:r>
      <w:proofErr w:type="spellStart"/>
      <w:r w:rsidRPr="00AE1D54">
        <w:rPr>
          <w:rFonts w:asciiTheme="majorHAnsi" w:hAnsiTheme="majorHAnsi" w:cstheme="majorHAnsi"/>
          <w:color w:val="000000" w:themeColor="text1"/>
          <w:sz w:val="24"/>
          <w:szCs w:val="24"/>
        </w:rPr>
        <w:t>Selectra</w:t>
      </w:r>
      <w:proofErr w:type="spellEnd"/>
      <w:r w:rsidRPr="00AE1D54">
        <w:rPr>
          <w:rFonts w:asciiTheme="majorHAnsi" w:hAnsiTheme="majorHAnsi" w:cstheme="majorHAnsi"/>
          <w:color w:val="000000" w:themeColor="text1"/>
          <w:sz w:val="24"/>
          <w:szCs w:val="24"/>
        </w:rPr>
        <w:t xml:space="preserve"> 2 auto-analyzer (Vital Scientific, </w:t>
      </w:r>
      <w:proofErr w:type="spellStart"/>
      <w:r w:rsidRPr="00AE1D54">
        <w:rPr>
          <w:rFonts w:asciiTheme="majorHAnsi" w:hAnsiTheme="majorHAnsi" w:cstheme="majorHAnsi"/>
          <w:color w:val="000000" w:themeColor="text1"/>
          <w:sz w:val="24"/>
          <w:szCs w:val="24"/>
        </w:rPr>
        <w:t>Spankeren</w:t>
      </w:r>
      <w:proofErr w:type="spellEnd"/>
      <w:r w:rsidRPr="00AE1D54">
        <w:rPr>
          <w:rFonts w:asciiTheme="majorHAnsi" w:hAnsiTheme="majorHAnsi" w:cstheme="majorHAnsi"/>
          <w:color w:val="000000" w:themeColor="text1"/>
          <w:sz w:val="24"/>
          <w:szCs w:val="24"/>
        </w:rPr>
        <w:t>, The Netherlands) at the research laboratory of the TLGS.</w:t>
      </w:r>
    </w:p>
    <w:p w14:paraId="20CEC7B1" w14:textId="77777777" w:rsidR="00E24790" w:rsidRPr="00AE1D54" w:rsidRDefault="00E24790" w:rsidP="004042C9">
      <w:pPr>
        <w:pStyle w:val="Heading1"/>
        <w:rPr>
          <w:rFonts w:asciiTheme="majorHAnsi" w:hAnsiTheme="majorHAnsi" w:cstheme="majorHAnsi"/>
          <w:color w:val="000000" w:themeColor="text1"/>
        </w:rPr>
      </w:pPr>
      <w:bookmarkStart w:id="23" w:name="_Toc119834422"/>
      <w:r w:rsidRPr="00AE1D54">
        <w:rPr>
          <w:rFonts w:asciiTheme="majorHAnsi" w:hAnsiTheme="majorHAnsi" w:cstheme="majorHAnsi"/>
          <w:color w:val="000000" w:themeColor="text1"/>
        </w:rPr>
        <w:t>Hormones</w:t>
      </w:r>
      <w:bookmarkEnd w:id="23"/>
    </w:p>
    <w:p w14:paraId="37CF854D" w14:textId="77777777" w:rsidR="00E24790" w:rsidRPr="00AE1D54" w:rsidRDefault="00E24790" w:rsidP="0013003D">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Aliquots of serum samples were stored at -70 °C and transferred to the Research Institute for Endocrine Sciences (RIES) hormone laboratory for the following assays. Leptin level was determined by an enzyme immunoassay (EIA) method. A sandwich ELISA kit evaluated cortisol levels via two antigen-specific antibodies, a purified immunoglobulin bound to a solid phase, and one enzyme-linked detection antibody. Then cortisol concentration was measured spectrophotometrically at 450 nm in a microplate reader. Anti-Mullerian hormone (AMH) level was measured by the two-site EIA method using the Gen II kit (Beckman Coulter, Inc., CA, USA) and the Sunrise ELISA reader (Tecan Co., Salzburg, Austria) at the time of recruitment. The intra- and inter-assay CVs were 1.9% and 2.0%, respectively. Fasting insulin level was measured through the electrochemiluminescence immunoassay method using Roche Diagnostics kits and Roche/Hitachi Cobas e-411 analyzer (GmbH, Mannheim, Germany). Lyophilized quality control material (</w:t>
      </w:r>
      <w:proofErr w:type="spellStart"/>
      <w:r w:rsidRPr="00AE1D54">
        <w:rPr>
          <w:rFonts w:asciiTheme="majorHAnsi" w:hAnsiTheme="majorHAnsi" w:cstheme="majorHAnsi"/>
          <w:color w:val="000000" w:themeColor="text1"/>
          <w:sz w:val="24"/>
          <w:szCs w:val="24"/>
        </w:rPr>
        <w:t>Lyphochek</w:t>
      </w:r>
      <w:proofErr w:type="spellEnd"/>
      <w:r w:rsidRPr="00AE1D54">
        <w:rPr>
          <w:rFonts w:asciiTheme="majorHAnsi" w:hAnsiTheme="majorHAnsi" w:cstheme="majorHAnsi"/>
          <w:color w:val="000000" w:themeColor="text1"/>
          <w:sz w:val="24"/>
          <w:szCs w:val="24"/>
        </w:rPr>
        <w:t xml:space="preserve"> Immunoassay Plus Control; Bio-Rad Laboratories, Irvine, CA, USA) was used to monitor the precision of assays. Intra- and inter-assay CVs were 1.2 and 3.5%, respectively.</w:t>
      </w:r>
    </w:p>
    <w:p w14:paraId="2F39B710" w14:textId="77777777" w:rsidR="00E24790" w:rsidRPr="00AE1D54" w:rsidRDefault="00E24790" w:rsidP="004042C9">
      <w:pPr>
        <w:pStyle w:val="Heading1"/>
        <w:rPr>
          <w:rFonts w:asciiTheme="majorHAnsi" w:hAnsiTheme="majorHAnsi" w:cstheme="majorHAnsi"/>
          <w:color w:val="000000" w:themeColor="text1"/>
        </w:rPr>
      </w:pPr>
      <w:bookmarkStart w:id="24" w:name="_Toc119834423"/>
      <w:r w:rsidRPr="00AE1D54">
        <w:rPr>
          <w:rFonts w:asciiTheme="majorHAnsi" w:hAnsiTheme="majorHAnsi" w:cstheme="majorHAnsi"/>
          <w:color w:val="000000" w:themeColor="text1"/>
        </w:rPr>
        <w:t>Others</w:t>
      </w:r>
      <w:bookmarkEnd w:id="24"/>
    </w:p>
    <w:p w14:paraId="54309D5B" w14:textId="77777777" w:rsidR="00E24790" w:rsidRPr="00AE1D54" w:rsidRDefault="00E24790" w:rsidP="00A655F5">
      <w:pPr>
        <w:spacing w:after="240" w:line="480" w:lineRule="auto"/>
        <w:ind w:firstLine="720"/>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The serum level of 25-OH-D was assessed using the EIA method (25-OH-D EIA kit, DRG, Marburg, Germany); the expected range of the kit was 10–50 ng/ml. The assay sensitivity was 5.6 </w:t>
      </w:r>
      <w:r w:rsidRPr="00AE1D54">
        <w:rPr>
          <w:rFonts w:asciiTheme="majorHAnsi" w:hAnsiTheme="majorHAnsi" w:cstheme="majorHAnsi"/>
          <w:color w:val="000000" w:themeColor="text1"/>
          <w:sz w:val="24"/>
          <w:szCs w:val="24"/>
        </w:rPr>
        <w:lastRenderedPageBreak/>
        <w:t xml:space="preserve">nmol/L, and intra-inter assay CVs were 2.7 and 3.9%, respectively. Serum zinc concentration was determined by flame atomic absorption spectrometry (CTA-2000, Chem-Tech, Analytical Co., Kempston, UK). Serum total nitrite and nitrate (NOx) levels were measured by a rapid and straightforward spectrophotometric method by the Griess </w:t>
      </w:r>
      <w:proofErr w:type="gramStart"/>
      <w:r w:rsidRPr="00AE1D54">
        <w:rPr>
          <w:rFonts w:asciiTheme="majorHAnsi" w:hAnsiTheme="majorHAnsi" w:cstheme="majorHAnsi"/>
          <w:color w:val="000000" w:themeColor="text1"/>
          <w:sz w:val="24"/>
          <w:szCs w:val="24"/>
        </w:rPr>
        <w:t>reaction(</w:t>
      </w:r>
      <w:proofErr w:type="gramEnd"/>
      <w:r w:rsidRPr="00AE1D54">
        <w:rPr>
          <w:rFonts w:asciiTheme="majorHAnsi" w:hAnsiTheme="majorHAnsi" w:cstheme="majorHAnsi"/>
          <w:color w:val="000000" w:themeColor="text1"/>
          <w:sz w:val="24"/>
          <w:szCs w:val="24"/>
        </w:rPr>
        <w:t xml:space="preserve">2), which was validated in the RIES laboratory(3,4). Absorbance was read at 540 nm using the ELISA reader (Sunrise, Tecan, Austria). The concentration of NOx in serum samples was determined from the standard linear curve established by 0–100 </w:t>
      </w:r>
      <w:proofErr w:type="spellStart"/>
      <w:r w:rsidRPr="00AE1D54">
        <w:rPr>
          <w:rFonts w:asciiTheme="majorHAnsi" w:hAnsiTheme="majorHAnsi" w:cstheme="majorHAnsi"/>
          <w:color w:val="000000" w:themeColor="text1"/>
          <w:sz w:val="24"/>
          <w:szCs w:val="24"/>
        </w:rPr>
        <w:t>μM</w:t>
      </w:r>
      <w:proofErr w:type="spellEnd"/>
      <w:r w:rsidRPr="00AE1D54">
        <w:rPr>
          <w:rFonts w:asciiTheme="majorHAnsi" w:hAnsiTheme="majorHAnsi" w:cstheme="majorHAnsi"/>
          <w:color w:val="000000" w:themeColor="text1"/>
          <w:sz w:val="24"/>
          <w:szCs w:val="24"/>
        </w:rPr>
        <w:t xml:space="preserve"> sodium nitrate. The measurements' inter-and intra-assay CVs were 5.2% and 4.4%, respectively. Oxidative stress was assessed using serum levels of Malondialdehyde (MDA) and total antioxidant capacity (TAC). MDA concentration and lipid peroxidation assay kit (Abcam, Cambridge, CA, USA) were used. The total antioxidant capacity of plasma was measured using a TAC assay kit (Abcam, Cambridge, CA, USA) according to manufacturing protocol. All samples were analyzed under the internal quality control supervision of the acceptable criteria.</w:t>
      </w:r>
    </w:p>
    <w:p w14:paraId="68117CE7" w14:textId="77777777" w:rsidR="00E24790" w:rsidRPr="00AE1D54" w:rsidRDefault="00E24790" w:rsidP="00FD09D6">
      <w:pPr>
        <w:pStyle w:val="Subtitle"/>
        <w:rPr>
          <w:rFonts w:asciiTheme="majorHAnsi" w:hAnsiTheme="majorHAnsi" w:cstheme="majorHAnsi"/>
          <w:color w:val="000000" w:themeColor="text1"/>
        </w:rPr>
      </w:pPr>
      <w:bookmarkStart w:id="25" w:name="_heading=h.o1l5k1ywaz29" w:colFirst="0" w:colLast="0"/>
      <w:bookmarkStart w:id="26" w:name="_heading=h.ey9l4hz2qfic" w:colFirst="0" w:colLast="0"/>
      <w:bookmarkStart w:id="27" w:name="_Toc119834424"/>
      <w:bookmarkEnd w:id="25"/>
      <w:bookmarkEnd w:id="26"/>
      <w:r w:rsidRPr="00AE1D54">
        <w:rPr>
          <w:rFonts w:asciiTheme="majorHAnsi" w:hAnsiTheme="majorHAnsi" w:cstheme="majorHAnsi"/>
          <w:color w:val="000000" w:themeColor="text1"/>
        </w:rPr>
        <w:t>Traits</w:t>
      </w:r>
      <w:bookmarkEnd w:id="27"/>
    </w:p>
    <w:p w14:paraId="01F1A9C0" w14:textId="77777777" w:rsidR="00E24790" w:rsidRPr="00AE1D54" w:rsidRDefault="00E24790" w:rsidP="00492008">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The </w:t>
      </w:r>
      <w:proofErr w:type="gramStart"/>
      <w:r w:rsidRPr="00AE1D54">
        <w:rPr>
          <w:rFonts w:asciiTheme="majorHAnsi" w:hAnsiTheme="majorHAnsi" w:cstheme="majorHAnsi"/>
          <w:color w:val="000000" w:themeColor="text1"/>
          <w:sz w:val="24"/>
          <w:szCs w:val="24"/>
        </w:rPr>
        <w:t>TCGS  cohort</w:t>
      </w:r>
      <w:proofErr w:type="gramEnd"/>
      <w:r w:rsidRPr="00AE1D54">
        <w:rPr>
          <w:rFonts w:asciiTheme="majorHAnsi" w:hAnsiTheme="majorHAnsi" w:cstheme="majorHAnsi"/>
          <w:color w:val="000000" w:themeColor="text1"/>
          <w:sz w:val="24"/>
          <w:szCs w:val="24"/>
        </w:rPr>
        <w:t xml:space="preserve"> gathered traits and clinical information from 4 different well-designed projects. Each project is designed to catch the information through paper-based or web-based questionnaires, Patients' self-reports after being seen by a doctor, and hospitalization information.</w:t>
      </w:r>
    </w:p>
    <w:p w14:paraId="2F09D995" w14:textId="77777777" w:rsidR="00E24790" w:rsidRPr="00AE1D54" w:rsidRDefault="00E24790" w:rsidP="004042C9">
      <w:pPr>
        <w:pStyle w:val="Heading1"/>
        <w:rPr>
          <w:rFonts w:asciiTheme="majorHAnsi" w:hAnsiTheme="majorHAnsi" w:cstheme="majorHAnsi"/>
          <w:color w:val="000000" w:themeColor="text1"/>
        </w:rPr>
      </w:pPr>
      <w:bookmarkStart w:id="28" w:name="_Toc119834425"/>
      <w:r w:rsidRPr="00AE1D54">
        <w:rPr>
          <w:rFonts w:asciiTheme="majorHAnsi" w:hAnsiTheme="majorHAnsi" w:cstheme="majorHAnsi"/>
          <w:color w:val="000000" w:themeColor="text1"/>
        </w:rPr>
        <w:t>Questionnaires</w:t>
      </w:r>
      <w:bookmarkEnd w:id="28"/>
    </w:p>
    <w:p w14:paraId="27ECF0C4" w14:textId="77777777" w:rsidR="00E24790" w:rsidRPr="00AE1D54" w:rsidRDefault="00E24790">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The TLGS committee gathered information through different questionnaires.</w:t>
      </w:r>
    </w:p>
    <w:p w14:paraId="47DD4C32" w14:textId="77777777" w:rsidR="00E24790" w:rsidRPr="00AE1D54" w:rsidRDefault="00E24790" w:rsidP="00922D9D">
      <w:pPr>
        <w:pStyle w:val="Heading2"/>
      </w:pPr>
      <w:bookmarkStart w:id="29" w:name="_Toc119834426"/>
      <w:r w:rsidRPr="00AE1D54">
        <w:lastRenderedPageBreak/>
        <w:t>Demographic information</w:t>
      </w:r>
      <w:bookmarkEnd w:id="29"/>
    </w:p>
    <w:p w14:paraId="0FC0EE76" w14:textId="77777777" w:rsidR="00E24790" w:rsidRPr="00AE1D54" w:rsidRDefault="00E24790">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Includes age, sex, marital status, familial relationship, level of education, employment status, history of living in Tehran, etc.</w:t>
      </w:r>
    </w:p>
    <w:p w14:paraId="7788E59A" w14:textId="77777777" w:rsidR="00E24790" w:rsidRPr="00AE1D54" w:rsidRDefault="00E24790" w:rsidP="00922D9D">
      <w:pPr>
        <w:pStyle w:val="Heading2"/>
      </w:pPr>
      <w:bookmarkStart w:id="30" w:name="_Toc119834427"/>
      <w:r w:rsidRPr="00AE1D54">
        <w:t>Ethnicity</w:t>
      </w:r>
      <w:bookmarkEnd w:id="30"/>
    </w:p>
    <w:p w14:paraId="59DD42C0" w14:textId="77777777" w:rsidR="00E24790" w:rsidRPr="00AE1D54" w:rsidRDefault="00E24790" w:rsidP="00492008">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This information was gathered based on self-reported ethnicity, parents, and grandparents' place of birth.</w:t>
      </w:r>
    </w:p>
    <w:p w14:paraId="185698B1" w14:textId="77777777" w:rsidR="00E24790" w:rsidRPr="00AE1D54" w:rsidRDefault="00E24790" w:rsidP="00922D9D">
      <w:pPr>
        <w:pStyle w:val="Heading2"/>
      </w:pPr>
      <w:bookmarkStart w:id="31" w:name="_Toc119834428"/>
      <w:r w:rsidRPr="00AE1D54">
        <w:t>Past Medical History</w:t>
      </w:r>
      <w:bookmarkEnd w:id="31"/>
    </w:p>
    <w:p w14:paraId="4D2C8914" w14:textId="77777777" w:rsidR="00E24790" w:rsidRPr="00AE1D54" w:rsidRDefault="00E24790" w:rsidP="00312F4E">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Consist of the history of any risk factors, such as cardiovascular disease, thyroid disease, diabetes, any major diseases, hospitalization, medication usage, family history of cardiovascular disease, etc. </w:t>
      </w:r>
    </w:p>
    <w:p w14:paraId="4093A8BF" w14:textId="77777777" w:rsidR="00E24790" w:rsidRPr="00AE1D54" w:rsidRDefault="00E24790" w:rsidP="00922D9D">
      <w:pPr>
        <w:pStyle w:val="Heading2"/>
      </w:pPr>
      <w:bookmarkStart w:id="32" w:name="_Toc119834429"/>
      <w:r w:rsidRPr="00AE1D54">
        <w:t>Smoking and Physical activity</w:t>
      </w:r>
      <w:bookmarkEnd w:id="32"/>
    </w:p>
    <w:p w14:paraId="7BBD711D" w14:textId="77777777" w:rsidR="00E24790" w:rsidRPr="00AE1D54" w:rsidRDefault="00E24790" w:rsidP="00CE6E86">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These questionnaires have separate sections for adults and adolescents. A smoking questionnaire is about ever using a cigarette, pipe, or hookah, duration of use, quitting period and amount of smoking, the pattern of secondhand smoke exposure, etc. A physical activity (PA) questionnaire, including the Lipid Research Clinic (LRC) questionnaire in phase 1 and the Modifiable Activity Questionnaire (MAQ) in phase 2, determines the amount of PA during work and outside the workplace and sports activities. </w:t>
      </w:r>
    </w:p>
    <w:p w14:paraId="2DA95B8C" w14:textId="77777777" w:rsidR="00E24790" w:rsidRPr="00AE1D54" w:rsidRDefault="00E24790" w:rsidP="00B34E56">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Two methods were used for PA data collection: LRC, used in the initial phase of TLGS (phase I), and a simple measurement containing four questions. The data obtained via LRC were subjective and not valid for the Iranian culture, so, then, the PA questionnaire was changed to a Persian-modified MAQ </w:t>
      </w:r>
      <w:proofErr w:type="gramStart"/>
      <w:r w:rsidRPr="00AE1D54">
        <w:rPr>
          <w:rFonts w:asciiTheme="majorHAnsi" w:hAnsiTheme="majorHAnsi" w:cstheme="majorHAnsi"/>
          <w:color w:val="000000" w:themeColor="text1"/>
          <w:sz w:val="24"/>
          <w:szCs w:val="24"/>
        </w:rPr>
        <w:t>questionnaire(</w:t>
      </w:r>
      <w:proofErr w:type="gramEnd"/>
      <w:r w:rsidRPr="00AE1D54">
        <w:rPr>
          <w:rFonts w:asciiTheme="majorHAnsi" w:hAnsiTheme="majorHAnsi" w:cstheme="majorHAnsi"/>
          <w:color w:val="000000" w:themeColor="text1"/>
          <w:sz w:val="24"/>
          <w:szCs w:val="24"/>
        </w:rPr>
        <w:t xml:space="preserve">5), which measures leisure time, occupational, and household </w:t>
      </w:r>
      <w:r w:rsidRPr="00AE1D54">
        <w:rPr>
          <w:rFonts w:asciiTheme="majorHAnsi" w:hAnsiTheme="majorHAnsi" w:cstheme="majorHAnsi"/>
          <w:color w:val="000000" w:themeColor="text1"/>
          <w:sz w:val="24"/>
          <w:szCs w:val="24"/>
        </w:rPr>
        <w:lastRenderedPageBreak/>
        <w:t>activities and calculates the metabolic equivalent (MET) based on min/wk. High reliability (98%) and moderate validity (47%) were reported for the Persian version of MAQ(6,7). MAQ evaluated the PA pattern of adolescents aged 12-18 years. Individuals reported their PA during the past 12 months by identifying the frequency and duration of each activity. The MET was obtained by each activity weighted by its relative intensity. One MET is set at 3.5 ml of oxygen consumed per kg of body weight per minute and represents the resting metabolic rate. Then, the obtained MET was multiplied by the time spent at each level for all activity levels. MET-time calculated the average daily PA level from each level added to the total 24-hour MET</w:t>
      </w:r>
      <w:r w:rsidRPr="00B34E56">
        <w:rPr>
          <w:rFonts w:ascii="Cambria Math" w:hAnsi="Cambria Math" w:cs="Cambria Math"/>
          <w:color w:val="000000" w:themeColor="text1"/>
          <w:sz w:val="24"/>
          <w:szCs w:val="24"/>
        </w:rPr>
        <w:t>‑</w:t>
      </w:r>
      <w:r w:rsidRPr="00AE1D54">
        <w:rPr>
          <w:rFonts w:asciiTheme="majorHAnsi" w:hAnsiTheme="majorHAnsi" w:cstheme="majorHAnsi"/>
          <w:color w:val="000000" w:themeColor="text1"/>
          <w:sz w:val="24"/>
          <w:szCs w:val="24"/>
        </w:rPr>
        <w:t>time.</w:t>
      </w:r>
    </w:p>
    <w:p w14:paraId="5529E6FF" w14:textId="77777777" w:rsidR="00E24790" w:rsidRPr="00AE1D54" w:rsidRDefault="00E24790" w:rsidP="00B34E56">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Information about PA for adults was also collected using a reliable and validated Iranian version of MAQ, and the measurement details were described above. Total numbers of minutes/year for all leisure time PA were summed up and then divided by 52 to estimate total leisure-time PA in min/week. MET of total leisure-time PA for each person was then calculated by multiplying the number of </w:t>
      </w:r>
      <w:proofErr w:type="gramStart"/>
      <w:r w:rsidRPr="00AE1D54">
        <w:rPr>
          <w:rFonts w:asciiTheme="majorHAnsi" w:hAnsiTheme="majorHAnsi" w:cstheme="majorHAnsi"/>
          <w:color w:val="000000" w:themeColor="text1"/>
          <w:sz w:val="24"/>
          <w:szCs w:val="24"/>
        </w:rPr>
        <w:t>min/week</w:t>
      </w:r>
      <w:proofErr w:type="gramEnd"/>
      <w:r w:rsidRPr="00AE1D54">
        <w:rPr>
          <w:rFonts w:asciiTheme="majorHAnsi" w:hAnsiTheme="majorHAnsi" w:cstheme="majorHAnsi"/>
          <w:color w:val="000000" w:themeColor="text1"/>
          <w:sz w:val="24"/>
          <w:szCs w:val="24"/>
        </w:rPr>
        <w:t xml:space="preserve"> of each leisure time activity by its MET. Employed persons were asked to indicate how many hours a week they usually worked. According to the questionnaire, individuals had to identify the months and hours they participated in PA at work (standing, housework, work activities) over the past year. The assessment of occupational activity was based on summing up the number of hours per week of light, moderate and vigorous-intensity activities and then multiplying by 60 to express minutes per week of occupational activity over the past year. Finally, occupational (MET-min/week) activity was calculated by multiplying the number of minutes per </w:t>
      </w:r>
      <w:r w:rsidRPr="00AE1D54">
        <w:rPr>
          <w:rFonts w:asciiTheme="majorHAnsi" w:hAnsiTheme="majorHAnsi" w:cstheme="majorHAnsi"/>
          <w:color w:val="000000" w:themeColor="text1"/>
          <w:sz w:val="24"/>
          <w:szCs w:val="24"/>
        </w:rPr>
        <w:lastRenderedPageBreak/>
        <w:t xml:space="preserve">week of each of the three categories of occupational activity by MET values. The total PA was reached by adding leisure time PA to occupational activity. </w:t>
      </w:r>
    </w:p>
    <w:p w14:paraId="40A57634" w14:textId="26B48EDF" w:rsidR="00720627" w:rsidRPr="00720627" w:rsidRDefault="00A65888" w:rsidP="00720627">
      <w:pPr>
        <w:pStyle w:val="Heading2"/>
      </w:pPr>
      <w:bookmarkStart w:id="33" w:name="_Toc119834430"/>
      <w:proofErr w:type="spellStart"/>
      <w:r w:rsidRPr="00E85C53">
        <w:t>Obstetric</w:t>
      </w:r>
      <w:proofErr w:type="spellEnd"/>
      <w:r w:rsidRPr="00E85C53">
        <w:t xml:space="preserve"> and Gynecology</w:t>
      </w:r>
      <w:bookmarkEnd w:id="33"/>
      <w:r w:rsidRPr="00E85C53">
        <w:t xml:space="preserve"> </w:t>
      </w:r>
    </w:p>
    <w:p w14:paraId="5AD5BB9D" w14:textId="61CB50B0" w:rsidR="00922D9D" w:rsidRPr="00B34E56" w:rsidRDefault="00192D3B" w:rsidP="002F5481">
      <w:pPr>
        <w:spacing w:line="480" w:lineRule="auto"/>
        <w:jc w:val="both"/>
        <w:rPr>
          <w:rFonts w:asciiTheme="majorHAnsi" w:hAnsiTheme="majorHAnsi" w:cstheme="majorHAnsi"/>
          <w:color w:val="000000" w:themeColor="text1"/>
          <w:sz w:val="24"/>
          <w:szCs w:val="24"/>
        </w:rPr>
      </w:pPr>
      <w:r w:rsidRPr="00B34E56">
        <w:rPr>
          <w:rFonts w:asciiTheme="majorHAnsi" w:hAnsiTheme="majorHAnsi" w:cstheme="majorHAnsi"/>
          <w:color w:val="000000" w:themeColor="text1"/>
          <w:sz w:val="24"/>
          <w:szCs w:val="24"/>
        </w:rPr>
        <w:t>C</w:t>
      </w:r>
      <w:r w:rsidR="00922D9D" w:rsidRPr="00B34E56">
        <w:rPr>
          <w:rFonts w:asciiTheme="majorHAnsi" w:hAnsiTheme="majorHAnsi" w:cstheme="majorHAnsi"/>
          <w:color w:val="000000" w:themeColor="text1"/>
          <w:sz w:val="24"/>
          <w:szCs w:val="24"/>
        </w:rPr>
        <w:t>omprehensive questionnaires on reproductive lifespan</w:t>
      </w:r>
      <w:r w:rsidRPr="00B34E56">
        <w:rPr>
          <w:rFonts w:asciiTheme="majorHAnsi" w:hAnsiTheme="majorHAnsi" w:cstheme="majorHAnsi"/>
          <w:color w:val="000000" w:themeColor="text1"/>
          <w:sz w:val="24"/>
          <w:szCs w:val="24"/>
        </w:rPr>
        <w:t>,</w:t>
      </w:r>
      <w:r w:rsidR="00922D9D" w:rsidRPr="00B34E56">
        <w:rPr>
          <w:rFonts w:asciiTheme="majorHAnsi" w:hAnsiTheme="majorHAnsi" w:cstheme="majorHAnsi"/>
          <w:color w:val="000000" w:themeColor="text1"/>
          <w:sz w:val="24"/>
          <w:szCs w:val="24"/>
        </w:rPr>
        <w:t xml:space="preserve"> including menarche, menopause, menstrual regularity, parity, abortion, type and duration of contraception usage, infertility, and lactation</w:t>
      </w:r>
      <w:r w:rsidRPr="00B34E56">
        <w:rPr>
          <w:rFonts w:asciiTheme="majorHAnsi" w:hAnsiTheme="majorHAnsi" w:cstheme="majorHAnsi"/>
          <w:color w:val="000000" w:themeColor="text1"/>
          <w:sz w:val="24"/>
          <w:szCs w:val="24"/>
        </w:rPr>
        <w:t>,</w:t>
      </w:r>
      <w:r w:rsidR="00922D9D" w:rsidRPr="00B34E56">
        <w:rPr>
          <w:rFonts w:asciiTheme="majorHAnsi" w:hAnsiTheme="majorHAnsi" w:cstheme="majorHAnsi"/>
          <w:color w:val="000000" w:themeColor="text1"/>
          <w:sz w:val="24"/>
          <w:szCs w:val="24"/>
        </w:rPr>
        <w:t xml:space="preserve"> were collected through face</w:t>
      </w:r>
      <w:r w:rsidRPr="00B34E56">
        <w:rPr>
          <w:rFonts w:asciiTheme="majorHAnsi" w:hAnsiTheme="majorHAnsi" w:cstheme="majorHAnsi"/>
          <w:color w:val="000000" w:themeColor="text1"/>
          <w:sz w:val="24"/>
          <w:szCs w:val="24"/>
        </w:rPr>
        <w:t>-to-</w:t>
      </w:r>
      <w:r w:rsidR="00922D9D" w:rsidRPr="00B34E56">
        <w:rPr>
          <w:rFonts w:asciiTheme="majorHAnsi" w:hAnsiTheme="majorHAnsi" w:cstheme="majorHAnsi"/>
          <w:color w:val="000000" w:themeColor="text1"/>
          <w:sz w:val="24"/>
          <w:szCs w:val="24"/>
        </w:rPr>
        <w:t xml:space="preserve">face interviews </w:t>
      </w:r>
      <w:r w:rsidR="00B34E56" w:rsidRPr="00B34E56">
        <w:rPr>
          <w:rFonts w:asciiTheme="majorHAnsi" w:hAnsiTheme="majorHAnsi" w:cstheme="majorHAnsi"/>
          <w:color w:val="000000" w:themeColor="text1"/>
          <w:sz w:val="24"/>
          <w:szCs w:val="24"/>
        </w:rPr>
        <w:t>with</w:t>
      </w:r>
      <w:r w:rsidR="00922D9D" w:rsidRPr="00B34E56">
        <w:rPr>
          <w:rFonts w:asciiTheme="majorHAnsi" w:hAnsiTheme="majorHAnsi" w:cstheme="majorHAnsi"/>
          <w:color w:val="000000" w:themeColor="text1"/>
          <w:sz w:val="24"/>
          <w:szCs w:val="24"/>
        </w:rPr>
        <w:t xml:space="preserve"> trained staff</w:t>
      </w:r>
      <w:r w:rsidR="002F5481" w:rsidRPr="00B34E56">
        <w:rPr>
          <w:rFonts w:asciiTheme="majorHAnsi" w:hAnsiTheme="majorHAnsi" w:cstheme="majorHAnsi"/>
          <w:color w:val="000000" w:themeColor="text1"/>
          <w:sz w:val="24"/>
          <w:szCs w:val="24"/>
        </w:rPr>
        <w:t>.</w:t>
      </w:r>
    </w:p>
    <w:p w14:paraId="5B894F04" w14:textId="548B4F46" w:rsidR="00E24790" w:rsidRPr="00AE1D54" w:rsidRDefault="00E24790" w:rsidP="00922D9D">
      <w:pPr>
        <w:pStyle w:val="Heading2"/>
      </w:pPr>
      <w:bookmarkStart w:id="34" w:name="_Toc119834431"/>
      <w:r w:rsidRPr="00AE1D54">
        <w:t>Dietary assessment</w:t>
      </w:r>
      <w:bookmarkEnd w:id="34"/>
    </w:p>
    <w:p w14:paraId="3DA93D12" w14:textId="77777777" w:rsidR="00E24790" w:rsidRPr="00AE1D54" w:rsidRDefault="00E24790">
      <w:pPr>
        <w:spacing w:before="240" w:after="240"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Usual dietary intake was assessed using a valid and reliable 168-item semi-quantitative food frequency questionnaire (FFQ). FFQ comprised a list of foods with a standard serving size commonly consumed by Iranians. Trained dietitians collected the dietary data during private face-to-face interviews; they asked subjects to report the frequency of a given serving of each food item intake during the previous year on a daily, weekly, or monthly basis. The described frequency of each food item was converted to a daily intake. Portion sizes of consumed foods were converted to grams using measuring cups and spoons.</w:t>
      </w:r>
    </w:p>
    <w:p w14:paraId="2098B59B" w14:textId="1401AEFC" w:rsidR="00E24790" w:rsidRDefault="00E24790" w:rsidP="002712E6">
      <w:pPr>
        <w:spacing w:before="240" w:after="240"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The Iranian food composition table (FCT) is incomplete and only provides data on a few nutrients, so we used the United States Department of Agriculture (USDA) FCT to analyze food and beverages for energy and nutrients. Some Iranian food items (e.g., dairy products such as </w:t>
      </w:r>
      <w:proofErr w:type="spellStart"/>
      <w:r w:rsidRPr="00AE1D54">
        <w:rPr>
          <w:rFonts w:asciiTheme="majorHAnsi" w:hAnsiTheme="majorHAnsi" w:cstheme="majorHAnsi"/>
          <w:color w:val="000000" w:themeColor="text1"/>
          <w:sz w:val="24"/>
          <w:szCs w:val="24"/>
        </w:rPr>
        <w:t>kashk</w:t>
      </w:r>
      <w:proofErr w:type="spellEnd"/>
      <w:r w:rsidRPr="00AE1D54">
        <w:rPr>
          <w:rFonts w:asciiTheme="majorHAnsi" w:hAnsiTheme="majorHAnsi" w:cstheme="majorHAnsi"/>
          <w:color w:val="000000" w:themeColor="text1"/>
          <w:sz w:val="24"/>
          <w:szCs w:val="24"/>
        </w:rPr>
        <w:t xml:space="preserve">) were not included in the USDA FCT, so we used the Iranian FCT. For mixed items (e.g., pizza), nutrients were estimated based on described basic ingredients and usual restaurant recipes </w:t>
      </w:r>
      <w:sdt>
        <w:sdtPr>
          <w:rPr>
            <w:rFonts w:asciiTheme="majorHAnsi" w:hAnsiTheme="majorHAnsi" w:cstheme="majorHAnsi"/>
            <w:color w:val="000000"/>
            <w:sz w:val="24"/>
            <w:szCs w:val="24"/>
            <w:vertAlign w:val="superscript"/>
          </w:rPr>
          <w:tag w:val="MENDELEY_CITATION_v3_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"/>
          <w:id w:val="-1836218018"/>
          <w:placeholder>
            <w:docPart w:val="08D23A0B0AE545CFA5F4F009173B72E9"/>
          </w:placeholder>
        </w:sdtPr>
        <w:sdtEndPr>
          <w:rPr>
            <w:sz w:val="22"/>
            <w:szCs w:val="22"/>
          </w:rPr>
        </w:sdtEndPr>
        <w:sdtContent>
          <w:r w:rsidR="0089281A" w:rsidRPr="0089281A">
            <w:rPr>
              <w:rFonts w:asciiTheme="majorHAnsi" w:hAnsiTheme="majorHAnsi" w:cstheme="majorHAnsi"/>
              <w:color w:val="000000"/>
              <w:vertAlign w:val="superscript"/>
            </w:rPr>
            <w:t>6</w:t>
          </w:r>
        </w:sdtContent>
      </w:sdt>
      <w:sdt>
        <w:sdtPr>
          <w:rPr>
            <w:rFonts w:asciiTheme="majorHAnsi" w:hAnsiTheme="majorHAnsi" w:cstheme="majorHAnsi"/>
            <w:color w:val="000000"/>
            <w:vertAlign w:val="superscript"/>
          </w:rPr>
          <w:tag w:val="MENDELEY_CITATION_v3_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"/>
          <w:id w:val="-1306088239"/>
          <w:placeholder>
            <w:docPart w:val="08D23A0B0AE545CFA5F4F009173B72E9"/>
          </w:placeholder>
        </w:sdtPr>
        <w:sdtEndPr/>
        <w:sdtContent>
          <w:r w:rsidR="0089281A" w:rsidRPr="0089281A">
            <w:rPr>
              <w:rFonts w:asciiTheme="majorHAnsi" w:hAnsiTheme="majorHAnsi" w:cstheme="majorHAnsi"/>
              <w:color w:val="000000"/>
              <w:vertAlign w:val="superscript"/>
            </w:rPr>
            <w:t>7</w:t>
          </w:r>
        </w:sdtContent>
      </w:sdt>
      <w:r w:rsidRPr="00AE1D54">
        <w:rPr>
          <w:rFonts w:asciiTheme="majorHAnsi" w:hAnsiTheme="majorHAnsi" w:cstheme="majorHAnsi"/>
          <w:color w:val="000000" w:themeColor="text1"/>
          <w:sz w:val="24"/>
          <w:szCs w:val="24"/>
        </w:rPr>
        <w:t>.</w:t>
      </w:r>
    </w:p>
    <w:p w14:paraId="1D7BBB86" w14:textId="77777777" w:rsidR="00E24790" w:rsidRDefault="00E24790" w:rsidP="00922D9D">
      <w:pPr>
        <w:pStyle w:val="Heading2"/>
      </w:pPr>
      <w:bookmarkStart w:id="35" w:name="_Toc119834432"/>
      <w:r w:rsidRPr="008619A3">
        <w:lastRenderedPageBreak/>
        <w:t>The</w:t>
      </w:r>
      <w:r>
        <w:t xml:space="preserve"> </w:t>
      </w:r>
      <w:r w:rsidRPr="008619A3">
        <w:t>health-related quality of life (</w:t>
      </w:r>
      <w:proofErr w:type="spellStart"/>
      <w:r w:rsidRPr="008619A3">
        <w:t>HRQoL</w:t>
      </w:r>
      <w:proofErr w:type="spellEnd"/>
      <w:r>
        <w:t>)</w:t>
      </w:r>
      <w:bookmarkEnd w:id="35"/>
    </w:p>
    <w:p w14:paraId="2ED5D0B5" w14:textId="77777777" w:rsidR="00E24790" w:rsidRPr="00B35F9A" w:rsidRDefault="00E24790" w:rsidP="00B35F9A"/>
    <w:p w14:paraId="5BB47F1A" w14:textId="6F65BC88" w:rsidR="00E24790" w:rsidRPr="00B35F9A" w:rsidRDefault="00E24790" w:rsidP="004F0D59">
      <w:pPr>
        <w:spacing w:line="480" w:lineRule="auto"/>
        <w:jc w:val="both"/>
        <w:rPr>
          <w:rFonts w:asciiTheme="majorHAnsi" w:hAnsiTheme="majorHAnsi" w:cstheme="majorHAnsi"/>
          <w:color w:val="000000" w:themeColor="text1"/>
          <w:sz w:val="24"/>
          <w:szCs w:val="24"/>
        </w:rPr>
      </w:pPr>
      <w:r w:rsidRPr="00B35F9A">
        <w:rPr>
          <w:rFonts w:asciiTheme="majorHAnsi" w:hAnsiTheme="majorHAnsi" w:cstheme="majorHAnsi"/>
          <w:color w:val="000000" w:themeColor="text1"/>
          <w:sz w:val="24"/>
          <w:szCs w:val="24"/>
        </w:rPr>
        <w:t>The health-related quality of life (</w:t>
      </w:r>
      <w:proofErr w:type="spellStart"/>
      <w:r w:rsidRPr="00B35F9A">
        <w:rPr>
          <w:rFonts w:asciiTheme="majorHAnsi" w:hAnsiTheme="majorHAnsi" w:cstheme="majorHAnsi"/>
          <w:color w:val="000000" w:themeColor="text1"/>
          <w:sz w:val="24"/>
          <w:szCs w:val="24"/>
        </w:rPr>
        <w:t>HRQoL</w:t>
      </w:r>
      <w:proofErr w:type="spellEnd"/>
      <w:r w:rsidRPr="00B35F9A">
        <w:rPr>
          <w:rFonts w:asciiTheme="majorHAnsi" w:hAnsiTheme="majorHAnsi" w:cstheme="majorHAnsi"/>
          <w:color w:val="000000" w:themeColor="text1"/>
          <w:sz w:val="24"/>
          <w:szCs w:val="24"/>
        </w:rPr>
        <w:t xml:space="preserve">) questionnaires </w:t>
      </w:r>
      <w:proofErr w:type="gramStart"/>
      <w:r w:rsidRPr="00B35F9A">
        <w:rPr>
          <w:rFonts w:asciiTheme="majorHAnsi" w:hAnsiTheme="majorHAnsi" w:cstheme="majorHAnsi"/>
          <w:color w:val="000000" w:themeColor="text1"/>
          <w:sz w:val="24"/>
          <w:szCs w:val="24"/>
        </w:rPr>
        <w:t>assess</w:t>
      </w:r>
      <w:proofErr w:type="gramEnd"/>
      <w:r w:rsidRPr="00B35F9A">
        <w:rPr>
          <w:rFonts w:asciiTheme="majorHAnsi" w:hAnsiTheme="majorHAnsi" w:cstheme="majorHAnsi"/>
          <w:color w:val="000000" w:themeColor="text1"/>
          <w:sz w:val="24"/>
          <w:szCs w:val="24"/>
        </w:rPr>
        <w:t xml:space="preserve"> </w:t>
      </w:r>
      <w:r>
        <w:rPr>
          <w:rFonts w:asciiTheme="majorHAnsi" w:hAnsiTheme="majorHAnsi" w:cstheme="majorHAnsi"/>
          <w:color w:val="000000" w:themeColor="text1"/>
          <w:sz w:val="24"/>
          <w:szCs w:val="24"/>
        </w:rPr>
        <w:t>individuals' perception</w:t>
      </w:r>
      <w:r w:rsidRPr="00B35F9A">
        <w:rPr>
          <w:rFonts w:asciiTheme="majorHAnsi" w:hAnsiTheme="majorHAnsi" w:cstheme="majorHAnsi"/>
          <w:color w:val="000000" w:themeColor="text1"/>
          <w:sz w:val="24"/>
          <w:szCs w:val="24"/>
        </w:rPr>
        <w:t xml:space="preserve">s regarding different aspects of their health status. For adults, </w:t>
      </w:r>
      <w:proofErr w:type="spellStart"/>
      <w:r w:rsidRPr="00B35F9A">
        <w:rPr>
          <w:rFonts w:asciiTheme="majorHAnsi" w:hAnsiTheme="majorHAnsi" w:cstheme="majorHAnsi"/>
          <w:color w:val="000000" w:themeColor="text1"/>
          <w:sz w:val="24"/>
          <w:szCs w:val="24"/>
        </w:rPr>
        <w:t>HRQoL</w:t>
      </w:r>
      <w:proofErr w:type="spellEnd"/>
      <w:r w:rsidRPr="00B35F9A">
        <w:rPr>
          <w:rFonts w:asciiTheme="majorHAnsi" w:hAnsiTheme="majorHAnsi" w:cstheme="majorHAnsi"/>
          <w:color w:val="000000" w:themeColor="text1"/>
          <w:sz w:val="24"/>
          <w:szCs w:val="24"/>
        </w:rPr>
        <w:t xml:space="preserve"> information was collected using a reliable and validated Iranian version of the short-form 12-item health survey version 2 (SF-12v2)</w:t>
      </w:r>
      <w:sdt>
        <w:sdtPr>
          <w:rPr>
            <w:rFonts w:asciiTheme="majorHAnsi" w:hAnsiTheme="majorHAnsi" w:cstheme="majorHAnsi"/>
            <w:color w:val="000000"/>
            <w:sz w:val="24"/>
            <w:szCs w:val="24"/>
            <w:vertAlign w:val="superscript"/>
          </w:rPr>
          <w:tag w:val="MENDELEY_CITATION_v3_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"/>
          <w:id w:val="1154020284"/>
          <w:placeholder>
            <w:docPart w:val="DefaultPlaceholder_-1854013440"/>
          </w:placeholder>
        </w:sdtPr>
        <w:sdtEndPr>
          <w:rPr>
            <w:rFonts w:ascii="Calibri" w:hAnsi="Calibri" w:cs="Calibri"/>
            <w:sz w:val="22"/>
            <w:szCs w:val="22"/>
          </w:rPr>
        </w:sdtEndPr>
        <w:sdtContent>
          <w:r w:rsidR="0089281A" w:rsidRPr="0089281A">
            <w:rPr>
              <w:color w:val="000000"/>
              <w:vertAlign w:val="superscript"/>
            </w:rPr>
            <w:t>8</w:t>
          </w:r>
        </w:sdtContent>
      </w:sdt>
      <w:r w:rsidRPr="00B35F9A">
        <w:rPr>
          <w:rFonts w:asciiTheme="majorHAnsi" w:hAnsiTheme="majorHAnsi" w:cstheme="majorHAnsi"/>
          <w:color w:val="000000" w:themeColor="text1"/>
          <w:sz w:val="24"/>
          <w:szCs w:val="24"/>
        </w:rPr>
        <w:t>. The SF-12v2 consist of 12 items and eight subscales</w:t>
      </w:r>
      <w:r>
        <w:rPr>
          <w:rFonts w:asciiTheme="majorHAnsi" w:hAnsiTheme="majorHAnsi" w:cstheme="majorHAnsi"/>
          <w:color w:val="000000" w:themeColor="text1"/>
          <w:sz w:val="24"/>
          <w:szCs w:val="24"/>
        </w:rPr>
        <w:t>,</w:t>
      </w:r>
      <w:r w:rsidRPr="00B35F9A">
        <w:rPr>
          <w:rFonts w:asciiTheme="majorHAnsi" w:hAnsiTheme="majorHAnsi" w:cstheme="majorHAnsi"/>
          <w:color w:val="000000" w:themeColor="text1"/>
          <w:sz w:val="24"/>
          <w:szCs w:val="24"/>
        </w:rPr>
        <w:t xml:space="preserve"> including physical functioning (2 items), role physical (2 items), bodily pain (1 item), general health (1 item), vitality (1 item), social functioning (1 item), role emotional (2 items), and mental health (2 items). The subscale scores range from 0 to 100, and a higher score indicates a better </w:t>
      </w:r>
      <w:r>
        <w:rPr>
          <w:rFonts w:asciiTheme="majorHAnsi" w:hAnsiTheme="majorHAnsi" w:cstheme="majorHAnsi"/>
          <w:color w:val="000000" w:themeColor="text1"/>
          <w:sz w:val="24"/>
          <w:szCs w:val="24"/>
        </w:rPr>
        <w:t>health condition</w:t>
      </w:r>
      <w:r w:rsidRPr="00B35F9A">
        <w:rPr>
          <w:rFonts w:asciiTheme="majorHAnsi" w:hAnsiTheme="majorHAnsi" w:cstheme="majorHAnsi"/>
          <w:color w:val="000000" w:themeColor="text1"/>
          <w:sz w:val="24"/>
          <w:szCs w:val="24"/>
        </w:rPr>
        <w:t xml:space="preserve"> </w:t>
      </w:r>
      <w:sdt>
        <w:sdtPr>
          <w:rPr>
            <w:rFonts w:asciiTheme="majorHAnsi" w:hAnsiTheme="majorHAnsi" w:cstheme="majorHAnsi"/>
            <w:color w:val="000000"/>
            <w:sz w:val="24"/>
            <w:szCs w:val="24"/>
            <w:vertAlign w:val="superscript"/>
          </w:rPr>
          <w:tag w:val="MENDELEY_CITATION_v3_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"/>
          <w:id w:val="-360749893"/>
          <w:placeholder>
            <w:docPart w:val="DefaultPlaceholder_-1854013440"/>
          </w:placeholder>
        </w:sdtPr>
        <w:sdtEndPr>
          <w:rPr>
            <w:rFonts w:ascii="Calibri" w:hAnsi="Calibri" w:cs="Calibri"/>
            <w:sz w:val="22"/>
            <w:szCs w:val="22"/>
          </w:rPr>
        </w:sdtEndPr>
        <w:sdtContent>
          <w:r w:rsidR="0089281A" w:rsidRPr="0089281A">
            <w:rPr>
              <w:color w:val="000000"/>
              <w:vertAlign w:val="superscript"/>
            </w:rPr>
            <w:t>9</w:t>
          </w:r>
        </w:sdtContent>
      </w:sdt>
      <w:r w:rsidRPr="00B35F9A">
        <w:rPr>
          <w:rFonts w:asciiTheme="majorHAnsi" w:hAnsiTheme="majorHAnsi" w:cstheme="majorHAnsi"/>
          <w:color w:val="000000" w:themeColor="text1"/>
          <w:sz w:val="24"/>
          <w:szCs w:val="24"/>
        </w:rPr>
        <w:t>.</w:t>
      </w:r>
    </w:p>
    <w:p w14:paraId="367CEFFF" w14:textId="4D9E5DD1" w:rsidR="00E24790" w:rsidRPr="00B35F9A" w:rsidRDefault="00E24790" w:rsidP="004F0D59">
      <w:pPr>
        <w:spacing w:line="480" w:lineRule="auto"/>
        <w:jc w:val="both"/>
        <w:rPr>
          <w:rFonts w:asciiTheme="majorHAnsi" w:hAnsiTheme="majorHAnsi" w:cstheme="majorHAnsi"/>
          <w:color w:val="000000" w:themeColor="text1"/>
          <w:sz w:val="24"/>
          <w:szCs w:val="24"/>
        </w:rPr>
      </w:pPr>
      <w:r w:rsidRPr="00B35F9A">
        <w:rPr>
          <w:rFonts w:asciiTheme="majorHAnsi" w:hAnsiTheme="majorHAnsi" w:cstheme="majorHAnsi"/>
          <w:color w:val="000000" w:themeColor="text1"/>
          <w:sz w:val="24"/>
          <w:szCs w:val="24"/>
        </w:rPr>
        <w:t xml:space="preserve">The Iranian version of the short-form of Keyes social well-being questionnaire was used to assess social well-being in adults </w:t>
      </w:r>
      <w:sdt>
        <w:sdtPr>
          <w:rPr>
            <w:rFonts w:asciiTheme="majorHAnsi" w:hAnsiTheme="majorHAnsi" w:cstheme="majorHAnsi"/>
            <w:color w:val="000000"/>
            <w:sz w:val="24"/>
            <w:szCs w:val="24"/>
            <w:vertAlign w:val="superscript"/>
          </w:rPr>
          <w:tag w:val="MENDELEY_CITATION_v3_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"/>
          <w:id w:val="1988277668"/>
          <w:placeholder>
            <w:docPart w:val="DefaultPlaceholder_-1854013440"/>
          </w:placeholder>
        </w:sdtPr>
        <w:sdtEndPr>
          <w:rPr>
            <w:rFonts w:ascii="Calibri" w:hAnsi="Calibri" w:cs="Calibri"/>
            <w:sz w:val="22"/>
            <w:szCs w:val="22"/>
          </w:rPr>
        </w:sdtEndPr>
        <w:sdtContent>
          <w:r w:rsidR="0089281A" w:rsidRPr="0089281A">
            <w:rPr>
              <w:color w:val="000000"/>
              <w:vertAlign w:val="superscript"/>
            </w:rPr>
            <w:t>10</w:t>
          </w:r>
        </w:sdtContent>
      </w:sdt>
      <w:r w:rsidRPr="00B35F9A">
        <w:rPr>
          <w:rFonts w:asciiTheme="majorHAnsi" w:hAnsiTheme="majorHAnsi" w:cstheme="majorHAnsi"/>
          <w:color w:val="000000" w:themeColor="text1"/>
          <w:sz w:val="24"/>
          <w:szCs w:val="24"/>
        </w:rPr>
        <w:t>. This questionnaire has been developed by Keyes and encompasses 15 items and five dimensions</w:t>
      </w:r>
      <w:r>
        <w:rPr>
          <w:rFonts w:asciiTheme="majorHAnsi" w:hAnsiTheme="majorHAnsi" w:cstheme="majorHAnsi"/>
          <w:color w:val="000000" w:themeColor="text1"/>
          <w:sz w:val="24"/>
          <w:szCs w:val="24"/>
        </w:rPr>
        <w:t>,</w:t>
      </w:r>
      <w:r w:rsidRPr="00B35F9A">
        <w:rPr>
          <w:rFonts w:asciiTheme="majorHAnsi" w:hAnsiTheme="majorHAnsi" w:cstheme="majorHAnsi"/>
          <w:color w:val="000000" w:themeColor="text1"/>
          <w:sz w:val="24"/>
          <w:szCs w:val="24"/>
        </w:rPr>
        <w:t xml:space="preserve"> including social integration (3 items), social acceptance (3 items), social coherence (3 items), social contribution (3 items), and social actualization (3 items). The answering choices ranged from 1=Agree strongly to 7= Disagree strongly for each question. The subscale scores range from 0 to 15</w:t>
      </w:r>
      <w:r>
        <w:rPr>
          <w:rFonts w:asciiTheme="majorHAnsi" w:hAnsiTheme="majorHAnsi" w:cstheme="majorHAnsi"/>
          <w:color w:val="000000" w:themeColor="text1"/>
          <w:sz w:val="24"/>
          <w:szCs w:val="24"/>
        </w:rPr>
        <w:t>,</w:t>
      </w:r>
      <w:r w:rsidRPr="00B35F9A">
        <w:rPr>
          <w:rFonts w:asciiTheme="majorHAnsi" w:hAnsiTheme="majorHAnsi" w:cstheme="majorHAnsi"/>
          <w:color w:val="000000" w:themeColor="text1"/>
          <w:sz w:val="24"/>
          <w:szCs w:val="24"/>
        </w:rPr>
        <w:t xml:space="preserve"> and a higher score shows better social well-being </w:t>
      </w:r>
      <w:sdt>
        <w:sdtPr>
          <w:rPr>
            <w:rFonts w:asciiTheme="majorHAnsi" w:hAnsiTheme="majorHAnsi" w:cstheme="majorHAnsi"/>
            <w:color w:val="000000"/>
            <w:sz w:val="24"/>
            <w:szCs w:val="24"/>
            <w:vertAlign w:val="superscript"/>
          </w:rPr>
          <w:tag w:val="MENDELEY_CITATION_v3_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"/>
          <w:id w:val="-1074896622"/>
          <w:placeholder>
            <w:docPart w:val="DefaultPlaceholder_-1854013440"/>
          </w:placeholder>
        </w:sdtPr>
        <w:sdtEndPr>
          <w:rPr>
            <w:rFonts w:ascii="Calibri" w:hAnsi="Calibri" w:cs="Calibri"/>
            <w:sz w:val="22"/>
            <w:szCs w:val="22"/>
          </w:rPr>
        </w:sdtEndPr>
        <w:sdtContent>
          <w:r w:rsidR="0089281A" w:rsidRPr="0089281A">
            <w:rPr>
              <w:color w:val="000000"/>
              <w:vertAlign w:val="superscript"/>
            </w:rPr>
            <w:t>11</w:t>
          </w:r>
        </w:sdtContent>
      </w:sdt>
      <w:r w:rsidRPr="00B35F9A">
        <w:rPr>
          <w:rFonts w:asciiTheme="majorHAnsi" w:hAnsiTheme="majorHAnsi" w:cstheme="majorHAnsi"/>
          <w:color w:val="000000" w:themeColor="text1"/>
          <w:sz w:val="24"/>
          <w:szCs w:val="24"/>
        </w:rPr>
        <w:t xml:space="preserve">. </w:t>
      </w:r>
    </w:p>
    <w:p w14:paraId="720FE486" w14:textId="5B42C884" w:rsidR="00E24790" w:rsidRPr="00B35F9A" w:rsidRDefault="00E24790" w:rsidP="004F0D59">
      <w:pPr>
        <w:spacing w:line="480" w:lineRule="auto"/>
        <w:jc w:val="both"/>
        <w:rPr>
          <w:rFonts w:asciiTheme="majorHAnsi" w:hAnsiTheme="majorHAnsi" w:cstheme="majorHAnsi"/>
          <w:color w:val="000000" w:themeColor="text1"/>
          <w:sz w:val="24"/>
          <w:szCs w:val="24"/>
        </w:rPr>
      </w:pPr>
      <w:r w:rsidRPr="00B35F9A">
        <w:rPr>
          <w:rFonts w:asciiTheme="majorHAnsi" w:hAnsiTheme="majorHAnsi" w:cstheme="majorHAnsi"/>
          <w:color w:val="000000" w:themeColor="text1"/>
          <w:sz w:val="24"/>
          <w:szCs w:val="24"/>
        </w:rPr>
        <w:t>The Spiritual health inventory in Muslim adults (SHIMA-48) was used to assess spiritual health in adult participants. It contains 48 items and two components</w:t>
      </w:r>
      <w:r>
        <w:rPr>
          <w:rFonts w:asciiTheme="majorHAnsi" w:hAnsiTheme="majorHAnsi" w:cstheme="majorHAnsi"/>
          <w:color w:val="000000" w:themeColor="text1"/>
          <w:sz w:val="24"/>
          <w:szCs w:val="24"/>
        </w:rPr>
        <w:t>,</w:t>
      </w:r>
      <w:r w:rsidRPr="00B35F9A">
        <w:rPr>
          <w:rFonts w:asciiTheme="majorHAnsi" w:hAnsiTheme="majorHAnsi" w:cstheme="majorHAnsi"/>
          <w:color w:val="000000" w:themeColor="text1"/>
          <w:sz w:val="24"/>
          <w:szCs w:val="24"/>
        </w:rPr>
        <w:t xml:space="preserve"> entitled cognitive-emotional and behavioral. The items were rated on a 5-point Likert scale anchored at 1 to 5 (</w:t>
      </w:r>
      <w:r w:rsidR="002F5481">
        <w:rPr>
          <w:rFonts w:asciiTheme="majorHAnsi" w:hAnsiTheme="majorHAnsi" w:cstheme="majorHAnsi"/>
          <w:color w:val="000000" w:themeColor="text1"/>
          <w:sz w:val="24"/>
          <w:szCs w:val="24"/>
        </w:rPr>
        <w:t>"</w:t>
      </w:r>
      <w:r w:rsidRPr="00B35F9A">
        <w:rPr>
          <w:rFonts w:asciiTheme="majorHAnsi" w:hAnsiTheme="majorHAnsi" w:cstheme="majorHAnsi"/>
          <w:color w:val="000000" w:themeColor="text1"/>
          <w:sz w:val="24"/>
          <w:szCs w:val="24"/>
        </w:rPr>
        <w:t>1= Strongly disagree to 5= Strongly agree for insight and tendency</w:t>
      </w:r>
      <w:r w:rsidR="002F5481">
        <w:rPr>
          <w:rFonts w:asciiTheme="majorHAnsi" w:hAnsiTheme="majorHAnsi" w:cstheme="majorHAnsi"/>
          <w:color w:val="000000" w:themeColor="text1"/>
          <w:sz w:val="24"/>
          <w:szCs w:val="24"/>
        </w:rPr>
        <w:t>"</w:t>
      </w:r>
      <w:r w:rsidRPr="00B35F9A">
        <w:rPr>
          <w:rFonts w:asciiTheme="majorHAnsi" w:hAnsiTheme="majorHAnsi" w:cstheme="majorHAnsi"/>
          <w:color w:val="000000" w:themeColor="text1"/>
          <w:sz w:val="24"/>
          <w:szCs w:val="24"/>
        </w:rPr>
        <w:t xml:space="preserve"> subscales, and </w:t>
      </w:r>
      <w:r w:rsidR="002F5481">
        <w:rPr>
          <w:rFonts w:asciiTheme="majorHAnsi" w:hAnsiTheme="majorHAnsi" w:cstheme="majorHAnsi"/>
          <w:color w:val="000000" w:themeColor="text1"/>
          <w:sz w:val="24"/>
          <w:szCs w:val="24"/>
        </w:rPr>
        <w:t>"</w:t>
      </w:r>
      <w:r w:rsidRPr="00B35F9A">
        <w:rPr>
          <w:rFonts w:asciiTheme="majorHAnsi" w:hAnsiTheme="majorHAnsi" w:cstheme="majorHAnsi"/>
          <w:color w:val="000000" w:themeColor="text1"/>
          <w:sz w:val="24"/>
          <w:szCs w:val="24"/>
        </w:rPr>
        <w:t>1= Always to 5= Never</w:t>
      </w:r>
      <w:r w:rsidR="002F5481">
        <w:rPr>
          <w:rFonts w:asciiTheme="majorHAnsi" w:hAnsiTheme="majorHAnsi" w:cstheme="majorHAnsi"/>
          <w:color w:val="000000" w:themeColor="text1"/>
          <w:sz w:val="24"/>
          <w:szCs w:val="24"/>
        </w:rPr>
        <w:t>"</w:t>
      </w:r>
      <w:r w:rsidRPr="00B35F9A">
        <w:rPr>
          <w:rFonts w:asciiTheme="majorHAnsi" w:hAnsiTheme="majorHAnsi" w:cstheme="majorHAnsi"/>
          <w:color w:val="000000" w:themeColor="text1"/>
          <w:sz w:val="24"/>
          <w:szCs w:val="24"/>
        </w:rPr>
        <w:t xml:space="preserve"> </w:t>
      </w:r>
      <w:r w:rsidRPr="00B35F9A">
        <w:rPr>
          <w:rFonts w:asciiTheme="majorHAnsi" w:hAnsiTheme="majorHAnsi" w:cstheme="majorHAnsi"/>
          <w:color w:val="000000" w:themeColor="text1"/>
          <w:sz w:val="24"/>
          <w:szCs w:val="24"/>
        </w:rPr>
        <w:lastRenderedPageBreak/>
        <w:t>for behavioral subscale). The scores ranged from 0 to 100, with higher scores indicating better spiritual health</w:t>
      </w:r>
      <w:sdt>
        <w:sdtPr>
          <w:rPr>
            <w:rFonts w:asciiTheme="majorHAnsi" w:hAnsiTheme="majorHAnsi" w:cstheme="majorHAnsi"/>
            <w:color w:val="000000"/>
            <w:sz w:val="24"/>
            <w:szCs w:val="24"/>
            <w:vertAlign w:val="superscript"/>
          </w:rPr>
          <w:tag w:val="MENDELEY_CITATION_v3_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"/>
          <w:id w:val="418367756"/>
          <w:placeholder>
            <w:docPart w:val="DefaultPlaceholder_-1854013440"/>
          </w:placeholder>
        </w:sdtPr>
        <w:sdtEndPr>
          <w:rPr>
            <w:rFonts w:ascii="Calibri" w:hAnsi="Calibri" w:cs="Calibri"/>
            <w:sz w:val="22"/>
            <w:szCs w:val="22"/>
          </w:rPr>
        </w:sdtEndPr>
        <w:sdtContent>
          <w:r w:rsidR="0089281A" w:rsidRPr="0089281A">
            <w:rPr>
              <w:color w:val="000000"/>
              <w:vertAlign w:val="superscript"/>
            </w:rPr>
            <w:t>12</w:t>
          </w:r>
        </w:sdtContent>
      </w:sdt>
      <w:r w:rsidRPr="00B35F9A">
        <w:rPr>
          <w:rFonts w:asciiTheme="majorHAnsi" w:hAnsiTheme="majorHAnsi" w:cstheme="majorHAnsi"/>
          <w:color w:val="000000" w:themeColor="text1"/>
          <w:sz w:val="24"/>
          <w:szCs w:val="24"/>
        </w:rPr>
        <w:t>.</w:t>
      </w:r>
    </w:p>
    <w:p w14:paraId="66BECF2E" w14:textId="77777777" w:rsidR="00E24790" w:rsidRPr="00AE1D54" w:rsidRDefault="00E24790" w:rsidP="006F6325">
      <w:pPr>
        <w:pStyle w:val="Heading1"/>
        <w:rPr>
          <w:rFonts w:asciiTheme="majorHAnsi" w:hAnsiTheme="majorHAnsi" w:cstheme="majorHAnsi"/>
          <w:color w:val="000000" w:themeColor="text1"/>
        </w:rPr>
      </w:pPr>
      <w:bookmarkStart w:id="36" w:name="_heading=h.ua4s08nuac85" w:colFirst="0" w:colLast="0"/>
      <w:bookmarkStart w:id="37" w:name="_Toc119834433"/>
      <w:bookmarkEnd w:id="36"/>
      <w:r w:rsidRPr="00AE1D54">
        <w:rPr>
          <w:rFonts w:asciiTheme="majorHAnsi" w:hAnsiTheme="majorHAnsi" w:cstheme="majorHAnsi"/>
          <w:color w:val="000000" w:themeColor="text1"/>
        </w:rPr>
        <w:t>Medical complication</w:t>
      </w:r>
      <w:bookmarkEnd w:id="37"/>
    </w:p>
    <w:p w14:paraId="411F0422" w14:textId="77777777" w:rsidR="00E24790" w:rsidRPr="00AE1D54" w:rsidRDefault="00E24790" w:rsidP="00922D9D">
      <w:pPr>
        <w:pStyle w:val="Heading2"/>
      </w:pPr>
      <w:bookmarkStart w:id="38" w:name="_heading=h.wyf6ge70lv27" w:colFirst="0" w:colLast="0"/>
      <w:bookmarkStart w:id="39" w:name="_Toc119834434"/>
      <w:bookmarkEnd w:id="38"/>
      <w:r w:rsidRPr="00AE1D54">
        <w:t>Self-reports</w:t>
      </w:r>
      <w:bookmarkEnd w:id="39"/>
    </w:p>
    <w:p w14:paraId="5DEE5FD2" w14:textId="583C19E4" w:rsidR="00E24790" w:rsidRPr="00AE1D54" w:rsidRDefault="00E24790" w:rsidP="00492008">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Trained general physician</w:t>
      </w:r>
      <w:r w:rsidR="00E85C53">
        <w:rPr>
          <w:rFonts w:asciiTheme="majorHAnsi" w:hAnsiTheme="majorHAnsi" w:cstheme="majorHAnsi"/>
          <w:color w:val="000000" w:themeColor="text1"/>
          <w:sz w:val="24"/>
          <w:szCs w:val="24"/>
        </w:rPr>
        <w:t>s</w:t>
      </w:r>
      <w:r w:rsidRPr="00AE1D54">
        <w:rPr>
          <w:rFonts w:asciiTheme="majorHAnsi" w:hAnsiTheme="majorHAnsi" w:cstheme="majorHAnsi"/>
          <w:color w:val="000000" w:themeColor="text1"/>
          <w:sz w:val="24"/>
          <w:szCs w:val="24"/>
        </w:rPr>
        <w:t xml:space="preserve"> visited participants in person and asked them three main questions during the verbal interview in their native language (Persian): 1-concerning their current chief complaint, 2. about any hospitalizations in their lifetimes</w:t>
      </w:r>
      <w:r>
        <w:rPr>
          <w:rFonts w:asciiTheme="majorHAnsi" w:hAnsiTheme="majorHAnsi" w:cstheme="majorHAnsi"/>
          <w:color w:val="000000" w:themeColor="text1"/>
          <w:sz w:val="24"/>
          <w:szCs w:val="24"/>
        </w:rPr>
        <w:t>,</w:t>
      </w:r>
      <w:r w:rsidRPr="00AE1D54">
        <w:rPr>
          <w:rFonts w:asciiTheme="majorHAnsi" w:hAnsiTheme="majorHAnsi" w:cstheme="majorHAnsi"/>
          <w:color w:val="000000" w:themeColor="text1"/>
          <w:sz w:val="24"/>
          <w:szCs w:val="24"/>
        </w:rPr>
        <w:t xml:space="preserve"> and 3. about any hospitalizations in the last three months. In response, participants explained their past medical, surgical, drug, habitual, and family history. All information based on the patient's statements in Persian is gathered in a text file. </w:t>
      </w:r>
    </w:p>
    <w:p w14:paraId="1CDEE278" w14:textId="77777777" w:rsidR="00E24790" w:rsidRPr="00AE1D54" w:rsidRDefault="00E24790" w:rsidP="00922D9D">
      <w:pPr>
        <w:pStyle w:val="Heading2"/>
      </w:pPr>
      <w:bookmarkStart w:id="40" w:name="_Toc119834435"/>
      <w:r w:rsidRPr="00AE1D54">
        <w:t>Hospitalization</w:t>
      </w:r>
      <w:bookmarkEnd w:id="40"/>
    </w:p>
    <w:p w14:paraId="2DA2CDA4" w14:textId="200CFABF" w:rsidR="00E24790" w:rsidRPr="00AE1D54" w:rsidRDefault="00E24790" w:rsidP="008C47A4">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If any hospitalization occurred for participants, a follow-up questionnaire was filled </w:t>
      </w:r>
      <w:r w:rsidR="00B34E56">
        <w:rPr>
          <w:rFonts w:asciiTheme="majorHAnsi" w:hAnsiTheme="majorHAnsi" w:cstheme="majorHAnsi"/>
          <w:color w:val="000000" w:themeColor="text1"/>
          <w:sz w:val="24"/>
          <w:szCs w:val="24"/>
        </w:rPr>
        <w:t xml:space="preserve">out </w:t>
      </w:r>
      <w:r w:rsidRPr="00AE1D54">
        <w:rPr>
          <w:rFonts w:asciiTheme="majorHAnsi" w:hAnsiTheme="majorHAnsi" w:cstheme="majorHAnsi"/>
          <w:color w:val="000000" w:themeColor="text1"/>
          <w:sz w:val="24"/>
          <w:szCs w:val="24"/>
        </w:rPr>
        <w:t xml:space="preserve">to record any symptoms during hospitalization. Every participant was followed up for any medical event during the prior year by telephone call. They were asked for any medical conditions from a trained nurse, and if a related event had occurred, a trained physician collected complementary data during a home visit. If necessary, the physician visited the respected hospital and collected medical files. In the case of mortality, a local physician collected data from hospitals or death certificates. An outcome committee of related specialists labeled the disease for the participants who experienced hospitalization during their participation in their parents' study. This committee </w:t>
      </w:r>
      <w:r w:rsidRPr="00AE1D54">
        <w:rPr>
          <w:rFonts w:asciiTheme="majorHAnsi" w:hAnsiTheme="majorHAnsi" w:cstheme="majorHAnsi"/>
          <w:color w:val="000000" w:themeColor="text1"/>
          <w:sz w:val="24"/>
          <w:szCs w:val="24"/>
        </w:rPr>
        <w:lastRenderedPageBreak/>
        <w:t>gathered hospitalization documents and completed a follow-up questionary (Supplementary 1 excel sheet) to evaluate the final diagnosis. Also, all final diagnoses were gathered in a text file.</w:t>
      </w:r>
    </w:p>
    <w:p w14:paraId="59B7E152" w14:textId="77777777" w:rsidR="00E24790" w:rsidRPr="00AE1D54" w:rsidRDefault="00E24790" w:rsidP="00922D9D">
      <w:pPr>
        <w:pStyle w:val="Heading2"/>
      </w:pPr>
      <w:bookmarkStart w:id="41" w:name="_Toc119834436"/>
      <w:r w:rsidRPr="00AE1D54">
        <w:t>ICD 11 coding</w:t>
      </w:r>
      <w:bookmarkEnd w:id="41"/>
      <w:r w:rsidRPr="00AE1D54">
        <w:t xml:space="preserve"> </w:t>
      </w:r>
    </w:p>
    <w:p w14:paraId="7E4BF155" w14:textId="75A040FB" w:rsidR="00E24790" w:rsidRPr="00AE1D54" w:rsidRDefault="00E24790" w:rsidP="007058A6">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We opted to use the International Statistical Classification of Diseases and Related Health Problems (ICD) as a guide to organize all complications and translate them to a worldwide standard language which includes 55000 unique codes for the injuries, diseases, and causes of death in 25 main chapters </w:t>
      </w:r>
      <w:sdt>
        <w:sdtPr>
          <w:rPr>
            <w:rFonts w:asciiTheme="majorHAnsi" w:hAnsiTheme="majorHAnsi" w:cstheme="majorHAnsi"/>
            <w:color w:val="000000"/>
            <w:sz w:val="24"/>
            <w:szCs w:val="24"/>
            <w:vertAlign w:val="superscript"/>
          </w:rPr>
          <w:tag w:val="MENDELEY_CITATION_v3_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"/>
          <w:id w:val="-48774363"/>
          <w:placeholder>
            <w:docPart w:val="08D23A0B0AE545CFA5F4F009173B72E9"/>
          </w:placeholder>
        </w:sdtPr>
        <w:sdtEndPr>
          <w:rPr>
            <w:sz w:val="22"/>
            <w:szCs w:val="22"/>
          </w:rPr>
        </w:sdtEndPr>
        <w:sdtContent>
          <w:r w:rsidR="0089281A" w:rsidRPr="0089281A">
            <w:rPr>
              <w:rFonts w:asciiTheme="majorHAnsi" w:hAnsiTheme="majorHAnsi" w:cstheme="majorHAnsi"/>
              <w:color w:val="000000"/>
              <w:vertAlign w:val="superscript"/>
            </w:rPr>
            <w:t>13</w:t>
          </w:r>
        </w:sdtContent>
      </w:sdt>
    </w:p>
    <w:p w14:paraId="42765552" w14:textId="25D2B8EC" w:rsidR="00E24790" w:rsidRPr="00AE1D54" w:rsidRDefault="00E24790" w:rsidP="00A655F5">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The created text files were comprised of different keywords and sentences, in English or Persian, with some dictation errors, different accents, and some slangy expressions or poor literature. At first, a bioinformatics group breaks down all the sentences in each text file into keywords. Then a group of physicians reviewed the keywords, filtered the medical terms, and translated them </w:t>
      </w:r>
      <w:r w:rsidR="00B34E56">
        <w:rPr>
          <w:rFonts w:asciiTheme="majorHAnsi" w:hAnsiTheme="majorHAnsi" w:cstheme="majorHAnsi"/>
          <w:color w:val="000000" w:themeColor="text1"/>
          <w:sz w:val="24"/>
          <w:szCs w:val="24"/>
        </w:rPr>
        <w:t>in</w:t>
      </w:r>
      <w:r w:rsidRPr="00AE1D54">
        <w:rPr>
          <w:rFonts w:asciiTheme="majorHAnsi" w:hAnsiTheme="majorHAnsi" w:cstheme="majorHAnsi"/>
          <w:color w:val="000000" w:themeColor="text1"/>
          <w:sz w:val="24"/>
          <w:szCs w:val="24"/>
        </w:rPr>
        <w:t xml:space="preserve">to English to create a native local dictionary. Each Persian keyword or phrase with a diagnostic value in the created dictionary is labeled with an ICD11 code. </w:t>
      </w:r>
      <w:proofErr w:type="spellStart"/>
      <w:r w:rsidRPr="00AE1D54">
        <w:rPr>
          <w:rFonts w:asciiTheme="majorHAnsi" w:hAnsiTheme="majorHAnsi" w:cstheme="majorHAnsi"/>
          <w:color w:val="000000" w:themeColor="text1"/>
          <w:sz w:val="24"/>
          <w:szCs w:val="24"/>
        </w:rPr>
        <w:t>Bioinformaticists</w:t>
      </w:r>
      <w:proofErr w:type="spellEnd"/>
      <w:r w:rsidRPr="00AE1D54">
        <w:rPr>
          <w:rFonts w:asciiTheme="majorHAnsi" w:hAnsiTheme="majorHAnsi" w:cstheme="majorHAnsi"/>
          <w:color w:val="000000" w:themeColor="text1"/>
          <w:sz w:val="24"/>
          <w:szCs w:val="24"/>
        </w:rPr>
        <w:t xml:space="preserve"> assigned an ICD-11 code to each complication with in-house python programming. The frequency of each condition was assessed.</w:t>
      </w:r>
    </w:p>
    <w:p w14:paraId="50B405FA" w14:textId="77777777" w:rsidR="00E24790" w:rsidRPr="00AE1D54" w:rsidRDefault="00E24790" w:rsidP="000048A8">
      <w:pPr>
        <w:pStyle w:val="Subtitle"/>
        <w:rPr>
          <w:rFonts w:asciiTheme="majorHAnsi" w:hAnsiTheme="majorHAnsi" w:cstheme="majorHAnsi"/>
          <w:color w:val="000000" w:themeColor="text1"/>
        </w:rPr>
      </w:pPr>
      <w:bookmarkStart w:id="42" w:name="_Toc119834437"/>
      <w:r w:rsidRPr="00AE1D54">
        <w:rPr>
          <w:rFonts w:asciiTheme="majorHAnsi" w:hAnsiTheme="majorHAnsi" w:cstheme="majorHAnsi"/>
          <w:color w:val="000000" w:themeColor="text1"/>
        </w:rPr>
        <w:t>Biobanking</w:t>
      </w:r>
      <w:bookmarkEnd w:id="42"/>
    </w:p>
    <w:p w14:paraId="255623D6" w14:textId="4AB89256" w:rsidR="00E24790" w:rsidRPr="00AE1D54" w:rsidRDefault="00E24790" w:rsidP="002712E6">
      <w:pPr>
        <w:spacing w:after="0" w:line="480" w:lineRule="auto"/>
        <w:ind w:firstLine="720"/>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The concept of designing a genomic bank from TLGS samples was first presented to the endocrine research center (ERC) and the Iranian molecular medicine network. It was funded by FA and MSD [grant number 147] (2004) and [grant number 265] (2008). Funding for the main study began in June 2012 with an agreement between RIES and </w:t>
      </w:r>
      <w:proofErr w:type="spellStart"/>
      <w:r w:rsidRPr="00AE1D54">
        <w:rPr>
          <w:rFonts w:asciiTheme="majorHAnsi" w:hAnsiTheme="majorHAnsi" w:cstheme="majorHAnsi"/>
          <w:color w:val="000000" w:themeColor="text1"/>
          <w:sz w:val="24"/>
          <w:szCs w:val="24"/>
        </w:rPr>
        <w:t>DeCode</w:t>
      </w:r>
      <w:proofErr w:type="spellEnd"/>
      <w:r w:rsidRPr="00AE1D54">
        <w:rPr>
          <w:rFonts w:asciiTheme="majorHAnsi" w:hAnsiTheme="majorHAnsi" w:cstheme="majorHAnsi"/>
          <w:color w:val="000000" w:themeColor="text1"/>
          <w:sz w:val="24"/>
          <w:szCs w:val="24"/>
        </w:rPr>
        <w:t xml:space="preserve"> genetic company </w:t>
      </w:r>
      <w:r w:rsidRPr="00AE1D54">
        <w:rPr>
          <w:rFonts w:asciiTheme="majorHAnsi" w:hAnsiTheme="majorHAnsi" w:cstheme="majorHAnsi"/>
          <w:color w:val="000000" w:themeColor="text1"/>
          <w:sz w:val="24"/>
          <w:szCs w:val="24"/>
        </w:rPr>
        <w:lastRenderedPageBreak/>
        <w:t>(</w:t>
      </w:r>
      <w:proofErr w:type="spellStart"/>
      <w:r w:rsidRPr="00AE1D54">
        <w:rPr>
          <w:rFonts w:asciiTheme="majorHAnsi" w:hAnsiTheme="majorHAnsi" w:cstheme="majorHAnsi"/>
          <w:color w:val="000000" w:themeColor="text1"/>
          <w:sz w:val="24"/>
          <w:szCs w:val="24"/>
        </w:rPr>
        <w:t>Reikjavik</w:t>
      </w:r>
      <w:proofErr w:type="spellEnd"/>
      <w:r w:rsidRPr="00AE1D54">
        <w:rPr>
          <w:rFonts w:asciiTheme="majorHAnsi" w:hAnsiTheme="majorHAnsi" w:cstheme="majorHAnsi"/>
          <w:color w:val="000000" w:themeColor="text1"/>
          <w:sz w:val="24"/>
          <w:szCs w:val="24"/>
        </w:rPr>
        <w:t xml:space="preserve">, Iceland) </w:t>
      </w:r>
      <w:r w:rsidR="00B34E56">
        <w:rPr>
          <w:rFonts w:asciiTheme="majorHAnsi" w:hAnsiTheme="majorHAnsi" w:cstheme="majorHAnsi"/>
          <w:color w:val="000000" w:themeColor="text1"/>
          <w:sz w:val="24"/>
          <w:szCs w:val="24"/>
        </w:rPr>
        <w:t>with</w:t>
      </w:r>
      <w:r w:rsidRPr="00AE1D54">
        <w:rPr>
          <w:rFonts w:asciiTheme="majorHAnsi" w:hAnsiTheme="majorHAnsi" w:cstheme="majorHAnsi"/>
          <w:color w:val="000000" w:themeColor="text1"/>
          <w:sz w:val="24"/>
          <w:szCs w:val="24"/>
        </w:rPr>
        <w:t xml:space="preserve"> FA and MSD as main investigators. In 2008, a project for drawing pedigree</w:t>
      </w:r>
      <w:r w:rsidR="00B34E56">
        <w:rPr>
          <w:rFonts w:asciiTheme="majorHAnsi" w:hAnsiTheme="majorHAnsi" w:cstheme="majorHAnsi"/>
          <w:color w:val="000000" w:themeColor="text1"/>
          <w:sz w:val="24"/>
          <w:szCs w:val="24"/>
        </w:rPr>
        <w:t>s</w:t>
      </w:r>
      <w:r w:rsidRPr="00AE1D54">
        <w:rPr>
          <w:rFonts w:asciiTheme="majorHAnsi" w:hAnsiTheme="majorHAnsi" w:cstheme="majorHAnsi"/>
          <w:color w:val="000000" w:themeColor="text1"/>
          <w:sz w:val="24"/>
          <w:szCs w:val="24"/>
        </w:rPr>
        <w:t xml:space="preserve"> according to their genetic relationship [grant number 321] to MSD and AAM as principal investigators was funded by ERC. The final protocol for the genetic study was written by (FA, MSD, MSF, and DK) </w:t>
      </w:r>
      <w:r w:rsidR="00B34E56">
        <w:rPr>
          <w:rFonts w:asciiTheme="majorHAnsi" w:hAnsiTheme="majorHAnsi" w:cstheme="majorHAnsi"/>
          <w:color w:val="000000" w:themeColor="text1"/>
          <w:sz w:val="24"/>
          <w:szCs w:val="24"/>
        </w:rPr>
        <w:t xml:space="preserve">and </w:t>
      </w:r>
      <w:r w:rsidRPr="00AE1D54">
        <w:rPr>
          <w:rFonts w:asciiTheme="majorHAnsi" w:hAnsiTheme="majorHAnsi" w:cstheme="majorHAnsi"/>
          <w:color w:val="000000" w:themeColor="text1"/>
          <w:sz w:val="24"/>
          <w:szCs w:val="24"/>
        </w:rPr>
        <w:t>submitted to the Ministry of Health and Medical Education (MOHME) in August 2012</w:t>
      </w:r>
      <w:r w:rsidR="00B34E56">
        <w:rPr>
          <w:rFonts w:asciiTheme="majorHAnsi" w:hAnsiTheme="majorHAnsi" w:cstheme="majorHAnsi"/>
          <w:color w:val="000000" w:themeColor="text1"/>
          <w:sz w:val="24"/>
          <w:szCs w:val="24"/>
        </w:rPr>
        <w:t>,</w:t>
      </w:r>
      <w:r w:rsidRPr="00AE1D54">
        <w:rPr>
          <w:rFonts w:asciiTheme="majorHAnsi" w:hAnsiTheme="majorHAnsi" w:cstheme="majorHAnsi"/>
          <w:color w:val="000000" w:themeColor="text1"/>
          <w:sz w:val="24"/>
          <w:szCs w:val="24"/>
        </w:rPr>
        <w:t xml:space="preserve"> and was approved by the National Committee for Ethics in biomedical research in December 2012. Among TLGS, 17495 participants (888 independent persons and the rest family members (3100 family min=3; max=56)) were included in TCGS. </w:t>
      </w:r>
    </w:p>
    <w:p w14:paraId="74A97E50" w14:textId="77777777" w:rsidR="00E24790" w:rsidRPr="00AE1D54" w:rsidRDefault="00E24790" w:rsidP="000048A8">
      <w:pPr>
        <w:pStyle w:val="Subtitle"/>
        <w:rPr>
          <w:rFonts w:asciiTheme="majorHAnsi" w:hAnsiTheme="majorHAnsi" w:cstheme="majorHAnsi"/>
          <w:color w:val="000000" w:themeColor="text1"/>
        </w:rPr>
      </w:pPr>
      <w:bookmarkStart w:id="43" w:name="_Toc119834438"/>
      <w:r w:rsidRPr="00AE1D54">
        <w:rPr>
          <w:rFonts w:asciiTheme="majorHAnsi" w:hAnsiTheme="majorHAnsi" w:cstheme="majorHAnsi"/>
          <w:color w:val="000000" w:themeColor="text1"/>
        </w:rPr>
        <w:t>Genotyping</w:t>
      </w:r>
      <w:bookmarkEnd w:id="43"/>
    </w:p>
    <w:p w14:paraId="255FBE65" w14:textId="77777777" w:rsidR="00E24790" w:rsidRPr="00AE1D54" w:rsidRDefault="00E24790" w:rsidP="000048A8">
      <w:pPr>
        <w:pStyle w:val="Heading1"/>
        <w:rPr>
          <w:rFonts w:asciiTheme="majorHAnsi" w:hAnsiTheme="majorHAnsi" w:cstheme="majorHAnsi"/>
          <w:color w:val="000000" w:themeColor="text1"/>
        </w:rPr>
      </w:pPr>
      <w:bookmarkStart w:id="44" w:name="_Toc119834439"/>
      <w:r w:rsidRPr="00AE1D54">
        <w:rPr>
          <w:rFonts w:asciiTheme="majorHAnsi" w:hAnsiTheme="majorHAnsi" w:cstheme="majorHAnsi"/>
          <w:color w:val="000000" w:themeColor="text1"/>
        </w:rPr>
        <w:t>DNA extraction</w:t>
      </w:r>
      <w:bookmarkEnd w:id="44"/>
    </w:p>
    <w:p w14:paraId="651801EE" w14:textId="4078FC47" w:rsidR="00E24790" w:rsidRDefault="00E24790" w:rsidP="00745E70">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The blood collected in EDTA containing a test tube was immediately sent to the genomic laboratory. The blood sample was drawn based on international protocols (9). DNA was extracted by the Proteinase K, salting out the standard method </w:t>
      </w:r>
      <w:sdt>
        <w:sdtPr>
          <w:rPr>
            <w:rFonts w:asciiTheme="majorHAnsi" w:hAnsiTheme="majorHAnsi" w:cstheme="majorHAnsi"/>
            <w:color w:val="000000"/>
            <w:sz w:val="24"/>
            <w:szCs w:val="24"/>
            <w:vertAlign w:val="superscript"/>
          </w:rPr>
          <w:tag w:val="MENDELEY_CITATION_v3_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"/>
          <w:id w:val="1265045094"/>
          <w:placeholder>
            <w:docPart w:val="08D23A0B0AE545CFA5F4F009173B72E9"/>
          </w:placeholder>
        </w:sdtPr>
        <w:sdtEndPr>
          <w:rPr>
            <w:sz w:val="22"/>
            <w:szCs w:val="22"/>
          </w:rPr>
        </w:sdtEndPr>
        <w:sdtContent>
          <w:r w:rsidR="0089281A" w:rsidRPr="0089281A">
            <w:rPr>
              <w:rFonts w:asciiTheme="majorHAnsi" w:hAnsiTheme="majorHAnsi" w:cstheme="majorHAnsi"/>
              <w:color w:val="000000"/>
              <w:vertAlign w:val="superscript"/>
            </w:rPr>
            <w:t>14</w:t>
          </w:r>
        </w:sdtContent>
      </w:sdt>
      <w:r w:rsidRPr="00AE1D54">
        <w:rPr>
          <w:rFonts w:asciiTheme="majorHAnsi" w:hAnsiTheme="majorHAnsi" w:cstheme="majorHAnsi"/>
          <w:color w:val="000000" w:themeColor="text1"/>
          <w:sz w:val="24"/>
          <w:szCs w:val="24"/>
        </w:rPr>
        <w:t xml:space="preserve">. The quality and quantity of extracted DNA were evaluated. Thermo Scientific </w:t>
      </w:r>
      <w:proofErr w:type="spellStart"/>
      <w:r w:rsidRPr="00AE1D54">
        <w:rPr>
          <w:rFonts w:asciiTheme="majorHAnsi" w:hAnsiTheme="majorHAnsi" w:cstheme="majorHAnsi"/>
          <w:color w:val="000000" w:themeColor="text1"/>
          <w:sz w:val="24"/>
          <w:szCs w:val="24"/>
        </w:rPr>
        <w:t>NanoDrop</w:t>
      </w:r>
      <w:proofErr w:type="spellEnd"/>
      <w:r w:rsidRPr="00AE1D54">
        <w:rPr>
          <w:rFonts w:asciiTheme="majorHAnsi" w:hAnsiTheme="majorHAnsi" w:cstheme="majorHAnsi"/>
          <w:color w:val="000000" w:themeColor="text1"/>
          <w:sz w:val="24"/>
          <w:szCs w:val="24"/>
        </w:rPr>
        <w:t xml:space="preserve">™ 1000 Spectrophotometer qualified samples were aliquot in 1.5 ml tubes and stored in -80°C ultra-freezers for future studies. </w:t>
      </w:r>
    </w:p>
    <w:p w14:paraId="4647366D" w14:textId="5669AB3A" w:rsidR="00BD2592" w:rsidRPr="00BD2592" w:rsidRDefault="00BD2592" w:rsidP="00BD2592">
      <w:pPr>
        <w:spacing w:after="240" w:line="480" w:lineRule="auto"/>
        <w:jc w:val="both"/>
        <w:rPr>
          <w:rFonts w:asciiTheme="majorHAnsi" w:hAnsiTheme="majorHAnsi" w:cstheme="majorHAnsi"/>
          <w:color w:val="000000" w:themeColor="text1"/>
          <w:sz w:val="24"/>
          <w:szCs w:val="24"/>
          <w:rtl/>
        </w:rPr>
      </w:pPr>
      <w:r w:rsidRPr="00BD2592">
        <w:rPr>
          <w:rFonts w:asciiTheme="majorHAnsi" w:hAnsiTheme="majorHAnsi" w:cstheme="majorHAnsi"/>
          <w:color w:val="000000" w:themeColor="text1"/>
          <w:sz w:val="24"/>
          <w:szCs w:val="24"/>
        </w:rPr>
        <w:t xml:space="preserve">A total of 16226 TCGS participants have been genotyped using Illumina Human OmniExpress-24-v1-0 bead chip containing 652,919 single nucleotide polymorphisms (SNPs) loci at the </w:t>
      </w:r>
      <w:proofErr w:type="spellStart"/>
      <w:r w:rsidRPr="00BD2592">
        <w:rPr>
          <w:rFonts w:asciiTheme="majorHAnsi" w:hAnsiTheme="majorHAnsi" w:cstheme="majorHAnsi"/>
          <w:color w:val="000000" w:themeColor="text1"/>
          <w:sz w:val="24"/>
          <w:szCs w:val="24"/>
        </w:rPr>
        <w:t>deCODE</w:t>
      </w:r>
      <w:proofErr w:type="spellEnd"/>
      <w:r w:rsidRPr="00BD2592">
        <w:rPr>
          <w:rFonts w:asciiTheme="majorHAnsi" w:hAnsiTheme="majorHAnsi" w:cstheme="majorHAnsi"/>
          <w:color w:val="000000" w:themeColor="text1"/>
          <w:sz w:val="24"/>
          <w:szCs w:val="24"/>
        </w:rPr>
        <w:t xml:space="preserve"> genetics/Amgen company (Iceland) according to the manufacturer's specifications (Illumina Inc., San Diego, CA, USA)</w:t>
      </w:r>
      <w:sdt>
        <w:sdtPr>
          <w:rPr>
            <w:rFonts w:asciiTheme="majorHAnsi" w:hAnsiTheme="majorHAnsi" w:cstheme="majorHAnsi"/>
            <w:color w:val="000000" w:themeColor="text1"/>
            <w:sz w:val="24"/>
            <w:szCs w:val="24"/>
          </w:rPr>
          <w:tag w:val="MENDELEY_CITATION_v3_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"/>
          <w:id w:val="-1125079128"/>
          <w:placeholder>
            <w:docPart w:val="17AC38031D164AF0B3E8DEE54BF5645B"/>
          </w:placeholder>
        </w:sdtPr>
        <w:sdtEndPr/>
        <w:sdtContent>
          <w:r w:rsidRPr="00BD2592">
            <w:rPr>
              <w:rFonts w:asciiTheme="majorHAnsi" w:hAnsiTheme="majorHAnsi" w:cstheme="majorHAnsi"/>
              <w:color w:val="000000" w:themeColor="text1"/>
              <w:sz w:val="24"/>
              <w:szCs w:val="24"/>
            </w:rPr>
            <w:t>2</w:t>
          </w:r>
        </w:sdtContent>
      </w:sdt>
      <w:r w:rsidRPr="00BD2592">
        <w:rPr>
          <w:rFonts w:asciiTheme="majorHAnsi" w:hAnsiTheme="majorHAnsi" w:cstheme="majorHAnsi"/>
          <w:color w:val="000000" w:themeColor="text1"/>
          <w:sz w:val="24"/>
          <w:szCs w:val="24"/>
        </w:rPr>
        <w:t xml:space="preserve">. 578 SNPs out of 652,919 SNPs in the entire dataset are monomorphic and fixed at a single allele. Approximately 96 % of 652,341 SNPs had a missing call rate of less than 0.02 (Table 2 supplementary). More than 99.8% of TCGS participants had less than 20% missing </w:t>
      </w:r>
      <w:r w:rsidRPr="00BD2592">
        <w:rPr>
          <w:rFonts w:asciiTheme="majorHAnsi" w:hAnsiTheme="majorHAnsi" w:cstheme="majorHAnsi"/>
          <w:color w:val="000000" w:themeColor="text1"/>
          <w:sz w:val="24"/>
          <w:szCs w:val="24"/>
        </w:rPr>
        <w:lastRenderedPageBreak/>
        <w:t xml:space="preserve">genotype SNPs, (Table 3 supplementary). In TCGS genotyped data, </w:t>
      </w:r>
      <w:proofErr w:type="gramStart"/>
      <w:r w:rsidRPr="00BD2592">
        <w:rPr>
          <w:rFonts w:asciiTheme="majorHAnsi" w:hAnsiTheme="majorHAnsi" w:cstheme="majorHAnsi"/>
          <w:color w:val="000000" w:themeColor="text1"/>
          <w:sz w:val="24"/>
          <w:szCs w:val="24"/>
        </w:rPr>
        <w:t>Over</w:t>
      </w:r>
      <w:proofErr w:type="gramEnd"/>
      <w:r w:rsidRPr="00BD2592">
        <w:rPr>
          <w:rFonts w:asciiTheme="majorHAnsi" w:hAnsiTheme="majorHAnsi" w:cstheme="majorHAnsi"/>
          <w:color w:val="000000" w:themeColor="text1"/>
          <w:sz w:val="24"/>
          <w:szCs w:val="24"/>
        </w:rPr>
        <w:t xml:space="preserve"> 90% of SNPs have MAFs greater than 0.05, and the minimum minor allele frequency (MAF) is 3.3710e-05. The distribution of MAF of genetic variants in the TCGS population is depicted in (Table 4 supplementary). Figure 1 supplementary also illustrates the distribution of MAF and its relation to MAC. According to this boxplot, the population minor allele count (MAC) is appropriate, considering MAF less than 0.001. Out of 652,919 SNPs, 20,108 SNPs have P-</w:t>
      </w:r>
      <w:proofErr w:type="spellStart"/>
      <w:r w:rsidRPr="00BD2592">
        <w:rPr>
          <w:rFonts w:asciiTheme="majorHAnsi" w:hAnsiTheme="majorHAnsi" w:cstheme="majorHAnsi"/>
          <w:color w:val="000000" w:themeColor="text1"/>
          <w:sz w:val="24"/>
          <w:szCs w:val="24"/>
        </w:rPr>
        <w:t>value</w:t>
      </w:r>
      <w:r w:rsidRPr="00D45EC9">
        <w:rPr>
          <w:rFonts w:asciiTheme="majorHAnsi" w:hAnsiTheme="majorHAnsi" w:cstheme="majorHAnsi"/>
          <w:color w:val="000000" w:themeColor="text1"/>
          <w:sz w:val="24"/>
          <w:szCs w:val="24"/>
          <w:vertAlign w:val="subscript"/>
        </w:rPr>
        <w:t>hwe</w:t>
      </w:r>
      <w:proofErr w:type="spellEnd"/>
      <w:r w:rsidRPr="00BD2592">
        <w:rPr>
          <w:rFonts w:asciiTheme="majorHAnsi" w:hAnsiTheme="majorHAnsi" w:cstheme="majorHAnsi"/>
          <w:color w:val="000000" w:themeColor="text1"/>
          <w:sz w:val="24"/>
          <w:szCs w:val="24"/>
        </w:rPr>
        <w:t xml:space="preserve"> &lt;10E-7. </w:t>
      </w:r>
      <w:r w:rsidR="00D45EC9">
        <w:rPr>
          <w:rFonts w:asciiTheme="majorHAnsi" w:hAnsiTheme="majorHAnsi" w:cstheme="majorHAnsi"/>
          <w:color w:val="000000" w:themeColor="text1"/>
          <w:sz w:val="24"/>
          <w:szCs w:val="24"/>
        </w:rPr>
        <w:t>T</w:t>
      </w:r>
      <w:r w:rsidRPr="00BD2592">
        <w:rPr>
          <w:rFonts w:asciiTheme="majorHAnsi" w:hAnsiTheme="majorHAnsi" w:cstheme="majorHAnsi"/>
          <w:color w:val="000000" w:themeColor="text1"/>
          <w:sz w:val="24"/>
          <w:szCs w:val="24"/>
        </w:rPr>
        <w:t>he distribution of -log10 (p-value) was shown in Figure 2 supplementary. The right histogram is for all SNPs, and the left belongs to SNPs with p-</w:t>
      </w:r>
      <w:proofErr w:type="spellStart"/>
      <w:r w:rsidRPr="00BD2592">
        <w:rPr>
          <w:rFonts w:asciiTheme="majorHAnsi" w:hAnsiTheme="majorHAnsi" w:cstheme="majorHAnsi"/>
          <w:color w:val="000000" w:themeColor="text1"/>
          <w:sz w:val="24"/>
          <w:szCs w:val="24"/>
        </w:rPr>
        <w:t>value</w:t>
      </w:r>
      <w:r w:rsidRPr="00FF774C">
        <w:rPr>
          <w:rFonts w:asciiTheme="majorHAnsi" w:hAnsiTheme="majorHAnsi" w:cstheme="majorHAnsi"/>
          <w:color w:val="000000" w:themeColor="text1"/>
          <w:sz w:val="24"/>
          <w:szCs w:val="24"/>
          <w:vertAlign w:val="subscript"/>
        </w:rPr>
        <w:t>hwe</w:t>
      </w:r>
      <w:proofErr w:type="spellEnd"/>
      <w:r w:rsidRPr="00BD2592">
        <w:rPr>
          <w:rFonts w:asciiTheme="majorHAnsi" w:hAnsiTheme="majorHAnsi" w:cstheme="majorHAnsi"/>
          <w:color w:val="000000" w:themeColor="text1"/>
          <w:sz w:val="24"/>
          <w:szCs w:val="24"/>
        </w:rPr>
        <w:t xml:space="preserve"> &lt;10E-7. The distribution of missing call rates for variants with MAF&lt;0.05 and MAF&gt;0.05 is depicted in Figure 3 supplementary. This graph demonstrates no relationship between the missingness pattern throughout the genome and the MAF in TCGS data.</w:t>
      </w:r>
    </w:p>
    <w:p w14:paraId="34FFC233" w14:textId="2EDAC316" w:rsidR="00BD2592" w:rsidRPr="00BD2592" w:rsidRDefault="00BD2592" w:rsidP="00BD2592">
      <w:pPr>
        <w:spacing w:after="240" w:line="480" w:lineRule="auto"/>
        <w:jc w:val="both"/>
        <w:rPr>
          <w:rFonts w:asciiTheme="majorHAnsi" w:hAnsiTheme="majorHAnsi" w:cstheme="majorHAnsi"/>
          <w:color w:val="000000" w:themeColor="text1"/>
          <w:sz w:val="24"/>
          <w:szCs w:val="24"/>
        </w:rPr>
      </w:pPr>
      <w:r w:rsidRPr="00BD2592">
        <w:rPr>
          <w:rFonts w:asciiTheme="majorHAnsi" w:hAnsiTheme="majorHAnsi" w:cstheme="majorHAnsi"/>
          <w:color w:val="000000" w:themeColor="text1"/>
          <w:sz w:val="24"/>
          <w:szCs w:val="24"/>
        </w:rPr>
        <w:t>The Impact of Variants: We grouped genetic variants into four categories: (</w:t>
      </w:r>
      <w:proofErr w:type="spellStart"/>
      <w:r w:rsidRPr="00BD2592">
        <w:rPr>
          <w:rFonts w:asciiTheme="majorHAnsi" w:hAnsiTheme="majorHAnsi" w:cstheme="majorHAnsi"/>
          <w:color w:val="000000" w:themeColor="text1"/>
          <w:sz w:val="24"/>
          <w:szCs w:val="24"/>
        </w:rPr>
        <w:t>i</w:t>
      </w:r>
      <w:proofErr w:type="spellEnd"/>
      <w:r w:rsidRPr="00BD2592">
        <w:rPr>
          <w:rFonts w:asciiTheme="majorHAnsi" w:hAnsiTheme="majorHAnsi" w:cstheme="majorHAnsi"/>
          <w:color w:val="000000" w:themeColor="text1"/>
          <w:sz w:val="24"/>
          <w:szCs w:val="24"/>
        </w:rPr>
        <w:t>) LOW, including synonymous variants 3′ and 5′ UTR variants (N=9,118); (ii) MODERATE, including missense variants and splice region variants (N=9,370), (iii) LOF, loss of function including start/stop gained, frameshift, donor/acceptor splice</w:t>
      </w:r>
      <w:r w:rsidR="00D45EC9">
        <w:rPr>
          <w:rFonts w:asciiTheme="majorHAnsi" w:hAnsiTheme="majorHAnsi" w:cstheme="majorHAnsi"/>
          <w:color w:val="000000" w:themeColor="text1"/>
          <w:sz w:val="24"/>
          <w:szCs w:val="24"/>
        </w:rPr>
        <w:t>,</w:t>
      </w:r>
      <w:r w:rsidRPr="00BD2592">
        <w:rPr>
          <w:rFonts w:asciiTheme="majorHAnsi" w:hAnsiTheme="majorHAnsi" w:cstheme="majorHAnsi"/>
          <w:color w:val="000000" w:themeColor="text1"/>
          <w:sz w:val="24"/>
          <w:szCs w:val="24"/>
        </w:rPr>
        <w:t xml:space="preserve"> and initiator codon variants (N=318), and (iv) OTHER, including intronic and intergenic variants (N=633,512). The sequence variants were annotated using the last version of Variant Effect Predictor (VEP, </w:t>
      </w:r>
      <w:proofErr w:type="spellStart"/>
      <w:r w:rsidRPr="00BD2592">
        <w:rPr>
          <w:rFonts w:asciiTheme="majorHAnsi" w:hAnsiTheme="majorHAnsi" w:cstheme="majorHAnsi"/>
          <w:color w:val="000000" w:themeColor="text1"/>
          <w:sz w:val="24"/>
          <w:szCs w:val="24"/>
        </w:rPr>
        <w:t>ver</w:t>
      </w:r>
      <w:proofErr w:type="spellEnd"/>
      <w:r w:rsidRPr="00BD2592">
        <w:rPr>
          <w:rFonts w:asciiTheme="majorHAnsi" w:hAnsiTheme="majorHAnsi" w:cstheme="majorHAnsi"/>
          <w:color w:val="000000" w:themeColor="text1"/>
          <w:sz w:val="24"/>
          <w:szCs w:val="24"/>
        </w:rPr>
        <w:t xml:space="preserve"> 105)</w:t>
      </w:r>
      <w:sdt>
        <w:sdtPr>
          <w:rPr>
            <w:rFonts w:asciiTheme="majorHAnsi" w:hAnsiTheme="majorHAnsi" w:cstheme="majorHAnsi"/>
            <w:color w:val="000000" w:themeColor="text1"/>
            <w:sz w:val="24"/>
            <w:szCs w:val="24"/>
          </w:rPr>
          <w:tag w:val="MENDELEY_CITATION_v3_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"/>
          <w:id w:val="-231545258"/>
          <w:placeholder>
            <w:docPart w:val="DD0DD144C7C74759AE9381913662A274"/>
          </w:placeholder>
        </w:sdtPr>
        <w:sdtEndPr/>
        <w:sdtContent>
          <w:r w:rsidRPr="00BD2592">
            <w:rPr>
              <w:rFonts w:asciiTheme="majorHAnsi" w:hAnsiTheme="majorHAnsi" w:cstheme="majorHAnsi"/>
              <w:color w:val="000000" w:themeColor="text1"/>
              <w:sz w:val="24"/>
              <w:szCs w:val="24"/>
            </w:rPr>
            <w:t>8</w:t>
          </w:r>
        </w:sdtContent>
      </w:sdt>
      <w:r w:rsidRPr="00BD2592">
        <w:rPr>
          <w:rFonts w:asciiTheme="majorHAnsi" w:hAnsiTheme="majorHAnsi" w:cstheme="majorHAnsi"/>
          <w:color w:val="000000" w:themeColor="text1"/>
          <w:sz w:val="24"/>
          <w:szCs w:val="24"/>
        </w:rPr>
        <w:t xml:space="preserve"> (Table 2 supplementary). The distribution of MAF by the impact is shown in Figure 4 supplementary. </w:t>
      </w:r>
    </w:p>
    <w:p w14:paraId="650EEE1C" w14:textId="77777777" w:rsidR="00E24790" w:rsidRPr="00AE1D54" w:rsidRDefault="00E24790" w:rsidP="006F6325">
      <w:pPr>
        <w:pStyle w:val="Subtitle"/>
        <w:rPr>
          <w:rFonts w:asciiTheme="majorHAnsi" w:hAnsiTheme="majorHAnsi" w:cstheme="majorHAnsi"/>
          <w:color w:val="000000" w:themeColor="text1"/>
        </w:rPr>
      </w:pPr>
      <w:bookmarkStart w:id="45" w:name="_Toc119834440"/>
      <w:r w:rsidRPr="00AE1D54">
        <w:rPr>
          <w:rFonts w:asciiTheme="majorHAnsi" w:hAnsiTheme="majorHAnsi" w:cstheme="majorHAnsi"/>
          <w:color w:val="000000" w:themeColor="text1"/>
        </w:rPr>
        <w:t>Familial relationship</w:t>
      </w:r>
      <w:bookmarkEnd w:id="45"/>
    </w:p>
    <w:p w14:paraId="08D1A289" w14:textId="77777777" w:rsidR="00E24790" w:rsidRPr="00AE1D54" w:rsidRDefault="00E24790" w:rsidP="002B09EB">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A trained nurse interviewed participants to ask for their genealogical information in all included projects, including their kinship, marital status, and consanguineous of their marriage. In each </w:t>
      </w:r>
      <w:r w:rsidRPr="00AE1D54">
        <w:rPr>
          <w:rFonts w:asciiTheme="majorHAnsi" w:hAnsiTheme="majorHAnsi" w:cstheme="majorHAnsi"/>
          <w:color w:val="000000" w:themeColor="text1"/>
          <w:sz w:val="24"/>
          <w:szCs w:val="24"/>
        </w:rPr>
        <w:lastRenderedPageBreak/>
        <w:t>follow-up, the project manager let the son-in-law, daughter-in-law, and new child (age over three years) enter the study and updated family information. A code was dedicated to each family group as a cluster. This information was gathered in a file and sent to the TCGS team to draw biological ties with standard guidelines for human pedigree nomenclature (8). Each individual was coded with a unique identification number (ID), cluster code, gender, and paternal and maternal ID. Some families with consanguineous marriages were assigned a new family identification number (FID) rather than a cluster code (Figure 5). The statisticians checked the ties using Statistical Analysis for Genetic Epidemiology (SAGE) software (9). Next, individual identity-by-descent (IBD) was calculated pairwise using PLINK software and was used to double-check the family relationships (10). Kinship relations and accuracy of drawing pedigrees were also controlled by the Family-Based Association Tests (11)-Toolkit V 1.7.3.</w:t>
      </w:r>
    </w:p>
    <w:p w14:paraId="6D5506A2" w14:textId="77777777" w:rsidR="00E24790" w:rsidRPr="00AE1D54" w:rsidRDefault="00E24790" w:rsidP="006F6325">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The genetic data management system Progeny Clinical Version 7 saved and processed family data, pedigree information, phenotypic data, and genotype data (Progeny Software LLC, Delray Beach, </w:t>
      </w:r>
      <w:proofErr w:type="gramStart"/>
      <w:r w:rsidRPr="00AE1D54">
        <w:rPr>
          <w:rFonts w:asciiTheme="majorHAnsi" w:hAnsiTheme="majorHAnsi" w:cstheme="majorHAnsi"/>
          <w:color w:val="000000" w:themeColor="text1"/>
          <w:sz w:val="24"/>
          <w:szCs w:val="24"/>
        </w:rPr>
        <w:t>FL)</w:t>
      </w:r>
      <w:r w:rsidRPr="00AE1D54">
        <w:rPr>
          <w:rFonts w:asciiTheme="majorHAnsi" w:eastAsia="Times New Roman" w:hAnsiTheme="majorHAnsi" w:cstheme="majorHAnsi"/>
          <w:color w:val="000000" w:themeColor="text1"/>
        </w:rPr>
        <w:t>(</w:t>
      </w:r>
      <w:proofErr w:type="gramEnd"/>
      <w:r w:rsidRPr="00AE1D54">
        <w:rPr>
          <w:rFonts w:asciiTheme="majorHAnsi" w:eastAsia="Times New Roman" w:hAnsiTheme="majorHAnsi" w:cstheme="majorHAnsi"/>
          <w:color w:val="000000" w:themeColor="text1"/>
        </w:rPr>
        <w:t>12)</w:t>
      </w:r>
      <w:r w:rsidRPr="00AE1D54">
        <w:rPr>
          <w:rFonts w:asciiTheme="majorHAnsi" w:hAnsiTheme="majorHAnsi" w:cstheme="majorHAnsi"/>
          <w:color w:val="000000" w:themeColor="text1"/>
          <w:sz w:val="24"/>
          <w:szCs w:val="24"/>
        </w:rPr>
        <w:t>.</w:t>
      </w:r>
    </w:p>
    <w:p w14:paraId="71EC5CC6" w14:textId="77777777" w:rsidR="00E24790" w:rsidRPr="00AE1D54" w:rsidRDefault="00E24790" w:rsidP="006F6325">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Consequently, some ID numbers were modified or their consanguineous status revised; hence, some FID numbers were changed. The family separation, remarriage, child adoption, and name change were double-checked till there were no more missing data in any FID. </w:t>
      </w:r>
    </w:p>
    <w:p w14:paraId="13B015BD" w14:textId="77777777" w:rsidR="00E24790" w:rsidRPr="00AE1D54" w:rsidRDefault="00E24790" w:rsidP="006F6325">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lastRenderedPageBreak/>
        <w:t>We used the SAGE software to obtain the number of family members, generations number, and available pairwise relationships, including parent-</w:t>
      </w:r>
      <w:proofErr w:type="spellStart"/>
      <w:r w:rsidRPr="00AE1D54">
        <w:rPr>
          <w:rFonts w:asciiTheme="majorHAnsi" w:hAnsiTheme="majorHAnsi" w:cstheme="majorHAnsi"/>
          <w:color w:val="000000" w:themeColor="text1"/>
          <w:sz w:val="24"/>
          <w:szCs w:val="24"/>
        </w:rPr>
        <w:t>offsprings</w:t>
      </w:r>
      <w:proofErr w:type="spellEnd"/>
      <w:r w:rsidRPr="00AE1D54">
        <w:rPr>
          <w:rFonts w:asciiTheme="majorHAnsi" w:hAnsiTheme="majorHAnsi" w:cstheme="majorHAnsi"/>
          <w:color w:val="000000" w:themeColor="text1"/>
          <w:sz w:val="24"/>
          <w:szCs w:val="24"/>
        </w:rPr>
        <w:t xml:space="preserve">, sibling-sibling, grandparents-grandchildren, avuncular, half-sibships, and cousins in each </w:t>
      </w:r>
      <w:proofErr w:type="gramStart"/>
      <w:r w:rsidRPr="00AE1D54">
        <w:rPr>
          <w:rFonts w:asciiTheme="majorHAnsi" w:hAnsiTheme="majorHAnsi" w:cstheme="majorHAnsi"/>
          <w:color w:val="000000" w:themeColor="text1"/>
          <w:sz w:val="24"/>
          <w:szCs w:val="24"/>
        </w:rPr>
        <w:t>pedigree(</w:t>
      </w:r>
      <w:proofErr w:type="gramEnd"/>
      <w:r w:rsidRPr="00AE1D54">
        <w:rPr>
          <w:rFonts w:asciiTheme="majorHAnsi" w:hAnsiTheme="majorHAnsi" w:cstheme="majorHAnsi"/>
          <w:color w:val="000000" w:themeColor="text1"/>
          <w:sz w:val="24"/>
          <w:szCs w:val="24"/>
        </w:rPr>
        <w:t>9).</w:t>
      </w:r>
    </w:p>
    <w:p w14:paraId="653EA63C" w14:textId="4311DC33" w:rsidR="00E24790" w:rsidRPr="00AE1D54" w:rsidRDefault="00E24790" w:rsidP="006F6325">
      <w:pPr>
        <w:pStyle w:val="Subtitle"/>
        <w:rPr>
          <w:rFonts w:asciiTheme="majorHAnsi" w:hAnsiTheme="majorHAnsi" w:cstheme="majorHAnsi"/>
          <w:color w:val="000000" w:themeColor="text1"/>
        </w:rPr>
      </w:pPr>
      <w:bookmarkStart w:id="46" w:name="_Toc119834441"/>
      <w:r w:rsidRPr="00AE1D54">
        <w:rPr>
          <w:rFonts w:asciiTheme="majorHAnsi" w:hAnsiTheme="majorHAnsi" w:cstheme="majorHAnsi"/>
          <w:color w:val="000000" w:themeColor="text1"/>
        </w:rPr>
        <w:t>Ethnicity</w:t>
      </w:r>
      <w:bookmarkEnd w:id="46"/>
      <w:r w:rsidRPr="00AE1D54">
        <w:rPr>
          <w:rFonts w:asciiTheme="majorHAnsi" w:hAnsiTheme="majorHAnsi" w:cstheme="majorHAnsi"/>
          <w:color w:val="000000" w:themeColor="text1"/>
        </w:rPr>
        <w:t xml:space="preserve"> </w:t>
      </w:r>
    </w:p>
    <w:p w14:paraId="2F7C3CF1" w14:textId="78289E85" w:rsidR="00E24790" w:rsidRPr="00AE1D54" w:rsidRDefault="00E24790" w:rsidP="007058A6">
      <w:pPr>
        <w:spacing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Iran has a land area of 1,648,195 km2, making it the second-largest country in the Middle East and the 18th largest globally, with 82.8 million </w:t>
      </w:r>
      <w:sdt>
        <w:sdtPr>
          <w:rPr>
            <w:rFonts w:asciiTheme="majorHAnsi" w:hAnsiTheme="majorHAnsi" w:cstheme="majorHAnsi"/>
            <w:color w:val="000000"/>
            <w:sz w:val="24"/>
            <w:szCs w:val="24"/>
            <w:vertAlign w:val="superscript"/>
          </w:rPr>
          <w:tag w:val="MENDELEY_CITATION_v3_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"/>
          <w:id w:val="1043328496"/>
          <w:placeholder>
            <w:docPart w:val="08D23A0B0AE545CFA5F4F009173B72E9"/>
          </w:placeholder>
        </w:sdtPr>
        <w:sdtEndPr>
          <w:rPr>
            <w:sz w:val="22"/>
            <w:szCs w:val="22"/>
          </w:rPr>
        </w:sdtEndPr>
        <w:sdtContent>
          <w:r w:rsidR="0089281A" w:rsidRPr="0089281A">
            <w:rPr>
              <w:rFonts w:asciiTheme="majorHAnsi" w:hAnsiTheme="majorHAnsi" w:cstheme="majorHAnsi"/>
              <w:color w:val="000000"/>
              <w:vertAlign w:val="superscript"/>
            </w:rPr>
            <w:t>15</w:t>
          </w:r>
        </w:sdtContent>
      </w:sdt>
      <w:r w:rsidRPr="00AE1D54">
        <w:rPr>
          <w:rFonts w:asciiTheme="majorHAnsi" w:hAnsiTheme="majorHAnsi" w:cstheme="majorHAnsi"/>
          <w:color w:val="000000" w:themeColor="text1"/>
          <w:sz w:val="24"/>
          <w:szCs w:val="24"/>
        </w:rPr>
        <w:t xml:space="preserve">. The majority of Iranians are Persian. However, millions of ethnic groups live in the region, including Turkic, Kurdish, Gilaki, Mazandarani, Lurs, Tats, </w:t>
      </w:r>
      <w:proofErr w:type="spellStart"/>
      <w:r w:rsidRPr="00AE1D54">
        <w:rPr>
          <w:rFonts w:asciiTheme="majorHAnsi" w:hAnsiTheme="majorHAnsi" w:cstheme="majorHAnsi"/>
          <w:color w:val="000000" w:themeColor="text1"/>
          <w:sz w:val="24"/>
          <w:szCs w:val="24"/>
        </w:rPr>
        <w:t>Talysh</w:t>
      </w:r>
      <w:proofErr w:type="spellEnd"/>
      <w:r w:rsidRPr="00AE1D54">
        <w:rPr>
          <w:rFonts w:asciiTheme="majorHAnsi" w:hAnsiTheme="majorHAnsi" w:cstheme="majorHAnsi"/>
          <w:color w:val="000000" w:themeColor="text1"/>
          <w:sz w:val="24"/>
          <w:szCs w:val="24"/>
        </w:rPr>
        <w:t xml:space="preserve">, Arabs, and Baloch. The Central Intelligence Agency's (CIA) World Fact-book has estimated that around 79% of the population of Iran is a diverse Indo-European ethno-linguistic group that comprises speakers of the Iranian languages </w:t>
      </w:r>
      <w:sdt>
        <w:sdtPr>
          <w:rPr>
            <w:rFonts w:asciiTheme="majorHAnsi" w:hAnsiTheme="majorHAnsi" w:cstheme="majorHAnsi"/>
            <w:color w:val="000000"/>
            <w:sz w:val="24"/>
            <w:szCs w:val="24"/>
            <w:vertAlign w:val="superscript"/>
          </w:rPr>
          <w:tag w:val="MENDELEY_CITATION_v3_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"/>
          <w:id w:val="-1154671335"/>
          <w:placeholder>
            <w:docPart w:val="08D23A0B0AE545CFA5F4F009173B72E9"/>
          </w:placeholder>
        </w:sdtPr>
        <w:sdtEndPr>
          <w:rPr>
            <w:sz w:val="22"/>
            <w:szCs w:val="22"/>
          </w:rPr>
        </w:sdtEndPr>
        <w:sdtContent>
          <w:r w:rsidR="0089281A" w:rsidRPr="0089281A">
            <w:rPr>
              <w:rFonts w:asciiTheme="majorHAnsi" w:hAnsiTheme="majorHAnsi" w:cstheme="majorHAnsi"/>
              <w:color w:val="000000"/>
              <w:vertAlign w:val="superscript"/>
            </w:rPr>
            <w:t>16</w:t>
          </w:r>
        </w:sdtContent>
      </w:sdt>
      <w:r w:rsidRPr="00AE1D54">
        <w:rPr>
          <w:rFonts w:asciiTheme="majorHAnsi" w:hAnsiTheme="majorHAnsi" w:cstheme="majorHAnsi"/>
          <w:color w:val="000000" w:themeColor="text1"/>
          <w:sz w:val="24"/>
          <w:szCs w:val="24"/>
        </w:rPr>
        <w:t xml:space="preserve">. By 2008, the main ethnic groups in Iran were Persians (65%) (incl. </w:t>
      </w:r>
      <w:proofErr w:type="spellStart"/>
      <w:r w:rsidRPr="00AE1D54">
        <w:rPr>
          <w:rFonts w:asciiTheme="majorHAnsi" w:hAnsiTheme="majorHAnsi" w:cstheme="majorHAnsi"/>
          <w:color w:val="000000" w:themeColor="text1"/>
          <w:sz w:val="24"/>
          <w:szCs w:val="24"/>
        </w:rPr>
        <w:t>Mazenderanis</w:t>
      </w:r>
      <w:proofErr w:type="spellEnd"/>
      <w:r w:rsidRPr="00AE1D54">
        <w:rPr>
          <w:rFonts w:asciiTheme="majorHAnsi" w:hAnsiTheme="majorHAnsi" w:cstheme="majorHAnsi"/>
          <w:color w:val="000000" w:themeColor="text1"/>
          <w:sz w:val="24"/>
          <w:szCs w:val="24"/>
        </w:rPr>
        <w:t xml:space="preserve"> and </w:t>
      </w:r>
      <w:proofErr w:type="spellStart"/>
      <w:r w:rsidRPr="00AE1D54">
        <w:rPr>
          <w:rFonts w:asciiTheme="majorHAnsi" w:hAnsiTheme="majorHAnsi" w:cstheme="majorHAnsi"/>
          <w:color w:val="000000" w:themeColor="text1"/>
          <w:sz w:val="24"/>
          <w:szCs w:val="24"/>
        </w:rPr>
        <w:t>Gilaks</w:t>
      </w:r>
      <w:proofErr w:type="spellEnd"/>
      <w:r w:rsidRPr="00AE1D54">
        <w:rPr>
          <w:rFonts w:asciiTheme="majorHAnsi" w:hAnsiTheme="majorHAnsi" w:cstheme="majorHAnsi"/>
          <w:color w:val="000000" w:themeColor="text1"/>
          <w:sz w:val="24"/>
          <w:szCs w:val="24"/>
        </w:rPr>
        <w:t xml:space="preserve">). The other groups consist of Azerbaijani Turks (16 %), Kurds (7 %), Lurs (6 %), Arabs (2 %), </w:t>
      </w:r>
      <w:proofErr w:type="spellStart"/>
      <w:r w:rsidRPr="00AE1D54">
        <w:rPr>
          <w:rFonts w:asciiTheme="majorHAnsi" w:hAnsiTheme="majorHAnsi" w:cstheme="majorHAnsi"/>
          <w:color w:val="000000" w:themeColor="text1"/>
          <w:sz w:val="24"/>
          <w:szCs w:val="24"/>
        </w:rPr>
        <w:t>Baluchis</w:t>
      </w:r>
      <w:proofErr w:type="spellEnd"/>
      <w:r w:rsidRPr="00AE1D54">
        <w:rPr>
          <w:rFonts w:asciiTheme="majorHAnsi" w:hAnsiTheme="majorHAnsi" w:cstheme="majorHAnsi"/>
          <w:color w:val="000000" w:themeColor="text1"/>
          <w:sz w:val="24"/>
          <w:szCs w:val="24"/>
        </w:rPr>
        <w:t xml:space="preserve"> (2 %), Turkmens (1 %), Turkish tribal groups such as the Qashqai (1 %) and non-Persian, non-Turkic groups such as Armenians, Assyrians, and Georgians (less than 1 %) </w:t>
      </w:r>
      <w:sdt>
        <w:sdtPr>
          <w:rPr>
            <w:rFonts w:asciiTheme="majorHAnsi" w:hAnsiTheme="majorHAnsi" w:cstheme="majorHAnsi"/>
            <w:color w:val="000000"/>
            <w:sz w:val="24"/>
            <w:szCs w:val="24"/>
            <w:vertAlign w:val="superscript"/>
          </w:rPr>
          <w:tag w:val="MENDELEY_CITATION_v3_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"/>
          <w:id w:val="-1267537988"/>
          <w:placeholder>
            <w:docPart w:val="08D23A0B0AE545CFA5F4F009173B72E9"/>
          </w:placeholder>
        </w:sdtPr>
        <w:sdtEndPr>
          <w:rPr>
            <w:sz w:val="22"/>
            <w:szCs w:val="22"/>
          </w:rPr>
        </w:sdtEndPr>
        <w:sdtContent>
          <w:r w:rsidR="0089281A" w:rsidRPr="0089281A">
            <w:rPr>
              <w:rFonts w:asciiTheme="majorHAnsi" w:hAnsiTheme="majorHAnsi" w:cstheme="majorHAnsi"/>
              <w:color w:val="000000"/>
              <w:vertAlign w:val="superscript"/>
            </w:rPr>
            <w:t>17</w:t>
          </w:r>
        </w:sdtContent>
      </w:sdt>
      <w:r w:rsidRPr="00AE1D54">
        <w:rPr>
          <w:rFonts w:asciiTheme="majorHAnsi" w:hAnsiTheme="majorHAnsi" w:cstheme="majorHAnsi"/>
          <w:color w:val="000000" w:themeColor="text1"/>
          <w:sz w:val="24"/>
          <w:szCs w:val="24"/>
        </w:rPr>
        <w:t xml:space="preserve">. </w:t>
      </w:r>
    </w:p>
    <w:p w14:paraId="5B2ED12F" w14:textId="77777777" w:rsidR="00A65888" w:rsidRDefault="00E24790" w:rsidP="00890650">
      <w:pPr>
        <w:spacing w:before="240" w:after="240" w:line="480" w:lineRule="auto"/>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xml:space="preserve">In this study, the TCGS team submitted a questionnaire to the </w:t>
      </w:r>
      <w:proofErr w:type="gramStart"/>
      <w:r w:rsidRPr="00AE1D54">
        <w:rPr>
          <w:rFonts w:asciiTheme="majorHAnsi" w:hAnsiTheme="majorHAnsi" w:cstheme="majorHAnsi"/>
          <w:color w:val="000000" w:themeColor="text1"/>
          <w:sz w:val="24"/>
          <w:szCs w:val="24"/>
        </w:rPr>
        <w:t>TLGS  and</w:t>
      </w:r>
      <w:proofErr w:type="gramEnd"/>
      <w:r w:rsidRPr="00AE1D54">
        <w:rPr>
          <w:rFonts w:asciiTheme="majorHAnsi" w:hAnsiTheme="majorHAnsi" w:cstheme="majorHAnsi"/>
          <w:color w:val="000000" w:themeColor="text1"/>
          <w:sz w:val="24"/>
          <w:szCs w:val="24"/>
        </w:rPr>
        <w:t xml:space="preserve"> CFS data centers to collect ethnicity data by categorizing individuals according to their ethnicity. In these two projects, individuals were sampled across all geographic regions in Iran, representing the original 31 provinces of the country in 5 governmental regions (Supplementary Table 1). Selected individuals should have Iranian ancestry, requiring that their parents were born in Iran. Most of them were born in Tehran (the TLGS population gathered in the east of Tehran), but their parents </w:t>
      </w:r>
      <w:r w:rsidRPr="00AE1D54">
        <w:rPr>
          <w:rFonts w:asciiTheme="majorHAnsi" w:hAnsiTheme="majorHAnsi" w:cstheme="majorHAnsi"/>
          <w:color w:val="000000" w:themeColor="text1"/>
          <w:sz w:val="24"/>
          <w:szCs w:val="24"/>
        </w:rPr>
        <w:lastRenderedPageBreak/>
        <w:t>or grandparents were born in different cities of different ethnicities. Participants of different ethnicities were coded according to their place of birth in the last three generations. If birthplace information was unavailable, the province status was based on residence.</w:t>
      </w:r>
    </w:p>
    <w:p w14:paraId="6E0CA1DC" w14:textId="4D89C1C1" w:rsidR="00A65888" w:rsidRDefault="00A65888" w:rsidP="00720627">
      <w:pPr>
        <w:pStyle w:val="Subtitle"/>
      </w:pPr>
      <w:bookmarkStart w:id="47" w:name="_Toc119834442"/>
      <w:proofErr w:type="spellStart"/>
      <w:r w:rsidRPr="002F5481">
        <w:t>Obstetric</w:t>
      </w:r>
      <w:proofErr w:type="spellEnd"/>
      <w:r w:rsidRPr="002F5481">
        <w:t xml:space="preserve"> and Gynecology assessment</w:t>
      </w:r>
      <w:bookmarkEnd w:id="47"/>
    </w:p>
    <w:p w14:paraId="2D526C08" w14:textId="7661FAC1" w:rsidR="00192D3B" w:rsidRDefault="002F5481" w:rsidP="00510C42">
      <w:pPr>
        <w:spacing w:line="480" w:lineRule="auto"/>
        <w:jc w:val="both"/>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Two projects were established to research women's health according to the data extracted from women's questionnaires, hospitalization information, self-reports, comprehensive physical examination, and universal biochemical and hormonal assessment</w:t>
      </w:r>
      <w:r w:rsidR="0044389A" w:rsidRPr="00510C42">
        <w:rPr>
          <w:sz w:val="24"/>
          <w:szCs w:val="24"/>
        </w:rPr>
        <w:t>.</w:t>
      </w:r>
      <w:r w:rsidR="0044389A" w:rsidRPr="00510C42">
        <w:rPr>
          <w:rFonts w:asciiTheme="majorHAnsi" w:hAnsiTheme="majorHAnsi" w:cstheme="majorHAnsi"/>
          <w:color w:val="000000" w:themeColor="text1"/>
          <w:sz w:val="24"/>
          <w:szCs w:val="24"/>
        </w:rPr>
        <w:t xml:space="preserve"> </w:t>
      </w:r>
      <w:r w:rsidR="00A10F0E" w:rsidRPr="00510C42">
        <w:rPr>
          <w:b/>
          <w:bCs/>
          <w:sz w:val="24"/>
          <w:szCs w:val="24"/>
        </w:rPr>
        <w:t xml:space="preserve">Androgen Excess </w:t>
      </w:r>
      <w:proofErr w:type="gramStart"/>
      <w:r w:rsidR="00A10F0E" w:rsidRPr="00510C42">
        <w:rPr>
          <w:b/>
          <w:bCs/>
          <w:sz w:val="24"/>
          <w:szCs w:val="24"/>
        </w:rPr>
        <w:t>Project(</w:t>
      </w:r>
      <w:proofErr w:type="gramEnd"/>
      <w:r w:rsidR="00A10F0E" w:rsidRPr="00510C42">
        <w:rPr>
          <w:b/>
          <w:bCs/>
          <w:sz w:val="24"/>
          <w:szCs w:val="24"/>
        </w:rPr>
        <w:t xml:space="preserve">AEP) </w:t>
      </w:r>
      <w:r w:rsidR="0044389A" w:rsidRPr="00510C42">
        <w:rPr>
          <w:rFonts w:asciiTheme="majorHAnsi" w:hAnsiTheme="majorHAnsi" w:cstheme="majorHAnsi"/>
          <w:color w:val="000000" w:themeColor="text1"/>
          <w:sz w:val="24"/>
          <w:szCs w:val="24"/>
        </w:rPr>
        <w:t>i</w:t>
      </w:r>
      <w:r w:rsidR="00A10F0E" w:rsidRPr="00510C42">
        <w:rPr>
          <w:rFonts w:asciiTheme="majorHAnsi" w:hAnsiTheme="majorHAnsi" w:cstheme="majorHAnsi"/>
          <w:color w:val="000000" w:themeColor="text1"/>
          <w:sz w:val="24"/>
          <w:szCs w:val="24"/>
        </w:rPr>
        <w:t xml:space="preserve">s a clinical and genetic study initiated on women with androgen excess disorders who </w:t>
      </w:r>
      <w:r>
        <w:rPr>
          <w:rFonts w:asciiTheme="majorHAnsi" w:hAnsiTheme="majorHAnsi" w:cstheme="majorHAnsi"/>
          <w:color w:val="000000" w:themeColor="text1"/>
          <w:sz w:val="24"/>
          <w:szCs w:val="24"/>
        </w:rPr>
        <w:t xml:space="preserve">were </w:t>
      </w:r>
      <w:r w:rsidR="00A10F0E" w:rsidRPr="00510C42">
        <w:rPr>
          <w:rFonts w:asciiTheme="majorHAnsi" w:hAnsiTheme="majorHAnsi" w:cstheme="majorHAnsi"/>
          <w:color w:val="000000" w:themeColor="text1"/>
          <w:sz w:val="24"/>
          <w:szCs w:val="24"/>
        </w:rPr>
        <w:t>ref</w:t>
      </w:r>
      <w:r>
        <w:rPr>
          <w:rFonts w:asciiTheme="majorHAnsi" w:hAnsiTheme="majorHAnsi" w:cstheme="majorHAnsi"/>
          <w:color w:val="000000" w:themeColor="text1"/>
          <w:sz w:val="24"/>
          <w:szCs w:val="24"/>
        </w:rPr>
        <w:t>er</w:t>
      </w:r>
      <w:r w:rsidR="00A10F0E" w:rsidRPr="00510C42">
        <w:rPr>
          <w:rFonts w:asciiTheme="majorHAnsi" w:hAnsiTheme="majorHAnsi" w:cstheme="majorHAnsi"/>
          <w:color w:val="000000" w:themeColor="text1"/>
          <w:sz w:val="24"/>
          <w:szCs w:val="24"/>
        </w:rPr>
        <w:t>red to the Reproductive Endocrinology Research Center (2009)</w:t>
      </w:r>
      <w:r w:rsidR="0044389A" w:rsidRPr="00510C42">
        <w:rPr>
          <w:rFonts w:asciiTheme="majorHAnsi" w:hAnsiTheme="majorHAnsi" w:cstheme="majorHAnsi"/>
          <w:color w:val="000000" w:themeColor="text1"/>
          <w:sz w:val="24"/>
          <w:szCs w:val="24"/>
        </w:rPr>
        <w:t xml:space="preserve">. </w:t>
      </w:r>
      <w:r w:rsidR="0044389A" w:rsidRPr="00510C42">
        <w:rPr>
          <w:sz w:val="24"/>
          <w:szCs w:val="24"/>
        </w:rPr>
        <w:t xml:space="preserve">Androgen excess manifestations were evaluated using valid tools. The hirsutism scores were evaluated using the modified </w:t>
      </w:r>
      <w:proofErr w:type="spellStart"/>
      <w:r w:rsidR="0044389A" w:rsidRPr="00510C42">
        <w:rPr>
          <w:sz w:val="24"/>
          <w:szCs w:val="24"/>
        </w:rPr>
        <w:t>Ferriman</w:t>
      </w:r>
      <w:proofErr w:type="spellEnd"/>
      <w:r w:rsidR="0044389A" w:rsidRPr="00510C42">
        <w:rPr>
          <w:sz w:val="24"/>
          <w:szCs w:val="24"/>
        </w:rPr>
        <w:t>-Gallwey (</w:t>
      </w:r>
      <w:proofErr w:type="spellStart"/>
      <w:r w:rsidR="0044389A" w:rsidRPr="00510C42">
        <w:rPr>
          <w:sz w:val="24"/>
          <w:szCs w:val="24"/>
        </w:rPr>
        <w:t>mFG</w:t>
      </w:r>
      <w:proofErr w:type="spellEnd"/>
      <w:r w:rsidR="0044389A" w:rsidRPr="00510C42">
        <w:rPr>
          <w:sz w:val="24"/>
          <w:szCs w:val="24"/>
        </w:rPr>
        <w:t>) scoring scale. Acne was assessed based on its type, number, and distribution.</w:t>
      </w:r>
      <w:r w:rsidR="00A10F0E" w:rsidRPr="00510C42">
        <w:rPr>
          <w:rFonts w:asciiTheme="majorHAnsi" w:hAnsiTheme="majorHAnsi" w:cstheme="majorHAnsi"/>
          <w:color w:val="000000" w:themeColor="text1"/>
          <w:sz w:val="24"/>
          <w:szCs w:val="24"/>
        </w:rPr>
        <w:t xml:space="preserve"> AEP provides a valuable data set for investigating some gaps in knowledge in the context of a population-based cohort.</w:t>
      </w:r>
      <w:r w:rsidR="0044389A" w:rsidRPr="00510C42">
        <w:rPr>
          <w:rFonts w:asciiTheme="majorHAnsi" w:hAnsiTheme="majorHAnsi" w:cstheme="majorHAnsi"/>
          <w:color w:val="000000" w:themeColor="text1"/>
          <w:sz w:val="24"/>
          <w:szCs w:val="24"/>
        </w:rPr>
        <w:t xml:space="preserve"> This </w:t>
      </w:r>
      <w:r>
        <w:rPr>
          <w:rFonts w:asciiTheme="majorHAnsi" w:hAnsiTheme="majorHAnsi" w:cstheme="majorHAnsi"/>
          <w:color w:val="000000" w:themeColor="text1"/>
          <w:sz w:val="24"/>
          <w:szCs w:val="24"/>
        </w:rPr>
        <w:t xml:space="preserve">project </w:t>
      </w:r>
      <w:r w:rsidR="0044389A" w:rsidRPr="00510C42">
        <w:rPr>
          <w:rFonts w:asciiTheme="majorHAnsi" w:hAnsiTheme="majorHAnsi" w:cstheme="majorHAnsi"/>
          <w:color w:val="000000" w:themeColor="text1"/>
          <w:sz w:val="24"/>
          <w:szCs w:val="24"/>
        </w:rPr>
        <w:t xml:space="preserve">is </w:t>
      </w:r>
      <w:r>
        <w:rPr>
          <w:rFonts w:asciiTheme="majorHAnsi" w:hAnsiTheme="majorHAnsi" w:cstheme="majorHAnsi"/>
          <w:color w:val="000000" w:themeColor="text1"/>
          <w:sz w:val="24"/>
          <w:szCs w:val="24"/>
        </w:rPr>
        <w:t>ongoing,</w:t>
      </w:r>
      <w:r w:rsidR="0044389A" w:rsidRPr="00510C42">
        <w:rPr>
          <w:rFonts w:asciiTheme="majorHAnsi" w:hAnsiTheme="majorHAnsi" w:cstheme="majorHAnsi"/>
          <w:color w:val="000000" w:themeColor="text1"/>
          <w:sz w:val="24"/>
          <w:szCs w:val="24"/>
        </w:rPr>
        <w:t xml:space="preserve"> and up to now</w:t>
      </w:r>
      <w:r>
        <w:rPr>
          <w:rFonts w:asciiTheme="majorHAnsi" w:hAnsiTheme="majorHAnsi" w:cstheme="majorHAnsi"/>
          <w:color w:val="000000" w:themeColor="text1"/>
          <w:sz w:val="24"/>
          <w:szCs w:val="24"/>
        </w:rPr>
        <w:t>,</w:t>
      </w:r>
      <w:r w:rsidR="0044389A" w:rsidRPr="00510C42">
        <w:rPr>
          <w:rFonts w:asciiTheme="majorHAnsi" w:hAnsiTheme="majorHAnsi" w:cstheme="majorHAnsi"/>
          <w:color w:val="000000" w:themeColor="text1"/>
          <w:sz w:val="24"/>
          <w:szCs w:val="24"/>
        </w:rPr>
        <w:t xml:space="preserve"> data o</w:t>
      </w:r>
      <w:r w:rsidR="00D45EC9">
        <w:rPr>
          <w:rFonts w:asciiTheme="majorHAnsi" w:hAnsiTheme="majorHAnsi" w:cstheme="majorHAnsi"/>
          <w:color w:val="000000" w:themeColor="text1"/>
          <w:sz w:val="24"/>
          <w:szCs w:val="24"/>
        </w:rPr>
        <w:t>n</w:t>
      </w:r>
      <w:r w:rsidR="0044389A" w:rsidRPr="00510C42">
        <w:rPr>
          <w:rFonts w:asciiTheme="majorHAnsi" w:hAnsiTheme="majorHAnsi" w:cstheme="majorHAnsi"/>
          <w:color w:val="000000" w:themeColor="text1"/>
          <w:sz w:val="24"/>
          <w:szCs w:val="24"/>
        </w:rPr>
        <w:t xml:space="preserve"> 2100 women </w:t>
      </w:r>
      <w:r>
        <w:rPr>
          <w:rFonts w:asciiTheme="majorHAnsi" w:hAnsiTheme="majorHAnsi" w:cstheme="majorHAnsi"/>
          <w:color w:val="000000" w:themeColor="text1"/>
          <w:sz w:val="24"/>
          <w:szCs w:val="24"/>
        </w:rPr>
        <w:t>have been</w:t>
      </w:r>
      <w:r w:rsidR="0044389A" w:rsidRPr="00510C42">
        <w:rPr>
          <w:rFonts w:asciiTheme="majorHAnsi" w:hAnsiTheme="majorHAnsi" w:cstheme="majorHAnsi"/>
          <w:color w:val="000000" w:themeColor="text1"/>
          <w:sz w:val="24"/>
          <w:szCs w:val="24"/>
        </w:rPr>
        <w:t xml:space="preserve"> collected. </w:t>
      </w:r>
      <w:r w:rsidR="00D45EC9">
        <w:rPr>
          <w:rFonts w:asciiTheme="majorHAnsi" w:hAnsiTheme="majorHAnsi" w:cstheme="majorHAnsi"/>
          <w:b/>
          <w:bCs/>
          <w:color w:val="000000" w:themeColor="text1"/>
          <w:sz w:val="24"/>
          <w:szCs w:val="24"/>
        </w:rPr>
        <w:t>The p</w:t>
      </w:r>
      <w:r w:rsidR="0044389A" w:rsidRPr="00510C42">
        <w:rPr>
          <w:rFonts w:asciiTheme="majorHAnsi" w:hAnsiTheme="majorHAnsi" w:cstheme="majorHAnsi"/>
          <w:b/>
          <w:bCs/>
          <w:color w:val="000000" w:themeColor="text1"/>
          <w:sz w:val="24"/>
          <w:szCs w:val="24"/>
        </w:rPr>
        <w:t>remature Ovarian Insufficiency Project</w:t>
      </w:r>
      <w:r w:rsidR="00D45EC9">
        <w:rPr>
          <w:rFonts w:asciiTheme="majorHAnsi" w:hAnsiTheme="majorHAnsi" w:cstheme="majorHAnsi"/>
          <w:b/>
          <w:bCs/>
          <w:color w:val="000000" w:themeColor="text1"/>
          <w:sz w:val="24"/>
          <w:szCs w:val="24"/>
        </w:rPr>
        <w:t xml:space="preserve"> </w:t>
      </w:r>
      <w:r w:rsidR="0044389A" w:rsidRPr="00510C42">
        <w:rPr>
          <w:rFonts w:asciiTheme="majorHAnsi" w:hAnsiTheme="majorHAnsi" w:cstheme="majorHAnsi"/>
          <w:b/>
          <w:bCs/>
          <w:color w:val="000000" w:themeColor="text1"/>
          <w:sz w:val="24"/>
          <w:szCs w:val="24"/>
        </w:rPr>
        <w:t xml:space="preserve">(POIP) </w:t>
      </w:r>
      <w:r w:rsidR="0044389A" w:rsidRPr="00510C42">
        <w:rPr>
          <w:rFonts w:asciiTheme="majorHAnsi" w:hAnsiTheme="majorHAnsi" w:cstheme="majorHAnsi"/>
          <w:color w:val="000000" w:themeColor="text1"/>
          <w:sz w:val="24"/>
          <w:szCs w:val="24"/>
        </w:rPr>
        <w:t>is</w:t>
      </w:r>
      <w:r w:rsidR="00192D3B" w:rsidRPr="00510C42">
        <w:rPr>
          <w:rFonts w:asciiTheme="majorHAnsi" w:hAnsiTheme="majorHAnsi" w:cstheme="majorHAnsi"/>
          <w:color w:val="000000" w:themeColor="text1"/>
          <w:sz w:val="24"/>
          <w:szCs w:val="24"/>
        </w:rPr>
        <w:t xml:space="preserve"> a clinical and genetic study initiated on women with Premature Ovarian Insufficiency who </w:t>
      </w:r>
      <w:r>
        <w:rPr>
          <w:rFonts w:asciiTheme="majorHAnsi" w:hAnsiTheme="majorHAnsi" w:cstheme="majorHAnsi"/>
          <w:color w:val="000000" w:themeColor="text1"/>
          <w:sz w:val="24"/>
          <w:szCs w:val="24"/>
        </w:rPr>
        <w:t xml:space="preserve">were </w:t>
      </w:r>
      <w:r w:rsidR="00192D3B" w:rsidRPr="00510C42">
        <w:rPr>
          <w:rFonts w:asciiTheme="majorHAnsi" w:hAnsiTheme="majorHAnsi" w:cstheme="majorHAnsi"/>
          <w:color w:val="000000" w:themeColor="text1"/>
          <w:sz w:val="24"/>
          <w:szCs w:val="24"/>
        </w:rPr>
        <w:t>ref</w:t>
      </w:r>
      <w:r>
        <w:rPr>
          <w:rFonts w:asciiTheme="majorHAnsi" w:hAnsiTheme="majorHAnsi" w:cstheme="majorHAnsi"/>
          <w:color w:val="000000" w:themeColor="text1"/>
          <w:sz w:val="24"/>
          <w:szCs w:val="24"/>
        </w:rPr>
        <w:t>er</w:t>
      </w:r>
      <w:r w:rsidR="00192D3B" w:rsidRPr="00510C42">
        <w:rPr>
          <w:rFonts w:asciiTheme="majorHAnsi" w:hAnsiTheme="majorHAnsi" w:cstheme="majorHAnsi"/>
          <w:color w:val="000000" w:themeColor="text1"/>
          <w:sz w:val="24"/>
          <w:szCs w:val="24"/>
        </w:rPr>
        <w:t xml:space="preserve">red </w:t>
      </w:r>
      <w:r>
        <w:rPr>
          <w:rFonts w:asciiTheme="majorHAnsi" w:hAnsiTheme="majorHAnsi" w:cstheme="majorHAnsi"/>
          <w:color w:val="000000" w:themeColor="text1"/>
          <w:sz w:val="24"/>
          <w:szCs w:val="24"/>
        </w:rPr>
        <w:t xml:space="preserve">to </w:t>
      </w:r>
      <w:r w:rsidR="00192D3B" w:rsidRPr="00510C42">
        <w:rPr>
          <w:rFonts w:asciiTheme="majorHAnsi" w:hAnsiTheme="majorHAnsi" w:cstheme="majorHAnsi"/>
          <w:color w:val="000000" w:themeColor="text1"/>
          <w:sz w:val="24"/>
          <w:szCs w:val="24"/>
        </w:rPr>
        <w:t>the Reproductiv</w:t>
      </w:r>
      <w:r w:rsidR="0044389A" w:rsidRPr="00510C42">
        <w:rPr>
          <w:rFonts w:asciiTheme="majorHAnsi" w:hAnsiTheme="majorHAnsi" w:cstheme="majorHAnsi"/>
          <w:color w:val="000000" w:themeColor="text1"/>
          <w:sz w:val="24"/>
          <w:szCs w:val="24"/>
        </w:rPr>
        <w:t>e Endocrinology Research Center (2010</w:t>
      </w:r>
      <w:r w:rsidR="00510C42" w:rsidRPr="00510C42">
        <w:rPr>
          <w:rFonts w:asciiTheme="majorHAnsi" w:hAnsiTheme="majorHAnsi" w:cstheme="majorHAnsi"/>
          <w:color w:val="000000" w:themeColor="text1"/>
          <w:sz w:val="24"/>
          <w:szCs w:val="24"/>
        </w:rPr>
        <w:t>). Over</w:t>
      </w:r>
      <w:r w:rsidR="0044389A" w:rsidRPr="00510C42">
        <w:rPr>
          <w:sz w:val="24"/>
          <w:szCs w:val="24"/>
        </w:rPr>
        <w:t xml:space="preserve"> previous assessments, for hormonal estimation, fasting venous blood sampling was collected on the third day of </w:t>
      </w:r>
      <w:r w:rsidR="00D45EC9">
        <w:rPr>
          <w:sz w:val="24"/>
          <w:szCs w:val="24"/>
        </w:rPr>
        <w:t xml:space="preserve">the </w:t>
      </w:r>
      <w:r w:rsidR="0044389A" w:rsidRPr="00510C42">
        <w:rPr>
          <w:sz w:val="24"/>
          <w:szCs w:val="24"/>
        </w:rPr>
        <w:t xml:space="preserve">spontaneous or progesterone withdrawal menstrual period. Moreover, transvaginal ultrasound scans of the ovaries were performed for non-virgin participants by an experienced specialist on the same day </w:t>
      </w:r>
      <w:r w:rsidR="0044389A" w:rsidRPr="00510C42">
        <w:rPr>
          <w:sz w:val="24"/>
          <w:szCs w:val="24"/>
        </w:rPr>
        <w:lastRenderedPageBreak/>
        <w:t>the blood samples were obtained.</w:t>
      </w:r>
      <w:r w:rsidR="00192D3B" w:rsidRPr="00510C42">
        <w:rPr>
          <w:rFonts w:asciiTheme="majorHAnsi" w:hAnsiTheme="majorHAnsi" w:cstheme="majorHAnsi"/>
          <w:color w:val="000000" w:themeColor="text1"/>
          <w:sz w:val="24"/>
          <w:szCs w:val="24"/>
        </w:rPr>
        <w:t xml:space="preserve"> This </w:t>
      </w:r>
      <w:r>
        <w:rPr>
          <w:rFonts w:asciiTheme="majorHAnsi" w:hAnsiTheme="majorHAnsi" w:cstheme="majorHAnsi"/>
          <w:color w:val="000000" w:themeColor="text1"/>
          <w:sz w:val="24"/>
          <w:szCs w:val="24"/>
        </w:rPr>
        <w:t xml:space="preserve">project </w:t>
      </w:r>
      <w:r w:rsidR="00192D3B" w:rsidRPr="00510C42">
        <w:rPr>
          <w:rFonts w:asciiTheme="majorHAnsi" w:hAnsiTheme="majorHAnsi" w:cstheme="majorHAnsi"/>
          <w:color w:val="000000" w:themeColor="text1"/>
          <w:sz w:val="24"/>
          <w:szCs w:val="24"/>
        </w:rPr>
        <w:t xml:space="preserve">is </w:t>
      </w:r>
      <w:r>
        <w:rPr>
          <w:rFonts w:asciiTheme="majorHAnsi" w:hAnsiTheme="majorHAnsi" w:cstheme="majorHAnsi"/>
          <w:color w:val="000000" w:themeColor="text1"/>
          <w:sz w:val="24"/>
          <w:szCs w:val="24"/>
        </w:rPr>
        <w:t>continuous and</w:t>
      </w:r>
      <w:r w:rsidR="0044389A" w:rsidRPr="00510C42">
        <w:rPr>
          <w:rFonts w:asciiTheme="majorHAnsi" w:hAnsiTheme="majorHAnsi" w:cstheme="majorHAnsi"/>
          <w:color w:val="000000" w:themeColor="text1"/>
          <w:sz w:val="24"/>
          <w:szCs w:val="24"/>
        </w:rPr>
        <w:t xml:space="preserve"> has so far gathered data </w:t>
      </w:r>
      <w:r>
        <w:rPr>
          <w:rFonts w:asciiTheme="majorHAnsi" w:hAnsiTheme="majorHAnsi" w:cstheme="majorHAnsi"/>
          <w:color w:val="000000" w:themeColor="text1"/>
          <w:sz w:val="24"/>
          <w:szCs w:val="24"/>
        </w:rPr>
        <w:t>from</w:t>
      </w:r>
      <w:r w:rsidR="0044389A" w:rsidRPr="00510C42">
        <w:rPr>
          <w:rFonts w:asciiTheme="majorHAnsi" w:hAnsiTheme="majorHAnsi" w:cstheme="majorHAnsi"/>
          <w:color w:val="000000" w:themeColor="text1"/>
          <w:sz w:val="24"/>
          <w:szCs w:val="24"/>
        </w:rPr>
        <w:t xml:space="preserve"> 1190 women.</w:t>
      </w:r>
    </w:p>
    <w:p w14:paraId="779B3ED1" w14:textId="77777777" w:rsidR="00BD2592" w:rsidRPr="00C4200F" w:rsidRDefault="00BD2592" w:rsidP="00BD2592">
      <w:pPr>
        <w:pStyle w:val="Subtitle"/>
      </w:pPr>
      <w:bookmarkStart w:id="48" w:name="_Toc113176456"/>
      <w:bookmarkStart w:id="49" w:name="_Toc119834443"/>
      <w:r w:rsidRPr="00C4200F">
        <w:t>Infrastructure</w:t>
      </w:r>
      <w:bookmarkEnd w:id="48"/>
      <w:bookmarkEnd w:id="49"/>
      <w:r w:rsidRPr="00C4200F">
        <w:t xml:space="preserve"> </w:t>
      </w:r>
    </w:p>
    <w:p w14:paraId="19C5DECD" w14:textId="77777777" w:rsidR="00BD2592" w:rsidRPr="00C4200F" w:rsidRDefault="00BD2592" w:rsidP="00BD2592">
      <w:pPr>
        <w:spacing w:line="480" w:lineRule="auto"/>
        <w:jc w:val="both"/>
        <w:rPr>
          <w:color w:val="000000" w:themeColor="text1"/>
          <w:sz w:val="24"/>
          <w:szCs w:val="24"/>
        </w:rPr>
      </w:pPr>
      <w:r w:rsidRPr="00C4200F">
        <w:rPr>
          <w:color w:val="000000" w:themeColor="text1"/>
          <w:sz w:val="24"/>
          <w:szCs w:val="24"/>
        </w:rPr>
        <w:t xml:space="preserve">The dynamic and rapidly evolving nature of different bioinformatics and biostatistics research imposes special requirements on a suitable computational infrastructure wherein all hardware, software, and network. This infrastructure has to be optimized to gain more effectiveness.  </w:t>
      </w:r>
    </w:p>
    <w:p w14:paraId="2EEBBD0C" w14:textId="456DCB13" w:rsidR="00192D3B" w:rsidRPr="00BD2592" w:rsidRDefault="00BD2592" w:rsidP="00BD2592">
      <w:pPr>
        <w:spacing w:line="480" w:lineRule="auto"/>
        <w:jc w:val="both"/>
        <w:rPr>
          <w:color w:val="000000" w:themeColor="text1"/>
          <w:sz w:val="24"/>
          <w:szCs w:val="24"/>
        </w:rPr>
      </w:pPr>
      <w:r w:rsidRPr="00C4200F">
        <w:rPr>
          <w:color w:val="000000" w:themeColor="text1"/>
          <w:sz w:val="24"/>
          <w:szCs w:val="24"/>
        </w:rPr>
        <w:t>To this aim, we proposed hosting our data on an isolated local network of Virtual desktop (VM) infrastructure (Horizon View) with the capacity to support 15 zero clients. The Servers are two processing servers with 136 cores and 384 GB of memory. The hard disk Storage is 200 TB (HPE MSA Storage server). Operating systems include Linux Centos7 – Microsoft Windows. Moreover, our researchers are content with the technical support and maintenance of this design and the architecture of computational infrastructure.</w:t>
      </w:r>
    </w:p>
    <w:p w14:paraId="013F14DB" w14:textId="77777777" w:rsidR="00E24790" w:rsidRPr="00AE1D54" w:rsidRDefault="00E24790" w:rsidP="005357D4">
      <w:pPr>
        <w:pStyle w:val="Title"/>
        <w:rPr>
          <w:rFonts w:asciiTheme="majorHAnsi" w:hAnsiTheme="majorHAnsi" w:cstheme="majorHAnsi"/>
          <w:color w:val="000000" w:themeColor="text1"/>
        </w:rPr>
      </w:pPr>
      <w:bookmarkStart w:id="50" w:name="_Toc119834444"/>
      <w:r w:rsidRPr="00AE1D54">
        <w:rPr>
          <w:rFonts w:asciiTheme="majorHAnsi" w:hAnsiTheme="majorHAnsi" w:cstheme="majorHAnsi"/>
          <w:color w:val="000000" w:themeColor="text1"/>
        </w:rPr>
        <w:t>Management</w:t>
      </w:r>
      <w:bookmarkEnd w:id="50"/>
    </w:p>
    <w:p w14:paraId="6C0FBED7" w14:textId="1504922F" w:rsidR="00E24790" w:rsidRPr="00AE1D54" w:rsidRDefault="00E24790">
      <w:pPr>
        <w:spacing w:line="480" w:lineRule="auto"/>
        <w:ind w:firstLine="720"/>
        <w:jc w:val="both"/>
        <w:rPr>
          <w:rFonts w:asciiTheme="majorHAnsi" w:hAnsiTheme="majorHAnsi" w:cstheme="majorHAnsi"/>
          <w:color w:val="000000" w:themeColor="text1"/>
          <w:sz w:val="24"/>
          <w:szCs w:val="24"/>
        </w:rPr>
      </w:pPr>
      <w:r w:rsidRPr="00AE1D54">
        <w:rPr>
          <w:rFonts w:asciiTheme="majorHAnsi" w:hAnsiTheme="majorHAnsi" w:cstheme="majorHAnsi"/>
          <w:b/>
          <w:color w:val="000000" w:themeColor="text1"/>
          <w:sz w:val="24"/>
          <w:szCs w:val="24"/>
        </w:rPr>
        <w:t>Organization:</w:t>
      </w:r>
      <w:r w:rsidRPr="00AE1D54">
        <w:rPr>
          <w:rFonts w:asciiTheme="majorHAnsi" w:hAnsiTheme="majorHAnsi" w:cstheme="majorHAnsi"/>
          <w:color w:val="000000" w:themeColor="text1"/>
          <w:sz w:val="24"/>
          <w:szCs w:val="24"/>
        </w:rPr>
        <w:t xml:space="preserve"> The TCGS unit is located in the Research Institute for Endocrine Sciences (RIES), Shahid Beheshti University of Medical Sciences (Tehran, Iran). The building consists of many units</w:t>
      </w:r>
      <w:r w:rsidR="002F5481">
        <w:rPr>
          <w:rFonts w:asciiTheme="majorHAnsi" w:hAnsiTheme="majorHAnsi" w:cstheme="majorHAnsi"/>
          <w:color w:val="000000" w:themeColor="text1"/>
          <w:sz w:val="24"/>
          <w:szCs w:val="24"/>
        </w:rPr>
        <w:t>:</w:t>
      </w:r>
      <w:r w:rsidRPr="00AE1D54">
        <w:rPr>
          <w:rFonts w:asciiTheme="majorHAnsi" w:hAnsiTheme="majorHAnsi" w:cstheme="majorHAnsi"/>
          <w:color w:val="000000" w:themeColor="text1"/>
          <w:sz w:val="24"/>
          <w:szCs w:val="24"/>
        </w:rPr>
        <w:t xml:space="preserve"> a laboratory, bioinformatics section, admission, information, examination rooms, nutrition, and social worker units. An administrator and additional staff such as physicians, recruitment coordinators, electrocardiogram technicians, laboratory personnel, social workers, nurses, data collectors, and others ensure the following of the study protocol.</w:t>
      </w:r>
    </w:p>
    <w:p w14:paraId="33194188" w14:textId="77777777" w:rsidR="00E24790" w:rsidRPr="00AE1D54" w:rsidRDefault="00E24790" w:rsidP="005357D4">
      <w:pPr>
        <w:pStyle w:val="Title"/>
        <w:rPr>
          <w:rFonts w:asciiTheme="majorHAnsi" w:hAnsiTheme="majorHAnsi" w:cstheme="majorHAnsi"/>
          <w:color w:val="000000" w:themeColor="text1"/>
        </w:rPr>
      </w:pPr>
      <w:bookmarkStart w:id="51" w:name="_Toc119834445"/>
      <w:r w:rsidRPr="00AE1D54">
        <w:rPr>
          <w:rFonts w:asciiTheme="majorHAnsi" w:hAnsiTheme="majorHAnsi" w:cstheme="majorHAnsi"/>
          <w:color w:val="000000" w:themeColor="text1"/>
        </w:rPr>
        <w:lastRenderedPageBreak/>
        <w:t>Steering committee</w:t>
      </w:r>
      <w:bookmarkEnd w:id="51"/>
    </w:p>
    <w:p w14:paraId="6AF3D459" w14:textId="77777777" w:rsidR="00E24790" w:rsidRPr="00AE1D54" w:rsidRDefault="00E24790">
      <w:pPr>
        <w:spacing w:line="480" w:lineRule="auto"/>
        <w:ind w:firstLine="720"/>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This committee consists of a principal investigator, program coordinators, additional researchers, a manager, and the section director in the TCGS units, all meeting regularly. This committee is responsible for approving the study design, policies, and decisions and oversees the administrative aspects of the TLGS Research Group.</w:t>
      </w:r>
    </w:p>
    <w:p w14:paraId="27264149" w14:textId="77777777" w:rsidR="00E24790" w:rsidRPr="00AE1D54" w:rsidRDefault="00E24790" w:rsidP="0069593E">
      <w:pPr>
        <w:pStyle w:val="Title"/>
        <w:rPr>
          <w:rFonts w:asciiTheme="majorHAnsi" w:hAnsiTheme="majorHAnsi" w:cstheme="majorHAnsi"/>
        </w:rPr>
      </w:pPr>
      <w:bookmarkStart w:id="52" w:name="_Toc119834446"/>
      <w:r w:rsidRPr="00AE1D54">
        <w:rPr>
          <w:rFonts w:asciiTheme="majorHAnsi" w:hAnsiTheme="majorHAnsi" w:cstheme="majorHAnsi"/>
        </w:rPr>
        <w:t>References</w:t>
      </w:r>
      <w:bookmarkEnd w:id="52"/>
    </w:p>
    <w:bookmarkStart w:id="53" w:name="_Hlk111268974" w:displacedByCustomXml="next"/>
    <w:sdt>
      <w:sdtPr>
        <w:rPr>
          <w:rFonts w:asciiTheme="majorHAnsi" w:eastAsia="Times New Roman" w:hAnsiTheme="majorHAnsi" w:cstheme="majorHAnsi"/>
          <w:color w:val="000000" w:themeColor="text1"/>
        </w:rPr>
        <w:tag w:val="MENDELEY_BIBLIOGRAPHY"/>
        <w:id w:val="-1275785257"/>
        <w:placeholder>
          <w:docPart w:val="DefaultPlaceholder_-1854013440"/>
        </w:placeholder>
      </w:sdtPr>
      <w:sdtEndPr/>
      <w:sdtContent>
        <w:p w14:paraId="56F87373" w14:textId="77777777" w:rsidR="0089281A" w:rsidRDefault="0089281A">
          <w:pPr>
            <w:autoSpaceDE w:val="0"/>
            <w:autoSpaceDN w:val="0"/>
            <w:ind w:hanging="640"/>
            <w:divId w:val="1532526148"/>
            <w:rPr>
              <w:rFonts w:eastAsia="Times New Roman"/>
              <w:sz w:val="24"/>
              <w:szCs w:val="24"/>
            </w:rPr>
          </w:pPr>
          <w:r>
            <w:rPr>
              <w:rFonts w:eastAsia="Times New Roman"/>
            </w:rPr>
            <w:t>1.</w:t>
          </w:r>
          <w:r>
            <w:rPr>
              <w:rFonts w:eastAsia="Times New Roman"/>
            </w:rPr>
            <w:tab/>
            <w:t xml:space="preserve">Azizi, F. </w:t>
          </w:r>
          <w:r>
            <w:rPr>
              <w:rFonts w:eastAsia="Times New Roman"/>
              <w:i/>
              <w:iCs/>
            </w:rPr>
            <w:t>et al.</w:t>
          </w:r>
          <w:r>
            <w:rPr>
              <w:rFonts w:eastAsia="Times New Roman"/>
            </w:rPr>
            <w:t xml:space="preserve"> Prevention of non-communicable disease in a population in nutrition transition: Tehran Lipid and Glucose Study phase II. </w:t>
          </w:r>
          <w:r>
            <w:rPr>
              <w:rFonts w:eastAsia="Times New Roman"/>
              <w:i/>
              <w:iCs/>
            </w:rPr>
            <w:t>Trials</w:t>
          </w:r>
          <w:r>
            <w:rPr>
              <w:rFonts w:eastAsia="Times New Roman"/>
            </w:rPr>
            <w:t xml:space="preserve"> </w:t>
          </w:r>
          <w:r>
            <w:rPr>
              <w:rFonts w:eastAsia="Times New Roman"/>
              <w:b/>
              <w:bCs/>
            </w:rPr>
            <w:t>10</w:t>
          </w:r>
          <w:r>
            <w:rPr>
              <w:rFonts w:eastAsia="Times New Roman"/>
            </w:rPr>
            <w:t>, 5 (2009).</w:t>
          </w:r>
        </w:p>
        <w:p w14:paraId="1471D9FF" w14:textId="77777777" w:rsidR="0089281A" w:rsidRDefault="0089281A">
          <w:pPr>
            <w:autoSpaceDE w:val="0"/>
            <w:autoSpaceDN w:val="0"/>
            <w:ind w:hanging="640"/>
            <w:divId w:val="669523141"/>
            <w:rPr>
              <w:rFonts w:eastAsia="Times New Roman"/>
            </w:rPr>
          </w:pPr>
          <w:r>
            <w:rPr>
              <w:rFonts w:eastAsia="Times New Roman"/>
            </w:rPr>
            <w:t>2.</w:t>
          </w:r>
          <w:r>
            <w:rPr>
              <w:rFonts w:eastAsia="Times New Roman"/>
            </w:rPr>
            <w:tab/>
            <w:t>Azizi, F., Zadeh-</w:t>
          </w:r>
          <w:proofErr w:type="spellStart"/>
          <w:r>
            <w:rPr>
              <w:rFonts w:eastAsia="Times New Roman"/>
            </w:rPr>
            <w:t>Vakili</w:t>
          </w:r>
          <w:proofErr w:type="spellEnd"/>
          <w:r>
            <w:rPr>
              <w:rFonts w:eastAsia="Times New Roman"/>
            </w:rPr>
            <w:t xml:space="preserve">, A. &amp; </w:t>
          </w:r>
          <w:proofErr w:type="spellStart"/>
          <w:r>
            <w:rPr>
              <w:rFonts w:eastAsia="Times New Roman"/>
            </w:rPr>
            <w:t>Takyar</w:t>
          </w:r>
          <w:proofErr w:type="spellEnd"/>
          <w:r>
            <w:rPr>
              <w:rFonts w:eastAsia="Times New Roman"/>
            </w:rPr>
            <w:t xml:space="preserve">, M. Review of Rationale, Design, and Initial Findings: Tehran Lipid and Glucose Study. </w:t>
          </w:r>
          <w:r>
            <w:rPr>
              <w:rFonts w:eastAsia="Times New Roman"/>
              <w:i/>
              <w:iCs/>
            </w:rPr>
            <w:t xml:space="preserve">Int J Endocrinol </w:t>
          </w:r>
          <w:proofErr w:type="spellStart"/>
          <w:r>
            <w:rPr>
              <w:rFonts w:eastAsia="Times New Roman"/>
              <w:i/>
              <w:iCs/>
            </w:rPr>
            <w:t>Metab</w:t>
          </w:r>
          <w:proofErr w:type="spellEnd"/>
          <w:r>
            <w:rPr>
              <w:rFonts w:eastAsia="Times New Roman"/>
            </w:rPr>
            <w:t xml:space="preserve"> </w:t>
          </w:r>
          <w:r>
            <w:rPr>
              <w:rFonts w:eastAsia="Times New Roman"/>
              <w:b/>
              <w:bCs/>
            </w:rPr>
            <w:t>16</w:t>
          </w:r>
          <w:r>
            <w:rPr>
              <w:rFonts w:eastAsia="Times New Roman"/>
            </w:rPr>
            <w:t>, e84777 (2018).</w:t>
          </w:r>
        </w:p>
        <w:p w14:paraId="6EC4CF98" w14:textId="77777777" w:rsidR="0089281A" w:rsidRDefault="0089281A">
          <w:pPr>
            <w:autoSpaceDE w:val="0"/>
            <w:autoSpaceDN w:val="0"/>
            <w:ind w:hanging="640"/>
            <w:divId w:val="1391005258"/>
            <w:rPr>
              <w:rFonts w:eastAsia="Times New Roman"/>
            </w:rPr>
          </w:pPr>
          <w:r>
            <w:rPr>
              <w:rFonts w:eastAsia="Times New Roman"/>
            </w:rPr>
            <w:t>3.</w:t>
          </w:r>
          <w:r>
            <w:rPr>
              <w:rFonts w:eastAsia="Times New Roman"/>
            </w:rPr>
            <w:tab/>
          </w:r>
          <w:proofErr w:type="spellStart"/>
          <w:r>
            <w:rPr>
              <w:rFonts w:eastAsia="Times New Roman"/>
            </w:rPr>
            <w:t>Barzin</w:t>
          </w:r>
          <w:proofErr w:type="spellEnd"/>
          <w:r>
            <w:rPr>
              <w:rFonts w:eastAsia="Times New Roman"/>
            </w:rPr>
            <w:t xml:space="preserve">, M. </w:t>
          </w:r>
          <w:r>
            <w:rPr>
              <w:rFonts w:eastAsia="Times New Roman"/>
              <w:i/>
              <w:iCs/>
            </w:rPr>
            <w:t>et al.</w:t>
          </w:r>
          <w:r>
            <w:rPr>
              <w:rFonts w:eastAsia="Times New Roman"/>
            </w:rPr>
            <w:t xml:space="preserve"> Bariatric Surgery for Morbid Obesity: Tehran Obesity Treatment Study (TOTS) Rationale and Study Design. </w:t>
          </w:r>
          <w:r>
            <w:rPr>
              <w:rFonts w:eastAsia="Times New Roman"/>
              <w:i/>
              <w:iCs/>
            </w:rPr>
            <w:t xml:space="preserve">JMIR Res </w:t>
          </w:r>
          <w:proofErr w:type="spellStart"/>
          <w:r>
            <w:rPr>
              <w:rFonts w:eastAsia="Times New Roman"/>
              <w:i/>
              <w:iCs/>
            </w:rPr>
            <w:t>Protoc</w:t>
          </w:r>
          <w:proofErr w:type="spellEnd"/>
          <w:r>
            <w:rPr>
              <w:rFonts w:eastAsia="Times New Roman"/>
            </w:rPr>
            <w:t xml:space="preserve"> </w:t>
          </w:r>
          <w:r>
            <w:rPr>
              <w:rFonts w:eastAsia="Times New Roman"/>
              <w:b/>
              <w:bCs/>
            </w:rPr>
            <w:t>5</w:t>
          </w:r>
          <w:r>
            <w:rPr>
              <w:rFonts w:eastAsia="Times New Roman"/>
            </w:rPr>
            <w:t>, e8 (2016).</w:t>
          </w:r>
        </w:p>
        <w:p w14:paraId="0F5CF0C2" w14:textId="77777777" w:rsidR="0089281A" w:rsidRDefault="0089281A">
          <w:pPr>
            <w:autoSpaceDE w:val="0"/>
            <w:autoSpaceDN w:val="0"/>
            <w:ind w:hanging="640"/>
            <w:divId w:val="1105928370"/>
            <w:rPr>
              <w:rFonts w:eastAsia="Times New Roman"/>
            </w:rPr>
          </w:pPr>
          <w:r>
            <w:rPr>
              <w:rFonts w:eastAsia="Times New Roman"/>
            </w:rPr>
            <w:t>4.</w:t>
          </w:r>
          <w:r>
            <w:rPr>
              <w:rFonts w:eastAsia="Times New Roman"/>
            </w:rPr>
            <w:tab/>
          </w:r>
          <w:proofErr w:type="spellStart"/>
          <w:r>
            <w:rPr>
              <w:rFonts w:eastAsia="Times New Roman"/>
            </w:rPr>
            <w:t>Hedayati</w:t>
          </w:r>
          <w:proofErr w:type="spellEnd"/>
          <w:r>
            <w:rPr>
              <w:rFonts w:eastAsia="Times New Roman"/>
            </w:rPr>
            <w:t xml:space="preserve">, M., Zarif Yeganeh, M., </w:t>
          </w:r>
          <w:proofErr w:type="spellStart"/>
          <w:r>
            <w:rPr>
              <w:rFonts w:eastAsia="Times New Roman"/>
            </w:rPr>
            <w:t>Sheikholeslami</w:t>
          </w:r>
          <w:proofErr w:type="spellEnd"/>
          <w:r>
            <w:rPr>
              <w:rFonts w:eastAsia="Times New Roman"/>
            </w:rPr>
            <w:t xml:space="preserve">, S. &amp; </w:t>
          </w:r>
          <w:proofErr w:type="spellStart"/>
          <w:r>
            <w:rPr>
              <w:rFonts w:eastAsia="Times New Roman"/>
            </w:rPr>
            <w:t>Afsari</w:t>
          </w:r>
          <w:proofErr w:type="spellEnd"/>
          <w:r>
            <w:rPr>
              <w:rFonts w:eastAsia="Times New Roman"/>
            </w:rPr>
            <w:t xml:space="preserve">, F. Diversity of mutations in the RET proto-oncogene and its oncogenic mechanism in medullary thyroid cancer. </w:t>
          </w:r>
          <w:r>
            <w:rPr>
              <w:rFonts w:eastAsia="Times New Roman"/>
              <w:i/>
              <w:iCs/>
            </w:rPr>
            <w:t>Crit Rev Clin Lab Sci</w:t>
          </w:r>
          <w:r>
            <w:rPr>
              <w:rFonts w:eastAsia="Times New Roman"/>
            </w:rPr>
            <w:t xml:space="preserve"> </w:t>
          </w:r>
          <w:r>
            <w:rPr>
              <w:rFonts w:eastAsia="Times New Roman"/>
              <w:b/>
              <w:bCs/>
            </w:rPr>
            <w:t>53</w:t>
          </w:r>
          <w:r>
            <w:rPr>
              <w:rFonts w:eastAsia="Times New Roman"/>
            </w:rPr>
            <w:t>, 217–227 (2016).</w:t>
          </w:r>
        </w:p>
        <w:p w14:paraId="7B8D03BC" w14:textId="77777777" w:rsidR="0089281A" w:rsidRDefault="0089281A">
          <w:pPr>
            <w:autoSpaceDE w:val="0"/>
            <w:autoSpaceDN w:val="0"/>
            <w:ind w:hanging="640"/>
            <w:divId w:val="1613711648"/>
            <w:rPr>
              <w:rFonts w:eastAsia="Times New Roman"/>
            </w:rPr>
          </w:pPr>
          <w:r>
            <w:rPr>
              <w:rFonts w:eastAsia="Times New Roman"/>
            </w:rPr>
            <w:t>5.</w:t>
          </w:r>
          <w:r>
            <w:rPr>
              <w:rFonts w:eastAsia="Times New Roman"/>
            </w:rPr>
            <w:tab/>
          </w:r>
          <w:proofErr w:type="spellStart"/>
          <w:r>
            <w:rPr>
              <w:rFonts w:eastAsia="Times New Roman"/>
            </w:rPr>
            <w:t>Mahdieh</w:t>
          </w:r>
          <w:proofErr w:type="spellEnd"/>
          <w:r>
            <w:rPr>
              <w:rFonts w:eastAsia="Times New Roman"/>
            </w:rPr>
            <w:t xml:space="preserve">, N., Rabbani, B., Wiley, S., Akbari, M. T. &amp; </w:t>
          </w:r>
          <w:proofErr w:type="spellStart"/>
          <w:r>
            <w:rPr>
              <w:rFonts w:eastAsia="Times New Roman"/>
            </w:rPr>
            <w:t>Zeinali</w:t>
          </w:r>
          <w:proofErr w:type="spellEnd"/>
          <w:r>
            <w:rPr>
              <w:rFonts w:eastAsia="Times New Roman"/>
            </w:rPr>
            <w:t xml:space="preserve">, S. Genetic causes of </w:t>
          </w:r>
          <w:proofErr w:type="spellStart"/>
          <w:r>
            <w:rPr>
              <w:rFonts w:eastAsia="Times New Roman"/>
            </w:rPr>
            <w:t>nonsyndromic</w:t>
          </w:r>
          <w:proofErr w:type="spellEnd"/>
          <w:r>
            <w:rPr>
              <w:rFonts w:eastAsia="Times New Roman"/>
            </w:rPr>
            <w:t xml:space="preserve"> hearing loss in Iran in comparison with other populations. </w:t>
          </w:r>
          <w:r>
            <w:rPr>
              <w:rFonts w:eastAsia="Times New Roman"/>
              <w:i/>
              <w:iCs/>
            </w:rPr>
            <w:t>Journal of Human Genetics 2010 55:10</w:t>
          </w:r>
          <w:r>
            <w:rPr>
              <w:rFonts w:eastAsia="Times New Roman"/>
            </w:rPr>
            <w:t xml:space="preserve"> </w:t>
          </w:r>
          <w:r>
            <w:rPr>
              <w:rFonts w:eastAsia="Times New Roman"/>
              <w:b/>
              <w:bCs/>
            </w:rPr>
            <w:t>55</w:t>
          </w:r>
          <w:r>
            <w:rPr>
              <w:rFonts w:eastAsia="Times New Roman"/>
            </w:rPr>
            <w:t>, 639–648 (2010).</w:t>
          </w:r>
        </w:p>
        <w:p w14:paraId="6BD54B84" w14:textId="77777777" w:rsidR="0089281A" w:rsidRDefault="0089281A">
          <w:pPr>
            <w:autoSpaceDE w:val="0"/>
            <w:autoSpaceDN w:val="0"/>
            <w:ind w:hanging="640"/>
            <w:divId w:val="2091122879"/>
            <w:rPr>
              <w:rFonts w:eastAsia="Times New Roman"/>
            </w:rPr>
          </w:pPr>
          <w:r>
            <w:rPr>
              <w:rFonts w:eastAsia="Times New Roman"/>
            </w:rPr>
            <w:t>6.</w:t>
          </w:r>
          <w:r>
            <w:rPr>
              <w:rFonts w:eastAsia="Times New Roman"/>
            </w:rPr>
            <w:tab/>
          </w:r>
          <w:proofErr w:type="spellStart"/>
          <w:r>
            <w:rPr>
              <w:rFonts w:eastAsia="Times New Roman"/>
            </w:rPr>
            <w:t>Esfahani</w:t>
          </w:r>
          <w:proofErr w:type="spellEnd"/>
          <w:r>
            <w:rPr>
              <w:rFonts w:eastAsia="Times New Roman"/>
            </w:rPr>
            <w:t xml:space="preserve">, F. H., </w:t>
          </w:r>
          <w:proofErr w:type="spellStart"/>
          <w:r>
            <w:rPr>
              <w:rFonts w:eastAsia="Times New Roman"/>
            </w:rPr>
            <w:t>Asghari</w:t>
          </w:r>
          <w:proofErr w:type="spellEnd"/>
          <w:r>
            <w:rPr>
              <w:rFonts w:eastAsia="Times New Roman"/>
            </w:rPr>
            <w:t xml:space="preserve">, G., </w:t>
          </w:r>
          <w:proofErr w:type="spellStart"/>
          <w:r>
            <w:rPr>
              <w:rFonts w:eastAsia="Times New Roman"/>
            </w:rPr>
            <w:t>Mirmiran</w:t>
          </w:r>
          <w:proofErr w:type="spellEnd"/>
          <w:r>
            <w:rPr>
              <w:rFonts w:eastAsia="Times New Roman"/>
            </w:rPr>
            <w:t xml:space="preserve">, P. &amp; Azizi, F. Reproducibility and relative validity of food group intake in a food frequency questionnaire developed for the Tehran Lipid and Glucose Study. </w:t>
          </w:r>
          <w:r>
            <w:rPr>
              <w:rFonts w:eastAsia="Times New Roman"/>
              <w:i/>
              <w:iCs/>
            </w:rPr>
            <w:t>J Epidemiol</w:t>
          </w:r>
          <w:r>
            <w:rPr>
              <w:rFonts w:eastAsia="Times New Roman"/>
            </w:rPr>
            <w:t xml:space="preserve"> </w:t>
          </w:r>
          <w:r>
            <w:rPr>
              <w:rFonts w:eastAsia="Times New Roman"/>
              <w:b/>
              <w:bCs/>
            </w:rPr>
            <w:t>20</w:t>
          </w:r>
          <w:r>
            <w:rPr>
              <w:rFonts w:eastAsia="Times New Roman"/>
            </w:rPr>
            <w:t>, 150–158 (2010).</w:t>
          </w:r>
        </w:p>
        <w:p w14:paraId="70BEE97B" w14:textId="77777777" w:rsidR="0089281A" w:rsidRDefault="0089281A">
          <w:pPr>
            <w:autoSpaceDE w:val="0"/>
            <w:autoSpaceDN w:val="0"/>
            <w:ind w:hanging="640"/>
            <w:divId w:val="552816949"/>
            <w:rPr>
              <w:rFonts w:eastAsia="Times New Roman"/>
            </w:rPr>
          </w:pPr>
          <w:r>
            <w:rPr>
              <w:rFonts w:eastAsia="Times New Roman"/>
            </w:rPr>
            <w:t>7.</w:t>
          </w:r>
          <w:r>
            <w:rPr>
              <w:rFonts w:eastAsia="Times New Roman"/>
            </w:rPr>
            <w:tab/>
          </w:r>
          <w:proofErr w:type="spellStart"/>
          <w:r>
            <w:rPr>
              <w:rFonts w:eastAsia="Times New Roman"/>
            </w:rPr>
            <w:t>Mirmiran</w:t>
          </w:r>
          <w:proofErr w:type="spellEnd"/>
          <w:r>
            <w:rPr>
              <w:rFonts w:eastAsia="Times New Roman"/>
            </w:rPr>
            <w:t xml:space="preserve">, P., Hosseini </w:t>
          </w:r>
          <w:proofErr w:type="spellStart"/>
          <w:r>
            <w:rPr>
              <w:rFonts w:eastAsia="Times New Roman"/>
            </w:rPr>
            <w:t>Esfahani</w:t>
          </w:r>
          <w:proofErr w:type="spellEnd"/>
          <w:r>
            <w:rPr>
              <w:rFonts w:eastAsia="Times New Roman"/>
            </w:rPr>
            <w:t xml:space="preserve">, F., </w:t>
          </w:r>
          <w:proofErr w:type="spellStart"/>
          <w:r>
            <w:rPr>
              <w:rFonts w:eastAsia="Times New Roman"/>
            </w:rPr>
            <w:t>Mehrabi</w:t>
          </w:r>
          <w:proofErr w:type="spellEnd"/>
          <w:r>
            <w:rPr>
              <w:rFonts w:eastAsia="Times New Roman"/>
            </w:rPr>
            <w:t xml:space="preserve">, Y., </w:t>
          </w:r>
          <w:proofErr w:type="spellStart"/>
          <w:r>
            <w:rPr>
              <w:rFonts w:eastAsia="Times New Roman"/>
            </w:rPr>
            <w:t>Hedayati</w:t>
          </w:r>
          <w:proofErr w:type="spellEnd"/>
          <w:r>
            <w:rPr>
              <w:rFonts w:eastAsia="Times New Roman"/>
            </w:rPr>
            <w:t xml:space="preserve">, M. &amp; Azizi, F. Reliability and relative validity of an FFQ for nutrients in the Tehran lipid and glucose study. </w:t>
          </w:r>
          <w:r>
            <w:rPr>
              <w:rFonts w:eastAsia="Times New Roman"/>
              <w:i/>
              <w:iCs/>
            </w:rPr>
            <w:t xml:space="preserve">Public Health </w:t>
          </w:r>
          <w:proofErr w:type="spellStart"/>
          <w:r>
            <w:rPr>
              <w:rFonts w:eastAsia="Times New Roman"/>
              <w:i/>
              <w:iCs/>
            </w:rPr>
            <w:t>Nutr</w:t>
          </w:r>
          <w:proofErr w:type="spellEnd"/>
          <w:r>
            <w:rPr>
              <w:rFonts w:eastAsia="Times New Roman"/>
            </w:rPr>
            <w:t xml:space="preserve"> </w:t>
          </w:r>
          <w:r>
            <w:rPr>
              <w:rFonts w:eastAsia="Times New Roman"/>
              <w:b/>
              <w:bCs/>
            </w:rPr>
            <w:t>13</w:t>
          </w:r>
          <w:r>
            <w:rPr>
              <w:rFonts w:eastAsia="Times New Roman"/>
            </w:rPr>
            <w:t>, 654–662 (2010).</w:t>
          </w:r>
        </w:p>
        <w:p w14:paraId="67100E7D" w14:textId="77777777" w:rsidR="0089281A" w:rsidRDefault="0089281A">
          <w:pPr>
            <w:autoSpaceDE w:val="0"/>
            <w:autoSpaceDN w:val="0"/>
            <w:ind w:hanging="640"/>
            <w:divId w:val="53816372"/>
            <w:rPr>
              <w:rFonts w:eastAsia="Times New Roman"/>
            </w:rPr>
          </w:pPr>
          <w:r>
            <w:rPr>
              <w:rFonts w:eastAsia="Times New Roman"/>
            </w:rPr>
            <w:t>8.</w:t>
          </w:r>
          <w:r>
            <w:rPr>
              <w:rFonts w:eastAsia="Times New Roman"/>
            </w:rPr>
            <w:tab/>
          </w:r>
          <w:proofErr w:type="spellStart"/>
          <w:r>
            <w:rPr>
              <w:rFonts w:eastAsia="Times New Roman"/>
            </w:rPr>
            <w:t>Montazeri</w:t>
          </w:r>
          <w:proofErr w:type="spellEnd"/>
          <w:r>
            <w:rPr>
              <w:rFonts w:eastAsia="Times New Roman"/>
            </w:rPr>
            <w:t xml:space="preserve">, A. </w:t>
          </w:r>
          <w:r>
            <w:rPr>
              <w:rFonts w:eastAsia="Times New Roman"/>
              <w:i/>
              <w:iCs/>
            </w:rPr>
            <w:t>et al.</w:t>
          </w:r>
          <w:r>
            <w:rPr>
              <w:rFonts w:eastAsia="Times New Roman"/>
            </w:rPr>
            <w:t xml:space="preserve"> The 12-item medical outcomes study short form health survey version 2.0 (SF-12v2): a population-based validation study from Tehran, Iran. </w:t>
          </w:r>
          <w:r>
            <w:rPr>
              <w:rFonts w:eastAsia="Times New Roman"/>
              <w:i/>
              <w:iCs/>
            </w:rPr>
            <w:t>Health Qual Life Outcomes</w:t>
          </w:r>
          <w:r>
            <w:rPr>
              <w:rFonts w:eastAsia="Times New Roman"/>
            </w:rPr>
            <w:t xml:space="preserve"> </w:t>
          </w:r>
          <w:r>
            <w:rPr>
              <w:rFonts w:eastAsia="Times New Roman"/>
              <w:b/>
              <w:bCs/>
            </w:rPr>
            <w:t>9</w:t>
          </w:r>
          <w:r>
            <w:rPr>
              <w:rFonts w:eastAsia="Times New Roman"/>
            </w:rPr>
            <w:t>, (2011).</w:t>
          </w:r>
        </w:p>
        <w:p w14:paraId="6E08C685" w14:textId="77777777" w:rsidR="0089281A" w:rsidRDefault="0089281A">
          <w:pPr>
            <w:autoSpaceDE w:val="0"/>
            <w:autoSpaceDN w:val="0"/>
            <w:ind w:hanging="640"/>
            <w:divId w:val="1242256085"/>
            <w:rPr>
              <w:rFonts w:eastAsia="Times New Roman"/>
            </w:rPr>
          </w:pPr>
          <w:r>
            <w:rPr>
              <w:rFonts w:eastAsia="Times New Roman"/>
            </w:rPr>
            <w:t>9.</w:t>
          </w:r>
          <w:r>
            <w:rPr>
              <w:rFonts w:eastAsia="Times New Roman"/>
            </w:rPr>
            <w:tab/>
            <w:t xml:space="preserve">Loewen, H. </w:t>
          </w:r>
          <w:proofErr w:type="spellStart"/>
          <w:r>
            <w:rPr>
              <w:rFonts w:eastAsia="Times New Roman"/>
            </w:rPr>
            <w:t>LibGuides</w:t>
          </w:r>
          <w:proofErr w:type="spellEnd"/>
          <w:r>
            <w:rPr>
              <w:rFonts w:eastAsia="Times New Roman"/>
            </w:rPr>
            <w:t>: Assessment Tools: How to score version 2 of the SF-12 health survey (with a supplement documenting version 1).</w:t>
          </w:r>
        </w:p>
        <w:p w14:paraId="61B4D8D8" w14:textId="77777777" w:rsidR="0089281A" w:rsidRDefault="0089281A">
          <w:pPr>
            <w:autoSpaceDE w:val="0"/>
            <w:autoSpaceDN w:val="0"/>
            <w:ind w:hanging="640"/>
            <w:divId w:val="1151287615"/>
            <w:rPr>
              <w:rFonts w:eastAsia="Times New Roman"/>
            </w:rPr>
          </w:pPr>
          <w:r>
            <w:rPr>
              <w:rFonts w:eastAsia="Times New Roman"/>
            </w:rPr>
            <w:lastRenderedPageBreak/>
            <w:t>10.</w:t>
          </w:r>
          <w:r>
            <w:rPr>
              <w:rFonts w:eastAsia="Times New Roman"/>
            </w:rPr>
            <w:tab/>
            <w:t xml:space="preserve">SHAYEGHIAN, Z., AMIRI, P., VAHEDI-NOTASH, G., KARIMI, M. &amp; AZIZI, F. Validity and Reliability of the Iranian Version of the Short Form Social Well Being Scale in a General Urban Population. </w:t>
          </w:r>
          <w:r>
            <w:rPr>
              <w:rFonts w:eastAsia="Times New Roman"/>
              <w:i/>
              <w:iCs/>
            </w:rPr>
            <w:t>Iran J Public Health</w:t>
          </w:r>
          <w:r>
            <w:rPr>
              <w:rFonts w:eastAsia="Times New Roman"/>
            </w:rPr>
            <w:t xml:space="preserve"> </w:t>
          </w:r>
          <w:r>
            <w:rPr>
              <w:rFonts w:eastAsia="Times New Roman"/>
              <w:b/>
              <w:bCs/>
            </w:rPr>
            <w:t>48</w:t>
          </w:r>
          <w:r>
            <w:rPr>
              <w:rFonts w:eastAsia="Times New Roman"/>
            </w:rPr>
            <w:t>, 1478–1487 (2019).</w:t>
          </w:r>
        </w:p>
        <w:p w14:paraId="71EFD279" w14:textId="77777777" w:rsidR="0089281A" w:rsidRDefault="0089281A">
          <w:pPr>
            <w:autoSpaceDE w:val="0"/>
            <w:autoSpaceDN w:val="0"/>
            <w:ind w:hanging="640"/>
            <w:divId w:val="881408780"/>
            <w:rPr>
              <w:rFonts w:eastAsia="Times New Roman"/>
            </w:rPr>
          </w:pPr>
          <w:r>
            <w:rPr>
              <w:rFonts w:eastAsia="Times New Roman"/>
            </w:rPr>
            <w:t>11.</w:t>
          </w:r>
          <w:r>
            <w:rPr>
              <w:rFonts w:eastAsia="Times New Roman"/>
            </w:rPr>
            <w:tab/>
            <w:t xml:space="preserve">Keyes, C. L. M. Social well-being. </w:t>
          </w:r>
          <w:r>
            <w:rPr>
              <w:rFonts w:eastAsia="Times New Roman"/>
              <w:i/>
              <w:iCs/>
            </w:rPr>
            <w:t>Soc Psychol Q</w:t>
          </w:r>
          <w:r>
            <w:rPr>
              <w:rFonts w:eastAsia="Times New Roman"/>
            </w:rPr>
            <w:t xml:space="preserve"> </w:t>
          </w:r>
          <w:r>
            <w:rPr>
              <w:rFonts w:eastAsia="Times New Roman"/>
              <w:b/>
              <w:bCs/>
            </w:rPr>
            <w:t>61</w:t>
          </w:r>
          <w:r>
            <w:rPr>
              <w:rFonts w:eastAsia="Times New Roman"/>
            </w:rPr>
            <w:t>, 121–137 (1998).</w:t>
          </w:r>
        </w:p>
        <w:p w14:paraId="186A5D67" w14:textId="77777777" w:rsidR="0089281A" w:rsidRDefault="0089281A">
          <w:pPr>
            <w:autoSpaceDE w:val="0"/>
            <w:autoSpaceDN w:val="0"/>
            <w:ind w:hanging="640"/>
            <w:divId w:val="1390499061"/>
            <w:rPr>
              <w:rFonts w:eastAsia="Times New Roman"/>
            </w:rPr>
          </w:pPr>
          <w:r>
            <w:rPr>
              <w:rFonts w:eastAsia="Times New Roman"/>
            </w:rPr>
            <w:t>12.</w:t>
          </w:r>
          <w:r>
            <w:rPr>
              <w:rFonts w:eastAsia="Times New Roman"/>
            </w:rPr>
            <w:tab/>
            <w:t xml:space="preserve">P., A. </w:t>
          </w:r>
          <w:r>
            <w:rPr>
              <w:rFonts w:eastAsia="Times New Roman"/>
              <w:i/>
              <w:iCs/>
            </w:rPr>
            <w:t>et al.</w:t>
          </w:r>
          <w:r>
            <w:rPr>
              <w:rFonts w:eastAsia="Times New Roman"/>
            </w:rPr>
            <w:t xml:space="preserve"> Designation </w:t>
          </w:r>
          <w:proofErr w:type="gramStart"/>
          <w:r>
            <w:rPr>
              <w:rFonts w:eastAsia="Times New Roman"/>
            </w:rPr>
            <w:t>And</w:t>
          </w:r>
          <w:proofErr w:type="gramEnd"/>
          <w:r>
            <w:rPr>
              <w:rFonts w:eastAsia="Times New Roman"/>
            </w:rPr>
            <w:t xml:space="preserve"> Psychometric Assessment Of A Comprehensive Spiritual Health Questionnaire For Iranian Populations. vol. 8 25–55 Preprint at (2015).</w:t>
          </w:r>
        </w:p>
        <w:p w14:paraId="438DEC32" w14:textId="77777777" w:rsidR="0089281A" w:rsidRDefault="0089281A">
          <w:pPr>
            <w:autoSpaceDE w:val="0"/>
            <w:autoSpaceDN w:val="0"/>
            <w:ind w:hanging="640"/>
            <w:divId w:val="1611428021"/>
            <w:rPr>
              <w:rFonts w:eastAsia="Times New Roman"/>
            </w:rPr>
          </w:pPr>
          <w:r>
            <w:rPr>
              <w:rFonts w:eastAsia="Times New Roman"/>
            </w:rPr>
            <w:t>13.</w:t>
          </w:r>
          <w:r>
            <w:rPr>
              <w:rFonts w:eastAsia="Times New Roman"/>
            </w:rPr>
            <w:tab/>
            <w:t>ICD-11 for Mortality and Morbidity Statistics. https://icd.who.int/browse11/l-m/en.</w:t>
          </w:r>
        </w:p>
        <w:p w14:paraId="36AB0159" w14:textId="77777777" w:rsidR="0089281A" w:rsidRDefault="0089281A">
          <w:pPr>
            <w:autoSpaceDE w:val="0"/>
            <w:autoSpaceDN w:val="0"/>
            <w:ind w:hanging="640"/>
            <w:divId w:val="1974483791"/>
            <w:rPr>
              <w:rFonts w:eastAsia="Times New Roman"/>
            </w:rPr>
          </w:pPr>
          <w:r>
            <w:rPr>
              <w:rFonts w:eastAsia="Times New Roman"/>
            </w:rPr>
            <w:t>14.</w:t>
          </w:r>
          <w:r>
            <w:rPr>
              <w:rFonts w:eastAsia="Times New Roman"/>
            </w:rPr>
            <w:tab/>
            <w:t xml:space="preserve">Truett, G. E. </w:t>
          </w:r>
          <w:r>
            <w:rPr>
              <w:rFonts w:eastAsia="Times New Roman"/>
              <w:i/>
              <w:iCs/>
            </w:rPr>
            <w:t>et al.</w:t>
          </w:r>
          <w:r>
            <w:rPr>
              <w:rFonts w:eastAsia="Times New Roman"/>
            </w:rPr>
            <w:t xml:space="preserve"> Preparation of PCR-quality mouse genomic DNA with hot sodium hydroxide and tris (</w:t>
          </w:r>
          <w:proofErr w:type="spellStart"/>
          <w:r>
            <w:rPr>
              <w:rFonts w:eastAsia="Times New Roman"/>
            </w:rPr>
            <w:t>HotSHOT</w:t>
          </w:r>
          <w:proofErr w:type="spellEnd"/>
          <w:r>
            <w:rPr>
              <w:rFonts w:eastAsia="Times New Roman"/>
            </w:rPr>
            <w:t xml:space="preserve">). </w:t>
          </w:r>
          <w:r>
            <w:rPr>
              <w:rFonts w:eastAsia="Times New Roman"/>
              <w:i/>
              <w:iCs/>
            </w:rPr>
            <w:t>Biotechniques</w:t>
          </w:r>
          <w:r>
            <w:rPr>
              <w:rFonts w:eastAsia="Times New Roman"/>
            </w:rPr>
            <w:t xml:space="preserve"> </w:t>
          </w:r>
          <w:r>
            <w:rPr>
              <w:rFonts w:eastAsia="Times New Roman"/>
              <w:b/>
              <w:bCs/>
            </w:rPr>
            <w:t>29</w:t>
          </w:r>
          <w:r>
            <w:rPr>
              <w:rFonts w:eastAsia="Times New Roman"/>
            </w:rPr>
            <w:t>, 52,54 (2000).</w:t>
          </w:r>
        </w:p>
        <w:p w14:paraId="595F7C3C" w14:textId="77777777" w:rsidR="0089281A" w:rsidRDefault="0089281A">
          <w:pPr>
            <w:autoSpaceDE w:val="0"/>
            <w:autoSpaceDN w:val="0"/>
            <w:ind w:hanging="640"/>
            <w:divId w:val="1311717410"/>
            <w:rPr>
              <w:rFonts w:eastAsia="Times New Roman"/>
            </w:rPr>
          </w:pPr>
          <w:r>
            <w:rPr>
              <w:rFonts w:eastAsia="Times New Roman"/>
            </w:rPr>
            <w:t>15.</w:t>
          </w:r>
          <w:r>
            <w:rPr>
              <w:rFonts w:eastAsia="Times New Roman"/>
            </w:rPr>
            <w:tab/>
            <w:t>Iran At a Glance. https://www.investiniran.ir/en/Iran-At-a-Glance.</w:t>
          </w:r>
        </w:p>
        <w:p w14:paraId="3F2DFFE2" w14:textId="77777777" w:rsidR="0089281A" w:rsidRDefault="0089281A">
          <w:pPr>
            <w:autoSpaceDE w:val="0"/>
            <w:autoSpaceDN w:val="0"/>
            <w:ind w:hanging="640"/>
            <w:divId w:val="2061243550"/>
            <w:rPr>
              <w:rFonts w:eastAsia="Times New Roman"/>
            </w:rPr>
          </w:pPr>
          <w:r>
            <w:rPr>
              <w:rFonts w:eastAsia="Times New Roman"/>
            </w:rPr>
            <w:t>16.</w:t>
          </w:r>
          <w:r>
            <w:rPr>
              <w:rFonts w:eastAsia="Times New Roman"/>
            </w:rPr>
            <w:tab/>
            <w:t>Iranians in the World. https://www.atlasofhumanity.com/iranians.</w:t>
          </w:r>
        </w:p>
        <w:p w14:paraId="62BE6521" w14:textId="27DDB3E7" w:rsidR="0089281A" w:rsidRDefault="0089281A">
          <w:pPr>
            <w:autoSpaceDE w:val="0"/>
            <w:autoSpaceDN w:val="0"/>
            <w:ind w:hanging="640"/>
            <w:divId w:val="86269600"/>
            <w:rPr>
              <w:rFonts w:eastAsia="Times New Roman"/>
            </w:rPr>
          </w:pPr>
          <w:r>
            <w:rPr>
              <w:rFonts w:eastAsia="Times New Roman"/>
            </w:rPr>
            <w:t>17.</w:t>
          </w:r>
          <w:r>
            <w:rPr>
              <w:rFonts w:eastAsia="Times New Roman"/>
            </w:rPr>
            <w:tab/>
            <w:t xml:space="preserve">The International Handbook of the Demography of Race and Ethnicity - Google Books. </w:t>
          </w:r>
        </w:p>
        <w:p w14:paraId="7A58A3D9" w14:textId="3D3A8FA3" w:rsidR="00327515" w:rsidRDefault="0089281A" w:rsidP="00AB35C7">
          <w:pPr>
            <w:autoSpaceDE w:val="0"/>
            <w:autoSpaceDN w:val="0"/>
            <w:ind w:hanging="640"/>
            <w:rPr>
              <w:rFonts w:asciiTheme="majorHAnsi" w:eastAsia="Times New Roman" w:hAnsiTheme="majorHAnsi" w:cstheme="majorHAnsi"/>
              <w:color w:val="000000" w:themeColor="text1"/>
            </w:rPr>
          </w:pPr>
          <w:r>
            <w:rPr>
              <w:rFonts w:eastAsia="Times New Roman"/>
            </w:rPr>
            <w:t> </w:t>
          </w:r>
        </w:p>
      </w:sdtContent>
    </w:sdt>
    <w:p w14:paraId="7CB8A79A" w14:textId="6197099D" w:rsidR="00E24790" w:rsidRPr="00AE1D54" w:rsidRDefault="00E24790" w:rsidP="0069593E">
      <w:pPr>
        <w:widowControl w:val="0"/>
        <w:pBdr>
          <w:top w:val="nil"/>
          <w:left w:val="nil"/>
          <w:bottom w:val="nil"/>
          <w:right w:val="nil"/>
          <w:between w:val="nil"/>
        </w:pBdr>
        <w:spacing w:after="0" w:line="276" w:lineRule="auto"/>
        <w:jc w:val="both"/>
        <w:rPr>
          <w:rFonts w:asciiTheme="majorHAnsi" w:hAnsiTheme="majorHAnsi" w:cstheme="majorHAnsi"/>
          <w:color w:val="000000" w:themeColor="text1"/>
          <w:sz w:val="24"/>
          <w:szCs w:val="24"/>
        </w:rPr>
      </w:pPr>
      <w:r w:rsidRPr="00AE1D54">
        <w:rPr>
          <w:rFonts w:asciiTheme="majorHAnsi" w:eastAsia="Times New Roman" w:hAnsiTheme="majorHAnsi" w:cstheme="majorHAnsi"/>
          <w:color w:val="000000" w:themeColor="text1"/>
        </w:rPr>
        <w:t> </w:t>
      </w:r>
      <w:bookmarkEnd w:id="53"/>
    </w:p>
    <w:p w14:paraId="5302AEBD" w14:textId="77777777" w:rsidR="00E24790" w:rsidRPr="00AE1D54" w:rsidRDefault="00E24790" w:rsidP="006E3BBC">
      <w:pPr>
        <w:widowControl w:val="0"/>
        <w:pBdr>
          <w:top w:val="nil"/>
          <w:left w:val="nil"/>
          <w:bottom w:val="nil"/>
          <w:right w:val="nil"/>
          <w:between w:val="nil"/>
        </w:pBdr>
        <w:spacing w:after="0" w:line="276" w:lineRule="auto"/>
        <w:jc w:val="both"/>
        <w:rPr>
          <w:rFonts w:asciiTheme="majorHAnsi" w:hAnsiTheme="majorHAnsi" w:cstheme="majorHAnsi"/>
          <w:color w:val="000000" w:themeColor="text1"/>
          <w:sz w:val="24"/>
          <w:szCs w:val="24"/>
        </w:rPr>
      </w:pPr>
    </w:p>
    <w:p w14:paraId="28F662CD" w14:textId="77777777" w:rsidR="00E24790" w:rsidRPr="00AE1D54" w:rsidRDefault="00E24790" w:rsidP="006E3BBC">
      <w:pPr>
        <w:widowControl w:val="0"/>
        <w:pBdr>
          <w:top w:val="nil"/>
          <w:left w:val="nil"/>
          <w:bottom w:val="nil"/>
          <w:right w:val="nil"/>
          <w:between w:val="nil"/>
        </w:pBdr>
        <w:spacing w:after="0" w:line="276" w:lineRule="auto"/>
        <w:jc w:val="both"/>
        <w:rPr>
          <w:rFonts w:asciiTheme="majorHAnsi" w:hAnsiTheme="majorHAnsi" w:cstheme="majorHAnsi"/>
          <w:color w:val="000000" w:themeColor="text1"/>
          <w:sz w:val="24"/>
          <w:szCs w:val="24"/>
        </w:rPr>
      </w:pPr>
    </w:p>
    <w:p w14:paraId="0F3919A8" w14:textId="77777777" w:rsidR="00E24790" w:rsidRPr="00AE1D54" w:rsidRDefault="00E24790">
      <w:pPr>
        <w:rPr>
          <w:rFonts w:asciiTheme="majorHAnsi" w:hAnsiTheme="majorHAnsi" w:cstheme="majorHAnsi"/>
          <w:b/>
          <w:iCs/>
          <w:sz w:val="20"/>
        </w:rPr>
      </w:pPr>
      <w:bookmarkStart w:id="54" w:name="_heading=h.2u6wntf" w:colFirst="0" w:colLast="0"/>
      <w:bookmarkEnd w:id="54"/>
      <w:r w:rsidRPr="00AE1D54">
        <w:rPr>
          <w:rFonts w:asciiTheme="majorHAnsi" w:hAnsiTheme="majorHAnsi" w:cstheme="majorHAnsi"/>
        </w:rPr>
        <w:br w:type="page"/>
      </w:r>
    </w:p>
    <w:p w14:paraId="1C9A0AF0" w14:textId="77777777" w:rsidR="00E24790" w:rsidRPr="00AE1D54" w:rsidRDefault="00E24790" w:rsidP="00E24790">
      <w:pPr>
        <w:pStyle w:val="Quote"/>
      </w:pPr>
      <w:bookmarkStart w:id="55" w:name="_Toc119834447"/>
      <w:r w:rsidRPr="00AE1D54">
        <w:lastRenderedPageBreak/>
        <w:t>Table 1: Participants by region, province, ethnicity, and chip data</w:t>
      </w:r>
      <w:bookmarkEnd w:id="55"/>
    </w:p>
    <w:tbl>
      <w:tblPr>
        <w:tblStyle w:val="3"/>
        <w:tblW w:w="10045" w:type="dxa"/>
        <w:tblLayout w:type="fixed"/>
        <w:tblLook w:val="0400" w:firstRow="0" w:lastRow="0" w:firstColumn="0" w:lastColumn="0" w:noHBand="0" w:noVBand="1"/>
      </w:tblPr>
      <w:tblGrid>
        <w:gridCol w:w="958"/>
        <w:gridCol w:w="1314"/>
        <w:gridCol w:w="1048"/>
        <w:gridCol w:w="3227"/>
        <w:gridCol w:w="261"/>
        <w:gridCol w:w="3237"/>
      </w:tblGrid>
      <w:tr w:rsidR="00E24790" w:rsidRPr="00AE1D54" w14:paraId="340E4E1E" w14:textId="77777777" w:rsidTr="00890650">
        <w:trPr>
          <w:trHeight w:val="217"/>
        </w:trPr>
        <w:tc>
          <w:tcPr>
            <w:tcW w:w="958" w:type="dxa"/>
            <w:tcBorders>
              <w:top w:val="single" w:sz="6" w:space="0" w:color="000000"/>
              <w:left w:val="nil"/>
              <w:bottom w:val="single" w:sz="4" w:space="0" w:color="000000"/>
              <w:right w:val="nil"/>
            </w:tcBorders>
            <w:shd w:val="clear" w:color="auto" w:fill="auto"/>
            <w:vAlign w:val="center"/>
          </w:tcPr>
          <w:p w14:paraId="5CA268E9" w14:textId="77777777" w:rsidR="00E24790" w:rsidRPr="00AE1D54" w:rsidRDefault="00E24790">
            <w:pPr>
              <w:spacing w:after="0" w:line="240" w:lineRule="auto"/>
              <w:jc w:val="center"/>
              <w:rPr>
                <w:rFonts w:asciiTheme="majorHAnsi" w:hAnsiTheme="majorHAnsi" w:cstheme="majorHAnsi"/>
                <w:b/>
                <w:color w:val="000000" w:themeColor="text1"/>
                <w:sz w:val="18"/>
                <w:szCs w:val="18"/>
              </w:rPr>
            </w:pPr>
            <w:r w:rsidRPr="00AE1D54">
              <w:rPr>
                <w:rFonts w:asciiTheme="majorHAnsi" w:hAnsiTheme="majorHAnsi" w:cstheme="majorHAnsi"/>
                <w:b/>
                <w:color w:val="000000" w:themeColor="text1"/>
                <w:sz w:val="18"/>
                <w:szCs w:val="18"/>
              </w:rPr>
              <w:t>*Region</w:t>
            </w:r>
          </w:p>
        </w:tc>
        <w:tc>
          <w:tcPr>
            <w:tcW w:w="1314" w:type="dxa"/>
            <w:tcBorders>
              <w:top w:val="single" w:sz="6" w:space="0" w:color="000000"/>
              <w:left w:val="nil"/>
              <w:bottom w:val="single" w:sz="6" w:space="0" w:color="000000"/>
              <w:right w:val="nil"/>
            </w:tcBorders>
            <w:shd w:val="clear" w:color="auto" w:fill="auto"/>
            <w:vAlign w:val="center"/>
          </w:tcPr>
          <w:p w14:paraId="5D9F96AC" w14:textId="77777777" w:rsidR="00E24790" w:rsidRPr="00AE1D54" w:rsidRDefault="00E24790">
            <w:pPr>
              <w:spacing w:after="0" w:line="240" w:lineRule="auto"/>
              <w:jc w:val="center"/>
              <w:rPr>
                <w:rFonts w:asciiTheme="majorHAnsi" w:hAnsiTheme="majorHAnsi" w:cstheme="majorHAnsi"/>
                <w:b/>
                <w:color w:val="000000" w:themeColor="text1"/>
                <w:sz w:val="18"/>
                <w:szCs w:val="18"/>
              </w:rPr>
            </w:pPr>
            <w:r w:rsidRPr="00AE1D54">
              <w:rPr>
                <w:rFonts w:asciiTheme="majorHAnsi" w:hAnsiTheme="majorHAnsi" w:cstheme="majorHAnsi"/>
                <w:b/>
                <w:color w:val="000000" w:themeColor="text1"/>
                <w:sz w:val="18"/>
                <w:szCs w:val="18"/>
              </w:rPr>
              <w:t>Province</w:t>
            </w:r>
          </w:p>
        </w:tc>
        <w:tc>
          <w:tcPr>
            <w:tcW w:w="1048" w:type="dxa"/>
            <w:tcBorders>
              <w:top w:val="single" w:sz="6" w:space="0" w:color="000000"/>
              <w:left w:val="nil"/>
              <w:bottom w:val="single" w:sz="6" w:space="0" w:color="000000"/>
              <w:right w:val="nil"/>
            </w:tcBorders>
            <w:shd w:val="clear" w:color="auto" w:fill="auto"/>
            <w:vAlign w:val="center"/>
          </w:tcPr>
          <w:p w14:paraId="4E643121" w14:textId="77777777" w:rsidR="00E24790" w:rsidRPr="00AE1D54" w:rsidRDefault="00E24790">
            <w:pPr>
              <w:spacing w:after="0" w:line="240" w:lineRule="auto"/>
              <w:jc w:val="center"/>
              <w:rPr>
                <w:rFonts w:asciiTheme="majorHAnsi" w:hAnsiTheme="majorHAnsi" w:cstheme="majorHAnsi"/>
                <w:b/>
                <w:color w:val="000000" w:themeColor="text1"/>
                <w:sz w:val="18"/>
                <w:szCs w:val="18"/>
              </w:rPr>
            </w:pPr>
            <w:r w:rsidRPr="00AE1D54">
              <w:rPr>
                <w:rFonts w:asciiTheme="majorHAnsi" w:hAnsiTheme="majorHAnsi" w:cstheme="majorHAnsi"/>
                <w:b/>
                <w:color w:val="000000" w:themeColor="text1"/>
                <w:sz w:val="18"/>
                <w:szCs w:val="18"/>
              </w:rPr>
              <w:t>Population</w:t>
            </w:r>
          </w:p>
        </w:tc>
        <w:tc>
          <w:tcPr>
            <w:tcW w:w="3227" w:type="dxa"/>
            <w:tcBorders>
              <w:top w:val="single" w:sz="6" w:space="0" w:color="000000"/>
              <w:left w:val="nil"/>
              <w:bottom w:val="single" w:sz="6" w:space="0" w:color="000000"/>
              <w:right w:val="nil"/>
            </w:tcBorders>
            <w:shd w:val="clear" w:color="auto" w:fill="auto"/>
            <w:vAlign w:val="center"/>
          </w:tcPr>
          <w:p w14:paraId="74BDA75C" w14:textId="77777777" w:rsidR="00E24790" w:rsidRPr="00AE1D54" w:rsidRDefault="00E24790">
            <w:pPr>
              <w:spacing w:after="0" w:line="240" w:lineRule="auto"/>
              <w:jc w:val="center"/>
              <w:rPr>
                <w:rFonts w:asciiTheme="majorHAnsi" w:hAnsiTheme="majorHAnsi" w:cstheme="majorHAnsi"/>
                <w:b/>
                <w:color w:val="000000" w:themeColor="text1"/>
                <w:sz w:val="18"/>
                <w:szCs w:val="18"/>
              </w:rPr>
            </w:pPr>
            <w:r w:rsidRPr="00AE1D54">
              <w:rPr>
                <w:rFonts w:asciiTheme="majorHAnsi" w:hAnsiTheme="majorHAnsi" w:cstheme="majorHAnsi"/>
                <w:b/>
                <w:color w:val="000000" w:themeColor="text1"/>
                <w:sz w:val="18"/>
                <w:szCs w:val="18"/>
              </w:rPr>
              <w:t>Total Ethnicity</w:t>
            </w:r>
          </w:p>
        </w:tc>
        <w:tc>
          <w:tcPr>
            <w:tcW w:w="3498" w:type="dxa"/>
            <w:gridSpan w:val="2"/>
            <w:tcBorders>
              <w:top w:val="single" w:sz="6" w:space="0" w:color="000000"/>
              <w:left w:val="nil"/>
              <w:bottom w:val="single" w:sz="6" w:space="0" w:color="000000"/>
              <w:right w:val="nil"/>
            </w:tcBorders>
            <w:vAlign w:val="center"/>
          </w:tcPr>
          <w:p w14:paraId="2ACA759A" w14:textId="77777777" w:rsidR="00E24790" w:rsidRPr="00AE1D54" w:rsidRDefault="00E24790">
            <w:pPr>
              <w:spacing w:after="0" w:line="240" w:lineRule="auto"/>
              <w:jc w:val="center"/>
              <w:rPr>
                <w:rFonts w:asciiTheme="majorHAnsi" w:hAnsiTheme="majorHAnsi" w:cstheme="majorHAnsi"/>
                <w:b/>
                <w:color w:val="000000" w:themeColor="text1"/>
                <w:sz w:val="18"/>
                <w:szCs w:val="18"/>
              </w:rPr>
            </w:pPr>
            <w:r w:rsidRPr="00AE1D54">
              <w:rPr>
                <w:rFonts w:asciiTheme="majorHAnsi" w:hAnsiTheme="majorHAnsi" w:cstheme="majorHAnsi"/>
                <w:b/>
                <w:color w:val="000000" w:themeColor="text1"/>
                <w:sz w:val="18"/>
                <w:szCs w:val="18"/>
              </w:rPr>
              <w:t>Chip data Ethnicity</w:t>
            </w:r>
          </w:p>
        </w:tc>
      </w:tr>
      <w:tr w:rsidR="00E24790" w:rsidRPr="00AE1D54" w14:paraId="32FC858B" w14:textId="77777777" w:rsidTr="00890650">
        <w:trPr>
          <w:trHeight w:val="194"/>
        </w:trPr>
        <w:tc>
          <w:tcPr>
            <w:tcW w:w="958" w:type="dxa"/>
            <w:vMerge w:val="restart"/>
            <w:tcBorders>
              <w:top w:val="nil"/>
              <w:left w:val="nil"/>
              <w:right w:val="nil"/>
            </w:tcBorders>
            <w:vAlign w:val="center"/>
          </w:tcPr>
          <w:p w14:paraId="23D79F14"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w:t>
            </w:r>
          </w:p>
        </w:tc>
        <w:tc>
          <w:tcPr>
            <w:tcW w:w="1314" w:type="dxa"/>
            <w:tcBorders>
              <w:top w:val="nil"/>
              <w:left w:val="nil"/>
              <w:right w:val="nil"/>
            </w:tcBorders>
            <w:shd w:val="clear" w:color="auto" w:fill="auto"/>
          </w:tcPr>
          <w:p w14:paraId="21FE955D"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Alborz</w:t>
            </w:r>
          </w:p>
        </w:tc>
        <w:tc>
          <w:tcPr>
            <w:tcW w:w="1048" w:type="dxa"/>
            <w:tcBorders>
              <w:top w:val="nil"/>
              <w:left w:val="nil"/>
              <w:right w:val="nil"/>
            </w:tcBorders>
            <w:shd w:val="clear" w:color="auto" w:fill="auto"/>
            <w:vAlign w:val="center"/>
          </w:tcPr>
          <w:p w14:paraId="3EB4D51F"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2712400</w:t>
            </w:r>
          </w:p>
        </w:tc>
        <w:tc>
          <w:tcPr>
            <w:tcW w:w="3488" w:type="dxa"/>
            <w:gridSpan w:val="2"/>
            <w:vMerge w:val="restart"/>
            <w:tcBorders>
              <w:left w:val="nil"/>
              <w:right w:val="nil"/>
            </w:tcBorders>
            <w:vAlign w:val="center"/>
          </w:tcPr>
          <w:p w14:paraId="3A60D2EA"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2255</w:t>
            </w:r>
          </w:p>
          <w:p w14:paraId="2F882DE1"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gramStart"/>
            <w:r w:rsidRPr="00AE1D54">
              <w:rPr>
                <w:rFonts w:asciiTheme="majorHAnsi" w:hAnsiTheme="majorHAnsi" w:cstheme="majorHAnsi"/>
                <w:color w:val="000000" w:themeColor="text1"/>
                <w:sz w:val="18"/>
                <w:szCs w:val="18"/>
              </w:rPr>
              <w:t>Arab(</w:t>
            </w:r>
            <w:proofErr w:type="gramEnd"/>
            <w:r w:rsidRPr="00AE1D54">
              <w:rPr>
                <w:rFonts w:asciiTheme="majorHAnsi" w:hAnsiTheme="majorHAnsi" w:cstheme="majorHAnsi"/>
                <w:color w:val="000000" w:themeColor="text1"/>
                <w:sz w:val="18"/>
                <w:szCs w:val="18"/>
              </w:rPr>
              <w:t xml:space="preserve">2), Arab-Persian(5), </w:t>
            </w:r>
            <w:proofErr w:type="spellStart"/>
            <w:r w:rsidRPr="00AE1D54">
              <w:rPr>
                <w:rFonts w:asciiTheme="majorHAnsi" w:hAnsiTheme="majorHAnsi" w:cstheme="majorHAnsi"/>
                <w:color w:val="000000" w:themeColor="text1"/>
                <w:sz w:val="18"/>
                <w:szCs w:val="18"/>
              </w:rPr>
              <w:t>Gilak</w:t>
            </w:r>
            <w:proofErr w:type="spellEnd"/>
            <w:r w:rsidRPr="00AE1D54">
              <w:rPr>
                <w:rFonts w:asciiTheme="majorHAnsi" w:hAnsiTheme="majorHAnsi" w:cstheme="majorHAnsi"/>
                <w:color w:val="000000" w:themeColor="text1"/>
                <w:sz w:val="18"/>
                <w:szCs w:val="18"/>
              </w:rPr>
              <w:t xml:space="preserve">(114), Kurd(1), Lur-Persian(1), Persian(2072), Tat(10), Tat-Turk(28), Turk(12), </w:t>
            </w:r>
            <w:proofErr w:type="spellStart"/>
            <w:r w:rsidRPr="00AE1D54">
              <w:rPr>
                <w:rFonts w:asciiTheme="majorHAnsi" w:hAnsiTheme="majorHAnsi" w:cstheme="majorHAnsi"/>
                <w:color w:val="000000" w:themeColor="text1"/>
                <w:sz w:val="18"/>
                <w:szCs w:val="18"/>
              </w:rPr>
              <w:t>Turkaman</w:t>
            </w:r>
            <w:proofErr w:type="spellEnd"/>
            <w:r w:rsidRPr="00AE1D54">
              <w:rPr>
                <w:rFonts w:asciiTheme="majorHAnsi" w:hAnsiTheme="majorHAnsi" w:cstheme="majorHAnsi"/>
                <w:color w:val="000000" w:themeColor="text1"/>
                <w:sz w:val="18"/>
                <w:szCs w:val="18"/>
              </w:rPr>
              <w:t>(6), Others(4)</w:t>
            </w:r>
          </w:p>
        </w:tc>
        <w:tc>
          <w:tcPr>
            <w:tcW w:w="3237" w:type="dxa"/>
            <w:vMerge w:val="restart"/>
            <w:tcBorders>
              <w:left w:val="nil"/>
              <w:right w:val="nil"/>
            </w:tcBorders>
            <w:vAlign w:val="center"/>
          </w:tcPr>
          <w:p w14:paraId="1654E689"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N:1351</w:t>
            </w:r>
          </w:p>
          <w:p w14:paraId="521CC86C"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gramStart"/>
            <w:r w:rsidRPr="00AE1D54">
              <w:rPr>
                <w:rFonts w:asciiTheme="majorHAnsi" w:hAnsiTheme="majorHAnsi" w:cstheme="majorHAnsi"/>
                <w:color w:val="000000" w:themeColor="text1"/>
                <w:sz w:val="18"/>
                <w:szCs w:val="18"/>
              </w:rPr>
              <w:t>Arab(</w:t>
            </w:r>
            <w:proofErr w:type="gramEnd"/>
            <w:r w:rsidRPr="00AE1D54">
              <w:rPr>
                <w:rFonts w:asciiTheme="majorHAnsi" w:hAnsiTheme="majorHAnsi" w:cstheme="majorHAnsi"/>
                <w:color w:val="000000" w:themeColor="text1"/>
                <w:sz w:val="18"/>
                <w:szCs w:val="18"/>
              </w:rPr>
              <w:t xml:space="preserve">2), Arab-Persian(3), </w:t>
            </w:r>
            <w:proofErr w:type="spellStart"/>
            <w:r w:rsidRPr="00AE1D54">
              <w:rPr>
                <w:rFonts w:asciiTheme="majorHAnsi" w:hAnsiTheme="majorHAnsi" w:cstheme="majorHAnsi"/>
                <w:color w:val="000000" w:themeColor="text1"/>
                <w:sz w:val="18"/>
                <w:szCs w:val="18"/>
              </w:rPr>
              <w:t>Gilak</w:t>
            </w:r>
            <w:proofErr w:type="spellEnd"/>
            <w:r w:rsidRPr="00AE1D54">
              <w:rPr>
                <w:rFonts w:asciiTheme="majorHAnsi" w:hAnsiTheme="majorHAnsi" w:cstheme="majorHAnsi"/>
                <w:color w:val="000000" w:themeColor="text1"/>
                <w:sz w:val="18"/>
                <w:szCs w:val="18"/>
              </w:rPr>
              <w:t xml:space="preserve">(80), Kurd(1), Lur-Persian(1),Persian(1218), Tat(10), Tat-Turk(18), Turk(11), </w:t>
            </w:r>
            <w:proofErr w:type="spellStart"/>
            <w:r w:rsidRPr="00AE1D54">
              <w:rPr>
                <w:rFonts w:asciiTheme="majorHAnsi" w:hAnsiTheme="majorHAnsi" w:cstheme="majorHAnsi"/>
                <w:color w:val="000000" w:themeColor="text1"/>
                <w:sz w:val="18"/>
                <w:szCs w:val="18"/>
              </w:rPr>
              <w:t>Turkaman</w:t>
            </w:r>
            <w:proofErr w:type="spellEnd"/>
            <w:r w:rsidRPr="00AE1D54">
              <w:rPr>
                <w:rFonts w:asciiTheme="majorHAnsi" w:hAnsiTheme="majorHAnsi" w:cstheme="majorHAnsi"/>
                <w:color w:val="000000" w:themeColor="text1"/>
                <w:sz w:val="18"/>
                <w:szCs w:val="18"/>
              </w:rPr>
              <w:t>(3), Others(4)</w:t>
            </w:r>
          </w:p>
          <w:p w14:paraId="3541A8FB"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
        </w:tc>
      </w:tr>
      <w:tr w:rsidR="00E24790" w:rsidRPr="00AE1D54" w14:paraId="67DB9D44" w14:textId="77777777" w:rsidTr="00890650">
        <w:trPr>
          <w:trHeight w:val="194"/>
        </w:trPr>
        <w:tc>
          <w:tcPr>
            <w:tcW w:w="958" w:type="dxa"/>
            <w:vMerge/>
            <w:tcBorders>
              <w:top w:val="nil"/>
              <w:left w:val="nil"/>
              <w:right w:val="nil"/>
            </w:tcBorders>
            <w:vAlign w:val="center"/>
          </w:tcPr>
          <w:p w14:paraId="1C9BEF9A"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right w:val="nil"/>
            </w:tcBorders>
            <w:shd w:val="clear" w:color="auto" w:fill="auto"/>
          </w:tcPr>
          <w:p w14:paraId="2543B313" w14:textId="77777777" w:rsidR="00E24790" w:rsidRPr="00AE1D54" w:rsidRDefault="00E24790">
            <w:pPr>
              <w:spacing w:after="0" w:line="240" w:lineRule="auto"/>
              <w:rPr>
                <w:rFonts w:asciiTheme="majorHAnsi" w:hAnsiTheme="majorHAnsi" w:cstheme="majorHAnsi"/>
                <w:color w:val="000000" w:themeColor="text1"/>
                <w:sz w:val="18"/>
                <w:szCs w:val="18"/>
              </w:rPr>
            </w:pPr>
            <w:proofErr w:type="spellStart"/>
            <w:r w:rsidRPr="00AE1D54">
              <w:rPr>
                <w:rFonts w:asciiTheme="majorHAnsi" w:hAnsiTheme="majorHAnsi" w:cstheme="majorHAnsi"/>
                <w:color w:val="000000" w:themeColor="text1"/>
                <w:sz w:val="18"/>
                <w:szCs w:val="18"/>
              </w:rPr>
              <w:t>Golestan</w:t>
            </w:r>
            <w:proofErr w:type="spellEnd"/>
          </w:p>
        </w:tc>
        <w:tc>
          <w:tcPr>
            <w:tcW w:w="1048" w:type="dxa"/>
            <w:tcBorders>
              <w:top w:val="nil"/>
              <w:left w:val="nil"/>
              <w:right w:val="nil"/>
            </w:tcBorders>
            <w:shd w:val="clear" w:color="auto" w:fill="auto"/>
            <w:vAlign w:val="center"/>
          </w:tcPr>
          <w:p w14:paraId="3139A85C"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1868819</w:t>
            </w:r>
          </w:p>
        </w:tc>
        <w:tc>
          <w:tcPr>
            <w:tcW w:w="3488" w:type="dxa"/>
            <w:gridSpan w:val="2"/>
            <w:vMerge/>
            <w:tcBorders>
              <w:left w:val="nil"/>
              <w:right w:val="nil"/>
            </w:tcBorders>
            <w:vAlign w:val="center"/>
          </w:tcPr>
          <w:p w14:paraId="0BFC9DB4"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left w:val="nil"/>
              <w:right w:val="nil"/>
            </w:tcBorders>
            <w:vAlign w:val="center"/>
          </w:tcPr>
          <w:p w14:paraId="753AB26B"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1CA828A3" w14:textId="77777777" w:rsidTr="00890650">
        <w:trPr>
          <w:trHeight w:val="194"/>
        </w:trPr>
        <w:tc>
          <w:tcPr>
            <w:tcW w:w="958" w:type="dxa"/>
            <w:vMerge/>
            <w:tcBorders>
              <w:top w:val="nil"/>
              <w:left w:val="nil"/>
              <w:right w:val="nil"/>
            </w:tcBorders>
            <w:vAlign w:val="center"/>
          </w:tcPr>
          <w:p w14:paraId="6F2D3735"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right w:val="nil"/>
            </w:tcBorders>
            <w:shd w:val="clear" w:color="auto" w:fill="auto"/>
          </w:tcPr>
          <w:p w14:paraId="34ABCF9C"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Mazandaran</w:t>
            </w:r>
          </w:p>
        </w:tc>
        <w:tc>
          <w:tcPr>
            <w:tcW w:w="1048" w:type="dxa"/>
            <w:tcBorders>
              <w:top w:val="nil"/>
              <w:left w:val="nil"/>
              <w:right w:val="nil"/>
            </w:tcBorders>
            <w:shd w:val="clear" w:color="auto" w:fill="auto"/>
            <w:vAlign w:val="center"/>
          </w:tcPr>
          <w:p w14:paraId="3E48681E"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3283582</w:t>
            </w:r>
          </w:p>
        </w:tc>
        <w:tc>
          <w:tcPr>
            <w:tcW w:w="3488" w:type="dxa"/>
            <w:gridSpan w:val="2"/>
            <w:vMerge/>
            <w:tcBorders>
              <w:left w:val="nil"/>
              <w:right w:val="nil"/>
            </w:tcBorders>
            <w:vAlign w:val="center"/>
          </w:tcPr>
          <w:p w14:paraId="7ACF1592"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left w:val="nil"/>
              <w:right w:val="nil"/>
            </w:tcBorders>
            <w:vAlign w:val="center"/>
          </w:tcPr>
          <w:p w14:paraId="757B7799"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36528083" w14:textId="77777777" w:rsidTr="00890650">
        <w:trPr>
          <w:trHeight w:val="194"/>
        </w:trPr>
        <w:tc>
          <w:tcPr>
            <w:tcW w:w="958" w:type="dxa"/>
            <w:vMerge/>
            <w:tcBorders>
              <w:top w:val="nil"/>
              <w:left w:val="nil"/>
              <w:right w:val="nil"/>
            </w:tcBorders>
            <w:vAlign w:val="center"/>
          </w:tcPr>
          <w:p w14:paraId="7A2BB906"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right w:val="nil"/>
            </w:tcBorders>
            <w:shd w:val="clear" w:color="auto" w:fill="auto"/>
          </w:tcPr>
          <w:p w14:paraId="7A6603C7"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Qazvin</w:t>
            </w:r>
          </w:p>
        </w:tc>
        <w:tc>
          <w:tcPr>
            <w:tcW w:w="1048" w:type="dxa"/>
            <w:tcBorders>
              <w:top w:val="nil"/>
              <w:left w:val="nil"/>
              <w:right w:val="nil"/>
            </w:tcBorders>
            <w:shd w:val="clear" w:color="auto" w:fill="auto"/>
            <w:vAlign w:val="center"/>
          </w:tcPr>
          <w:p w14:paraId="36ABD903"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1273761</w:t>
            </w:r>
          </w:p>
        </w:tc>
        <w:tc>
          <w:tcPr>
            <w:tcW w:w="3488" w:type="dxa"/>
            <w:gridSpan w:val="2"/>
            <w:vMerge/>
            <w:tcBorders>
              <w:left w:val="nil"/>
              <w:right w:val="nil"/>
            </w:tcBorders>
            <w:vAlign w:val="center"/>
          </w:tcPr>
          <w:p w14:paraId="79B11B55"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left w:val="nil"/>
              <w:right w:val="nil"/>
            </w:tcBorders>
            <w:vAlign w:val="center"/>
          </w:tcPr>
          <w:p w14:paraId="1A728484"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1F0A6D35" w14:textId="77777777" w:rsidTr="00890650">
        <w:trPr>
          <w:trHeight w:val="194"/>
        </w:trPr>
        <w:tc>
          <w:tcPr>
            <w:tcW w:w="958" w:type="dxa"/>
            <w:vMerge/>
            <w:tcBorders>
              <w:top w:val="nil"/>
              <w:left w:val="nil"/>
              <w:right w:val="nil"/>
            </w:tcBorders>
            <w:vAlign w:val="center"/>
          </w:tcPr>
          <w:p w14:paraId="16190326"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right w:val="nil"/>
            </w:tcBorders>
            <w:shd w:val="clear" w:color="auto" w:fill="auto"/>
          </w:tcPr>
          <w:p w14:paraId="589A8F50"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Qom</w:t>
            </w:r>
          </w:p>
        </w:tc>
        <w:tc>
          <w:tcPr>
            <w:tcW w:w="1048" w:type="dxa"/>
            <w:tcBorders>
              <w:top w:val="nil"/>
              <w:left w:val="nil"/>
              <w:right w:val="nil"/>
            </w:tcBorders>
            <w:shd w:val="clear" w:color="auto" w:fill="auto"/>
            <w:vAlign w:val="center"/>
          </w:tcPr>
          <w:p w14:paraId="3C78C6FB"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1292283</w:t>
            </w:r>
          </w:p>
        </w:tc>
        <w:tc>
          <w:tcPr>
            <w:tcW w:w="3488" w:type="dxa"/>
            <w:gridSpan w:val="2"/>
            <w:vMerge/>
            <w:tcBorders>
              <w:left w:val="nil"/>
              <w:right w:val="nil"/>
            </w:tcBorders>
            <w:vAlign w:val="center"/>
          </w:tcPr>
          <w:p w14:paraId="007659A3"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left w:val="nil"/>
              <w:right w:val="nil"/>
            </w:tcBorders>
            <w:vAlign w:val="center"/>
          </w:tcPr>
          <w:p w14:paraId="57597C82"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44C8E89D" w14:textId="77777777" w:rsidTr="00890650">
        <w:trPr>
          <w:trHeight w:val="194"/>
        </w:trPr>
        <w:tc>
          <w:tcPr>
            <w:tcW w:w="958" w:type="dxa"/>
            <w:vMerge/>
            <w:tcBorders>
              <w:top w:val="nil"/>
              <w:left w:val="nil"/>
              <w:right w:val="nil"/>
            </w:tcBorders>
            <w:vAlign w:val="center"/>
          </w:tcPr>
          <w:p w14:paraId="6E0C515C"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right w:val="nil"/>
            </w:tcBorders>
            <w:shd w:val="clear" w:color="auto" w:fill="auto"/>
          </w:tcPr>
          <w:p w14:paraId="699A1EB8"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Semnan</w:t>
            </w:r>
          </w:p>
        </w:tc>
        <w:tc>
          <w:tcPr>
            <w:tcW w:w="1048" w:type="dxa"/>
            <w:tcBorders>
              <w:top w:val="nil"/>
              <w:left w:val="nil"/>
              <w:right w:val="nil"/>
            </w:tcBorders>
            <w:shd w:val="clear" w:color="auto" w:fill="auto"/>
            <w:vAlign w:val="center"/>
          </w:tcPr>
          <w:p w14:paraId="5899730D"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702360</w:t>
            </w:r>
          </w:p>
        </w:tc>
        <w:tc>
          <w:tcPr>
            <w:tcW w:w="3488" w:type="dxa"/>
            <w:gridSpan w:val="2"/>
            <w:vMerge/>
            <w:tcBorders>
              <w:left w:val="nil"/>
              <w:right w:val="nil"/>
            </w:tcBorders>
            <w:vAlign w:val="center"/>
          </w:tcPr>
          <w:p w14:paraId="11DF9D61"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left w:val="nil"/>
              <w:right w:val="nil"/>
            </w:tcBorders>
            <w:vAlign w:val="center"/>
          </w:tcPr>
          <w:p w14:paraId="4AA55C0B"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04C1C082" w14:textId="77777777" w:rsidTr="00890650">
        <w:trPr>
          <w:trHeight w:val="194"/>
        </w:trPr>
        <w:tc>
          <w:tcPr>
            <w:tcW w:w="958" w:type="dxa"/>
            <w:vMerge/>
            <w:tcBorders>
              <w:top w:val="nil"/>
              <w:left w:val="nil"/>
              <w:right w:val="nil"/>
            </w:tcBorders>
            <w:vAlign w:val="center"/>
          </w:tcPr>
          <w:p w14:paraId="6A90A7F9"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bottom w:val="single" w:sz="4" w:space="0" w:color="000000"/>
              <w:right w:val="nil"/>
            </w:tcBorders>
            <w:shd w:val="clear" w:color="auto" w:fill="auto"/>
          </w:tcPr>
          <w:p w14:paraId="4A88EC99"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Tehran</w:t>
            </w:r>
          </w:p>
        </w:tc>
        <w:tc>
          <w:tcPr>
            <w:tcW w:w="1048" w:type="dxa"/>
            <w:tcBorders>
              <w:left w:val="nil"/>
              <w:bottom w:val="single" w:sz="4" w:space="0" w:color="000000"/>
              <w:right w:val="nil"/>
            </w:tcBorders>
            <w:shd w:val="clear" w:color="auto" w:fill="auto"/>
            <w:vAlign w:val="center"/>
          </w:tcPr>
          <w:p w14:paraId="01E98E11"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13267637</w:t>
            </w:r>
          </w:p>
        </w:tc>
        <w:tc>
          <w:tcPr>
            <w:tcW w:w="3488" w:type="dxa"/>
            <w:gridSpan w:val="2"/>
            <w:vMerge/>
            <w:tcBorders>
              <w:left w:val="nil"/>
              <w:right w:val="nil"/>
            </w:tcBorders>
            <w:vAlign w:val="center"/>
          </w:tcPr>
          <w:p w14:paraId="77FBC58A"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left w:val="nil"/>
              <w:right w:val="nil"/>
            </w:tcBorders>
            <w:vAlign w:val="center"/>
          </w:tcPr>
          <w:p w14:paraId="10D63527"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262B44F3" w14:textId="77777777" w:rsidTr="00890650">
        <w:trPr>
          <w:trHeight w:val="194"/>
        </w:trPr>
        <w:tc>
          <w:tcPr>
            <w:tcW w:w="958" w:type="dxa"/>
            <w:vMerge w:val="restart"/>
            <w:tcBorders>
              <w:top w:val="single" w:sz="4" w:space="0" w:color="000000"/>
              <w:left w:val="nil"/>
              <w:bottom w:val="single" w:sz="4" w:space="0" w:color="000000"/>
              <w:right w:val="nil"/>
            </w:tcBorders>
            <w:shd w:val="clear" w:color="auto" w:fill="auto"/>
            <w:vAlign w:val="center"/>
          </w:tcPr>
          <w:p w14:paraId="1802FC91"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2</w:t>
            </w:r>
          </w:p>
        </w:tc>
        <w:tc>
          <w:tcPr>
            <w:tcW w:w="1314" w:type="dxa"/>
            <w:tcBorders>
              <w:top w:val="single" w:sz="4" w:space="0" w:color="000000"/>
              <w:left w:val="nil"/>
              <w:right w:val="nil"/>
            </w:tcBorders>
            <w:shd w:val="clear" w:color="auto" w:fill="auto"/>
          </w:tcPr>
          <w:p w14:paraId="45A00923"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Bushehr</w:t>
            </w:r>
          </w:p>
        </w:tc>
        <w:tc>
          <w:tcPr>
            <w:tcW w:w="1048" w:type="dxa"/>
            <w:tcBorders>
              <w:top w:val="single" w:sz="4" w:space="0" w:color="000000"/>
              <w:left w:val="nil"/>
              <w:right w:val="nil"/>
            </w:tcBorders>
            <w:shd w:val="clear" w:color="auto" w:fill="auto"/>
            <w:vAlign w:val="center"/>
          </w:tcPr>
          <w:p w14:paraId="278B61FA"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1163400</w:t>
            </w:r>
          </w:p>
        </w:tc>
        <w:tc>
          <w:tcPr>
            <w:tcW w:w="3488" w:type="dxa"/>
            <w:gridSpan w:val="2"/>
            <w:vMerge w:val="restart"/>
            <w:tcBorders>
              <w:top w:val="single" w:sz="4" w:space="0" w:color="000000"/>
              <w:left w:val="nil"/>
              <w:right w:val="nil"/>
            </w:tcBorders>
            <w:shd w:val="clear" w:color="auto" w:fill="auto"/>
            <w:vAlign w:val="center"/>
          </w:tcPr>
          <w:p w14:paraId="293A7AA1"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1221</w:t>
            </w:r>
          </w:p>
          <w:p w14:paraId="437F3EEA"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gramStart"/>
            <w:r w:rsidRPr="00AE1D54">
              <w:rPr>
                <w:rFonts w:asciiTheme="majorHAnsi" w:hAnsiTheme="majorHAnsi" w:cstheme="majorHAnsi"/>
                <w:color w:val="000000" w:themeColor="text1"/>
                <w:sz w:val="18"/>
                <w:szCs w:val="18"/>
              </w:rPr>
              <w:t>Arab(</w:t>
            </w:r>
            <w:proofErr w:type="gramEnd"/>
            <w:r w:rsidRPr="00AE1D54">
              <w:rPr>
                <w:rFonts w:asciiTheme="majorHAnsi" w:hAnsiTheme="majorHAnsi" w:cstheme="majorHAnsi"/>
                <w:color w:val="000000" w:themeColor="text1"/>
                <w:sz w:val="18"/>
                <w:szCs w:val="18"/>
              </w:rPr>
              <w:t>26), Arab-Persian(2), Lur(26), Persian(1157), Qashqai(3), Turk(2), Others(5)</w:t>
            </w:r>
          </w:p>
        </w:tc>
        <w:tc>
          <w:tcPr>
            <w:tcW w:w="3237" w:type="dxa"/>
            <w:vMerge w:val="restart"/>
            <w:tcBorders>
              <w:top w:val="single" w:sz="4" w:space="0" w:color="000000"/>
              <w:left w:val="nil"/>
              <w:right w:val="nil"/>
            </w:tcBorders>
            <w:vAlign w:val="center"/>
          </w:tcPr>
          <w:p w14:paraId="039D7B57"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743</w:t>
            </w:r>
          </w:p>
          <w:p w14:paraId="4B917466"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gramStart"/>
            <w:r w:rsidRPr="00AE1D54">
              <w:rPr>
                <w:rFonts w:asciiTheme="majorHAnsi" w:hAnsiTheme="majorHAnsi" w:cstheme="majorHAnsi"/>
                <w:color w:val="000000" w:themeColor="text1"/>
                <w:sz w:val="18"/>
                <w:szCs w:val="18"/>
              </w:rPr>
              <w:t>Arab(</w:t>
            </w:r>
            <w:proofErr w:type="gramEnd"/>
            <w:r w:rsidRPr="00AE1D54">
              <w:rPr>
                <w:rFonts w:asciiTheme="majorHAnsi" w:hAnsiTheme="majorHAnsi" w:cstheme="majorHAnsi"/>
                <w:color w:val="000000" w:themeColor="text1"/>
                <w:sz w:val="18"/>
                <w:szCs w:val="18"/>
              </w:rPr>
              <w:t>22), Arab-Persian(2), Lur(23), Persian(688), Qashqai(2), Turk(1), Others(5)</w:t>
            </w:r>
          </w:p>
        </w:tc>
      </w:tr>
      <w:tr w:rsidR="00E24790" w:rsidRPr="00AE1D54" w14:paraId="3D115460"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6500D439"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bottom w:val="nil"/>
              <w:right w:val="nil"/>
            </w:tcBorders>
            <w:shd w:val="clear" w:color="auto" w:fill="auto"/>
          </w:tcPr>
          <w:p w14:paraId="6BDA8684" w14:textId="77777777" w:rsidR="00E24790" w:rsidRPr="00AE1D54" w:rsidRDefault="00E24790">
            <w:pPr>
              <w:spacing w:after="0" w:line="240" w:lineRule="auto"/>
              <w:rPr>
                <w:rFonts w:asciiTheme="majorHAnsi" w:hAnsiTheme="majorHAnsi" w:cstheme="majorHAnsi"/>
                <w:color w:val="000000" w:themeColor="text1"/>
                <w:sz w:val="18"/>
                <w:szCs w:val="18"/>
              </w:rPr>
            </w:pPr>
            <w:proofErr w:type="spellStart"/>
            <w:r w:rsidRPr="00AE1D54">
              <w:rPr>
                <w:rFonts w:asciiTheme="majorHAnsi" w:hAnsiTheme="majorHAnsi" w:cstheme="majorHAnsi"/>
                <w:color w:val="000000" w:themeColor="text1"/>
                <w:sz w:val="18"/>
                <w:szCs w:val="18"/>
              </w:rPr>
              <w:t>Chaharmahal</w:t>
            </w:r>
            <w:proofErr w:type="spellEnd"/>
            <w:r w:rsidRPr="00AE1D54">
              <w:rPr>
                <w:rFonts w:asciiTheme="majorHAnsi" w:hAnsiTheme="majorHAnsi" w:cstheme="majorHAnsi"/>
                <w:color w:val="000000" w:themeColor="text1"/>
                <w:sz w:val="18"/>
                <w:szCs w:val="18"/>
              </w:rPr>
              <w:t xml:space="preserve"> and Bakhtiari</w:t>
            </w:r>
          </w:p>
        </w:tc>
        <w:tc>
          <w:tcPr>
            <w:tcW w:w="1048" w:type="dxa"/>
            <w:tcBorders>
              <w:left w:val="nil"/>
              <w:bottom w:val="nil"/>
              <w:right w:val="nil"/>
            </w:tcBorders>
            <w:shd w:val="clear" w:color="auto" w:fill="auto"/>
            <w:vAlign w:val="center"/>
          </w:tcPr>
          <w:p w14:paraId="396760CD"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947763</w:t>
            </w:r>
          </w:p>
        </w:tc>
        <w:tc>
          <w:tcPr>
            <w:tcW w:w="3488" w:type="dxa"/>
            <w:gridSpan w:val="2"/>
            <w:vMerge/>
            <w:tcBorders>
              <w:top w:val="single" w:sz="4" w:space="0" w:color="000000"/>
              <w:left w:val="nil"/>
              <w:right w:val="nil"/>
            </w:tcBorders>
            <w:shd w:val="clear" w:color="auto" w:fill="auto"/>
            <w:vAlign w:val="center"/>
          </w:tcPr>
          <w:p w14:paraId="4DF97336"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75C5B72E"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4AF03138"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5CDEB9AB"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bottom w:val="nil"/>
              <w:right w:val="nil"/>
            </w:tcBorders>
            <w:shd w:val="clear" w:color="auto" w:fill="auto"/>
          </w:tcPr>
          <w:p w14:paraId="6785CA4F"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Fars</w:t>
            </w:r>
          </w:p>
        </w:tc>
        <w:tc>
          <w:tcPr>
            <w:tcW w:w="1048" w:type="dxa"/>
            <w:tcBorders>
              <w:top w:val="nil"/>
              <w:left w:val="nil"/>
              <w:bottom w:val="nil"/>
              <w:right w:val="nil"/>
            </w:tcBorders>
            <w:shd w:val="clear" w:color="auto" w:fill="auto"/>
            <w:vAlign w:val="center"/>
          </w:tcPr>
          <w:p w14:paraId="12AF15D7"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4851274</w:t>
            </w:r>
          </w:p>
        </w:tc>
        <w:tc>
          <w:tcPr>
            <w:tcW w:w="3488" w:type="dxa"/>
            <w:gridSpan w:val="2"/>
            <w:vMerge/>
            <w:tcBorders>
              <w:top w:val="single" w:sz="4" w:space="0" w:color="000000"/>
              <w:left w:val="nil"/>
              <w:right w:val="nil"/>
            </w:tcBorders>
            <w:shd w:val="clear" w:color="auto" w:fill="auto"/>
            <w:vAlign w:val="center"/>
          </w:tcPr>
          <w:p w14:paraId="61E5841D"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3D0A306A"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5E6FD71F"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7B9CFB98"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bottom w:val="nil"/>
              <w:right w:val="nil"/>
            </w:tcBorders>
            <w:shd w:val="clear" w:color="auto" w:fill="auto"/>
          </w:tcPr>
          <w:p w14:paraId="506CF6A5" w14:textId="77777777" w:rsidR="00E24790" w:rsidRPr="00AE1D54" w:rsidRDefault="00E24790">
            <w:pPr>
              <w:spacing w:after="0" w:line="240" w:lineRule="auto"/>
              <w:rPr>
                <w:rFonts w:asciiTheme="majorHAnsi" w:hAnsiTheme="majorHAnsi" w:cstheme="majorHAnsi"/>
                <w:color w:val="000000" w:themeColor="text1"/>
                <w:sz w:val="18"/>
                <w:szCs w:val="18"/>
              </w:rPr>
            </w:pPr>
            <w:proofErr w:type="spellStart"/>
            <w:r w:rsidRPr="00AE1D54">
              <w:rPr>
                <w:rFonts w:asciiTheme="majorHAnsi" w:hAnsiTheme="majorHAnsi" w:cstheme="majorHAnsi"/>
                <w:color w:val="000000" w:themeColor="text1"/>
                <w:sz w:val="18"/>
                <w:szCs w:val="18"/>
              </w:rPr>
              <w:t>Hormozgan</w:t>
            </w:r>
            <w:proofErr w:type="spellEnd"/>
          </w:p>
        </w:tc>
        <w:tc>
          <w:tcPr>
            <w:tcW w:w="1048" w:type="dxa"/>
            <w:tcBorders>
              <w:top w:val="nil"/>
              <w:left w:val="nil"/>
              <w:bottom w:val="nil"/>
              <w:right w:val="nil"/>
            </w:tcBorders>
            <w:shd w:val="clear" w:color="auto" w:fill="auto"/>
            <w:vAlign w:val="center"/>
          </w:tcPr>
          <w:p w14:paraId="7F3EFEAA"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1776415</w:t>
            </w:r>
          </w:p>
        </w:tc>
        <w:tc>
          <w:tcPr>
            <w:tcW w:w="3488" w:type="dxa"/>
            <w:gridSpan w:val="2"/>
            <w:vMerge/>
            <w:tcBorders>
              <w:top w:val="single" w:sz="4" w:space="0" w:color="000000"/>
              <w:left w:val="nil"/>
              <w:right w:val="nil"/>
            </w:tcBorders>
            <w:shd w:val="clear" w:color="auto" w:fill="auto"/>
            <w:vAlign w:val="center"/>
          </w:tcPr>
          <w:p w14:paraId="2EBCC116"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1A483040"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1ED39EB1"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039CB23B"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bottom w:val="single" w:sz="4" w:space="0" w:color="000000"/>
              <w:right w:val="nil"/>
            </w:tcBorders>
            <w:shd w:val="clear" w:color="auto" w:fill="auto"/>
          </w:tcPr>
          <w:p w14:paraId="2D6E3F7A"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 xml:space="preserve"> Isfahan</w:t>
            </w:r>
          </w:p>
        </w:tc>
        <w:tc>
          <w:tcPr>
            <w:tcW w:w="1048" w:type="dxa"/>
            <w:tcBorders>
              <w:top w:val="nil"/>
              <w:left w:val="nil"/>
              <w:bottom w:val="single" w:sz="4" w:space="0" w:color="000000"/>
              <w:right w:val="nil"/>
            </w:tcBorders>
            <w:shd w:val="clear" w:color="auto" w:fill="auto"/>
            <w:vAlign w:val="center"/>
          </w:tcPr>
          <w:p w14:paraId="7985EE14"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5120850</w:t>
            </w:r>
          </w:p>
        </w:tc>
        <w:tc>
          <w:tcPr>
            <w:tcW w:w="3488" w:type="dxa"/>
            <w:gridSpan w:val="2"/>
            <w:vMerge/>
            <w:tcBorders>
              <w:top w:val="single" w:sz="4" w:space="0" w:color="000000"/>
              <w:left w:val="nil"/>
              <w:right w:val="nil"/>
            </w:tcBorders>
            <w:shd w:val="clear" w:color="auto" w:fill="auto"/>
            <w:vAlign w:val="center"/>
          </w:tcPr>
          <w:p w14:paraId="220B6F67"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2BBD78E4"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44174124" w14:textId="77777777" w:rsidTr="00890650">
        <w:trPr>
          <w:trHeight w:val="194"/>
        </w:trPr>
        <w:tc>
          <w:tcPr>
            <w:tcW w:w="958" w:type="dxa"/>
            <w:vMerge w:val="restart"/>
            <w:tcBorders>
              <w:top w:val="single" w:sz="4" w:space="0" w:color="000000"/>
              <w:left w:val="nil"/>
              <w:right w:val="nil"/>
            </w:tcBorders>
            <w:shd w:val="clear" w:color="auto" w:fill="auto"/>
            <w:vAlign w:val="center"/>
          </w:tcPr>
          <w:p w14:paraId="377BBA4D"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3</w:t>
            </w:r>
          </w:p>
        </w:tc>
        <w:tc>
          <w:tcPr>
            <w:tcW w:w="1314" w:type="dxa"/>
            <w:tcBorders>
              <w:top w:val="single" w:sz="4" w:space="0" w:color="000000"/>
              <w:left w:val="nil"/>
              <w:right w:val="nil"/>
            </w:tcBorders>
            <w:shd w:val="clear" w:color="auto" w:fill="auto"/>
          </w:tcPr>
          <w:p w14:paraId="20A6F930"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Ardabil</w:t>
            </w:r>
          </w:p>
        </w:tc>
        <w:tc>
          <w:tcPr>
            <w:tcW w:w="1048" w:type="dxa"/>
            <w:tcBorders>
              <w:top w:val="single" w:sz="4" w:space="0" w:color="000000"/>
              <w:left w:val="nil"/>
              <w:right w:val="nil"/>
            </w:tcBorders>
            <w:shd w:val="clear" w:color="auto" w:fill="auto"/>
            <w:vAlign w:val="center"/>
          </w:tcPr>
          <w:p w14:paraId="40B2586A"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1270420</w:t>
            </w:r>
          </w:p>
        </w:tc>
        <w:tc>
          <w:tcPr>
            <w:tcW w:w="3488" w:type="dxa"/>
            <w:gridSpan w:val="2"/>
            <w:vMerge w:val="restart"/>
            <w:tcBorders>
              <w:top w:val="single" w:sz="4" w:space="0" w:color="000000"/>
              <w:left w:val="nil"/>
              <w:right w:val="nil"/>
            </w:tcBorders>
            <w:shd w:val="clear" w:color="auto" w:fill="auto"/>
            <w:vAlign w:val="center"/>
          </w:tcPr>
          <w:p w14:paraId="14F6BA45"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810</w:t>
            </w:r>
          </w:p>
          <w:p w14:paraId="5854A1C9"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spellStart"/>
            <w:proofErr w:type="gramStart"/>
            <w:r w:rsidRPr="00AE1D54">
              <w:rPr>
                <w:rFonts w:asciiTheme="majorHAnsi" w:hAnsiTheme="majorHAnsi" w:cstheme="majorHAnsi"/>
                <w:color w:val="000000" w:themeColor="text1"/>
                <w:sz w:val="18"/>
                <w:szCs w:val="18"/>
              </w:rPr>
              <w:t>Gilak</w:t>
            </w:r>
            <w:proofErr w:type="spellEnd"/>
            <w:r w:rsidRPr="00AE1D54">
              <w:rPr>
                <w:rFonts w:asciiTheme="majorHAnsi" w:hAnsiTheme="majorHAnsi" w:cstheme="majorHAnsi"/>
                <w:color w:val="000000" w:themeColor="text1"/>
                <w:sz w:val="18"/>
                <w:szCs w:val="18"/>
              </w:rPr>
              <w:t>(</w:t>
            </w:r>
            <w:proofErr w:type="gramEnd"/>
            <w:r w:rsidRPr="00AE1D54">
              <w:rPr>
                <w:rFonts w:asciiTheme="majorHAnsi" w:hAnsiTheme="majorHAnsi" w:cstheme="majorHAnsi"/>
                <w:color w:val="000000" w:themeColor="text1"/>
                <w:sz w:val="18"/>
                <w:szCs w:val="18"/>
              </w:rPr>
              <w:t>138), Kurd(18), Lur(1), Mix(1), Persian(9), Persian-Turk(2), Tat(1), Turk(633), Others(7)</w:t>
            </w:r>
          </w:p>
          <w:p w14:paraId="41CF891E"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
        </w:tc>
        <w:tc>
          <w:tcPr>
            <w:tcW w:w="3237" w:type="dxa"/>
            <w:vMerge w:val="restart"/>
            <w:tcBorders>
              <w:top w:val="single" w:sz="4" w:space="0" w:color="000000"/>
              <w:left w:val="nil"/>
              <w:right w:val="nil"/>
            </w:tcBorders>
            <w:vAlign w:val="center"/>
          </w:tcPr>
          <w:p w14:paraId="51CC095B"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504</w:t>
            </w:r>
          </w:p>
          <w:p w14:paraId="1B8FD083"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spellStart"/>
            <w:proofErr w:type="gramStart"/>
            <w:r w:rsidRPr="00AE1D54">
              <w:rPr>
                <w:rFonts w:asciiTheme="majorHAnsi" w:hAnsiTheme="majorHAnsi" w:cstheme="majorHAnsi"/>
                <w:color w:val="000000" w:themeColor="text1"/>
                <w:sz w:val="18"/>
                <w:szCs w:val="18"/>
              </w:rPr>
              <w:t>Gilak</w:t>
            </w:r>
            <w:proofErr w:type="spellEnd"/>
            <w:r w:rsidRPr="00AE1D54">
              <w:rPr>
                <w:rFonts w:asciiTheme="majorHAnsi" w:hAnsiTheme="majorHAnsi" w:cstheme="majorHAnsi"/>
                <w:color w:val="000000" w:themeColor="text1"/>
                <w:sz w:val="18"/>
                <w:szCs w:val="18"/>
              </w:rPr>
              <w:t>(</w:t>
            </w:r>
            <w:proofErr w:type="gramEnd"/>
            <w:r w:rsidRPr="00AE1D54">
              <w:rPr>
                <w:rFonts w:asciiTheme="majorHAnsi" w:hAnsiTheme="majorHAnsi" w:cstheme="majorHAnsi"/>
                <w:color w:val="000000" w:themeColor="text1"/>
                <w:sz w:val="18"/>
                <w:szCs w:val="18"/>
              </w:rPr>
              <w:t>65), Kurd(17), Lur(1), Mix(1), Persian(6), Persian-Turk(2), Tat(1), Turk(404), Others(7)</w:t>
            </w:r>
          </w:p>
          <w:p w14:paraId="773EED01"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
        </w:tc>
      </w:tr>
      <w:tr w:rsidR="00E24790" w:rsidRPr="00AE1D54" w14:paraId="60C6D0B9" w14:textId="77777777" w:rsidTr="00890650">
        <w:trPr>
          <w:trHeight w:val="194"/>
        </w:trPr>
        <w:tc>
          <w:tcPr>
            <w:tcW w:w="958" w:type="dxa"/>
            <w:vMerge/>
            <w:tcBorders>
              <w:top w:val="single" w:sz="4" w:space="0" w:color="000000"/>
              <w:left w:val="nil"/>
              <w:right w:val="nil"/>
            </w:tcBorders>
            <w:shd w:val="clear" w:color="auto" w:fill="auto"/>
            <w:vAlign w:val="center"/>
          </w:tcPr>
          <w:p w14:paraId="4B2ACCA2"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right w:val="nil"/>
            </w:tcBorders>
            <w:shd w:val="clear" w:color="auto" w:fill="auto"/>
          </w:tcPr>
          <w:p w14:paraId="43F9326D"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East Azerbaijan</w:t>
            </w:r>
          </w:p>
        </w:tc>
        <w:tc>
          <w:tcPr>
            <w:tcW w:w="1048" w:type="dxa"/>
            <w:tcBorders>
              <w:left w:val="nil"/>
              <w:right w:val="nil"/>
            </w:tcBorders>
            <w:shd w:val="clear" w:color="auto" w:fill="auto"/>
            <w:vAlign w:val="center"/>
          </w:tcPr>
          <w:p w14:paraId="4A1055B1"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3909652</w:t>
            </w:r>
          </w:p>
        </w:tc>
        <w:tc>
          <w:tcPr>
            <w:tcW w:w="3488" w:type="dxa"/>
            <w:gridSpan w:val="2"/>
            <w:vMerge/>
            <w:tcBorders>
              <w:top w:val="single" w:sz="4" w:space="0" w:color="000000"/>
              <w:left w:val="nil"/>
              <w:right w:val="nil"/>
            </w:tcBorders>
            <w:shd w:val="clear" w:color="auto" w:fill="auto"/>
            <w:vAlign w:val="center"/>
          </w:tcPr>
          <w:p w14:paraId="6FB435D3"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6F81C747"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19D7FD8D" w14:textId="77777777" w:rsidTr="00890650">
        <w:trPr>
          <w:trHeight w:val="194"/>
        </w:trPr>
        <w:tc>
          <w:tcPr>
            <w:tcW w:w="958" w:type="dxa"/>
            <w:vMerge/>
            <w:tcBorders>
              <w:top w:val="single" w:sz="4" w:space="0" w:color="000000"/>
              <w:left w:val="nil"/>
              <w:right w:val="nil"/>
            </w:tcBorders>
            <w:shd w:val="clear" w:color="auto" w:fill="auto"/>
            <w:vAlign w:val="center"/>
          </w:tcPr>
          <w:p w14:paraId="464232A2"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right w:val="nil"/>
            </w:tcBorders>
            <w:shd w:val="clear" w:color="auto" w:fill="auto"/>
          </w:tcPr>
          <w:p w14:paraId="749D3A21" w14:textId="77777777" w:rsidR="00E24790" w:rsidRPr="00AE1D54" w:rsidRDefault="00E24790">
            <w:pPr>
              <w:spacing w:after="0" w:line="240" w:lineRule="auto"/>
              <w:rPr>
                <w:rFonts w:asciiTheme="majorHAnsi" w:hAnsiTheme="majorHAnsi" w:cstheme="majorHAnsi"/>
                <w:color w:val="000000" w:themeColor="text1"/>
                <w:sz w:val="18"/>
                <w:szCs w:val="18"/>
              </w:rPr>
            </w:pPr>
            <w:proofErr w:type="spellStart"/>
            <w:r w:rsidRPr="00AE1D54">
              <w:rPr>
                <w:rFonts w:asciiTheme="majorHAnsi" w:hAnsiTheme="majorHAnsi" w:cstheme="majorHAnsi"/>
                <w:color w:val="000000" w:themeColor="text1"/>
                <w:sz w:val="18"/>
                <w:szCs w:val="18"/>
              </w:rPr>
              <w:t>Gilan</w:t>
            </w:r>
            <w:proofErr w:type="spellEnd"/>
          </w:p>
        </w:tc>
        <w:tc>
          <w:tcPr>
            <w:tcW w:w="1048" w:type="dxa"/>
            <w:tcBorders>
              <w:left w:val="nil"/>
              <w:right w:val="nil"/>
            </w:tcBorders>
            <w:shd w:val="clear" w:color="auto" w:fill="auto"/>
            <w:vAlign w:val="center"/>
          </w:tcPr>
          <w:p w14:paraId="4ECBF68E"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2530696</w:t>
            </w:r>
          </w:p>
        </w:tc>
        <w:tc>
          <w:tcPr>
            <w:tcW w:w="3488" w:type="dxa"/>
            <w:gridSpan w:val="2"/>
            <w:vMerge/>
            <w:tcBorders>
              <w:top w:val="single" w:sz="4" w:space="0" w:color="000000"/>
              <w:left w:val="nil"/>
              <w:right w:val="nil"/>
            </w:tcBorders>
            <w:shd w:val="clear" w:color="auto" w:fill="auto"/>
            <w:vAlign w:val="center"/>
          </w:tcPr>
          <w:p w14:paraId="01BE7517"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029E9C1F"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2168B4DA" w14:textId="77777777" w:rsidTr="00890650">
        <w:trPr>
          <w:trHeight w:val="194"/>
        </w:trPr>
        <w:tc>
          <w:tcPr>
            <w:tcW w:w="958" w:type="dxa"/>
            <w:vMerge/>
            <w:tcBorders>
              <w:top w:val="single" w:sz="4" w:space="0" w:color="000000"/>
              <w:left w:val="nil"/>
              <w:right w:val="nil"/>
            </w:tcBorders>
            <w:shd w:val="clear" w:color="auto" w:fill="auto"/>
            <w:vAlign w:val="center"/>
          </w:tcPr>
          <w:p w14:paraId="0E26BBC0"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right w:val="nil"/>
            </w:tcBorders>
            <w:shd w:val="clear" w:color="auto" w:fill="auto"/>
          </w:tcPr>
          <w:p w14:paraId="7EFD6312" w14:textId="77777777" w:rsidR="00E24790" w:rsidRPr="00AE1D54" w:rsidRDefault="00E24790">
            <w:pPr>
              <w:spacing w:after="0" w:line="240" w:lineRule="auto"/>
              <w:rPr>
                <w:rFonts w:asciiTheme="majorHAnsi" w:hAnsiTheme="majorHAnsi" w:cstheme="majorHAnsi"/>
                <w:color w:val="000000" w:themeColor="text1"/>
                <w:sz w:val="18"/>
                <w:szCs w:val="18"/>
              </w:rPr>
            </w:pPr>
            <w:proofErr w:type="spellStart"/>
            <w:r w:rsidRPr="00AE1D54">
              <w:rPr>
                <w:rFonts w:asciiTheme="majorHAnsi" w:hAnsiTheme="majorHAnsi" w:cstheme="majorHAnsi"/>
                <w:color w:val="000000" w:themeColor="text1"/>
                <w:sz w:val="18"/>
                <w:szCs w:val="18"/>
              </w:rPr>
              <w:t>Kordestan</w:t>
            </w:r>
            <w:proofErr w:type="spellEnd"/>
          </w:p>
        </w:tc>
        <w:tc>
          <w:tcPr>
            <w:tcW w:w="1048" w:type="dxa"/>
            <w:tcBorders>
              <w:left w:val="nil"/>
              <w:right w:val="nil"/>
            </w:tcBorders>
            <w:shd w:val="clear" w:color="auto" w:fill="auto"/>
            <w:vAlign w:val="center"/>
          </w:tcPr>
          <w:p w14:paraId="59CEABA2"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1603011</w:t>
            </w:r>
          </w:p>
        </w:tc>
        <w:tc>
          <w:tcPr>
            <w:tcW w:w="3488" w:type="dxa"/>
            <w:gridSpan w:val="2"/>
            <w:vMerge/>
            <w:tcBorders>
              <w:top w:val="single" w:sz="4" w:space="0" w:color="000000"/>
              <w:left w:val="nil"/>
              <w:right w:val="nil"/>
            </w:tcBorders>
            <w:shd w:val="clear" w:color="auto" w:fill="auto"/>
            <w:vAlign w:val="center"/>
          </w:tcPr>
          <w:p w14:paraId="689B447C"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279F32B3"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602D9DCD" w14:textId="77777777" w:rsidTr="00890650">
        <w:trPr>
          <w:trHeight w:val="194"/>
        </w:trPr>
        <w:tc>
          <w:tcPr>
            <w:tcW w:w="958" w:type="dxa"/>
            <w:vMerge/>
            <w:tcBorders>
              <w:top w:val="single" w:sz="4" w:space="0" w:color="000000"/>
              <w:left w:val="nil"/>
              <w:right w:val="nil"/>
            </w:tcBorders>
            <w:shd w:val="clear" w:color="auto" w:fill="auto"/>
            <w:vAlign w:val="center"/>
          </w:tcPr>
          <w:p w14:paraId="48EECF09"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right w:val="nil"/>
            </w:tcBorders>
            <w:shd w:val="clear" w:color="auto" w:fill="auto"/>
          </w:tcPr>
          <w:p w14:paraId="0C895CD2"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West Azerbaijan</w:t>
            </w:r>
          </w:p>
        </w:tc>
        <w:tc>
          <w:tcPr>
            <w:tcW w:w="1048" w:type="dxa"/>
            <w:tcBorders>
              <w:left w:val="nil"/>
              <w:right w:val="nil"/>
            </w:tcBorders>
            <w:shd w:val="clear" w:color="auto" w:fill="auto"/>
            <w:vAlign w:val="center"/>
          </w:tcPr>
          <w:p w14:paraId="0CBAA1E2"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3265219</w:t>
            </w:r>
          </w:p>
        </w:tc>
        <w:tc>
          <w:tcPr>
            <w:tcW w:w="3488" w:type="dxa"/>
            <w:gridSpan w:val="2"/>
            <w:vMerge/>
            <w:tcBorders>
              <w:top w:val="single" w:sz="4" w:space="0" w:color="000000"/>
              <w:left w:val="nil"/>
              <w:right w:val="nil"/>
            </w:tcBorders>
            <w:shd w:val="clear" w:color="auto" w:fill="auto"/>
            <w:vAlign w:val="center"/>
          </w:tcPr>
          <w:p w14:paraId="6EE11A6A"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4CBF4101"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14AE836F" w14:textId="77777777" w:rsidTr="00890650">
        <w:trPr>
          <w:trHeight w:val="194"/>
        </w:trPr>
        <w:tc>
          <w:tcPr>
            <w:tcW w:w="958" w:type="dxa"/>
            <w:vMerge/>
            <w:tcBorders>
              <w:top w:val="single" w:sz="4" w:space="0" w:color="000000"/>
              <w:left w:val="nil"/>
              <w:right w:val="nil"/>
            </w:tcBorders>
            <w:shd w:val="clear" w:color="auto" w:fill="auto"/>
            <w:vAlign w:val="center"/>
          </w:tcPr>
          <w:p w14:paraId="510BA487"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bottom w:val="single" w:sz="4" w:space="0" w:color="000000"/>
              <w:right w:val="nil"/>
            </w:tcBorders>
            <w:shd w:val="clear" w:color="auto" w:fill="auto"/>
          </w:tcPr>
          <w:p w14:paraId="46B3ADD4" w14:textId="77777777" w:rsidR="00E24790" w:rsidRPr="00AE1D54" w:rsidRDefault="00E24790">
            <w:pPr>
              <w:spacing w:after="0" w:line="240" w:lineRule="auto"/>
              <w:rPr>
                <w:rFonts w:asciiTheme="majorHAnsi" w:hAnsiTheme="majorHAnsi" w:cstheme="majorHAnsi"/>
                <w:color w:val="000000" w:themeColor="text1"/>
                <w:sz w:val="18"/>
                <w:szCs w:val="18"/>
              </w:rPr>
            </w:pPr>
            <w:proofErr w:type="spellStart"/>
            <w:r w:rsidRPr="00AE1D54">
              <w:rPr>
                <w:rFonts w:asciiTheme="majorHAnsi" w:hAnsiTheme="majorHAnsi" w:cstheme="majorHAnsi"/>
                <w:color w:val="000000" w:themeColor="text1"/>
                <w:sz w:val="18"/>
                <w:szCs w:val="18"/>
              </w:rPr>
              <w:t>Zanjan</w:t>
            </w:r>
            <w:proofErr w:type="spellEnd"/>
          </w:p>
        </w:tc>
        <w:tc>
          <w:tcPr>
            <w:tcW w:w="1048" w:type="dxa"/>
            <w:tcBorders>
              <w:left w:val="nil"/>
              <w:bottom w:val="single" w:sz="4" w:space="0" w:color="000000"/>
              <w:right w:val="nil"/>
            </w:tcBorders>
            <w:shd w:val="clear" w:color="auto" w:fill="auto"/>
            <w:vAlign w:val="center"/>
          </w:tcPr>
          <w:p w14:paraId="76206F3C"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1057461</w:t>
            </w:r>
          </w:p>
        </w:tc>
        <w:tc>
          <w:tcPr>
            <w:tcW w:w="3488" w:type="dxa"/>
            <w:gridSpan w:val="2"/>
            <w:vMerge/>
            <w:tcBorders>
              <w:top w:val="single" w:sz="4" w:space="0" w:color="000000"/>
              <w:left w:val="nil"/>
              <w:right w:val="nil"/>
            </w:tcBorders>
            <w:shd w:val="clear" w:color="auto" w:fill="auto"/>
            <w:vAlign w:val="center"/>
          </w:tcPr>
          <w:p w14:paraId="55584D1A"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3792C579"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782D3BFD" w14:textId="77777777" w:rsidTr="00890650">
        <w:trPr>
          <w:trHeight w:val="194"/>
        </w:trPr>
        <w:tc>
          <w:tcPr>
            <w:tcW w:w="958" w:type="dxa"/>
            <w:vMerge w:val="restart"/>
            <w:tcBorders>
              <w:top w:val="single" w:sz="4" w:space="0" w:color="000000"/>
              <w:left w:val="nil"/>
              <w:bottom w:val="single" w:sz="4" w:space="0" w:color="000000"/>
              <w:right w:val="nil"/>
            </w:tcBorders>
            <w:shd w:val="clear" w:color="auto" w:fill="auto"/>
            <w:vAlign w:val="center"/>
          </w:tcPr>
          <w:p w14:paraId="05F4EFF3"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4</w:t>
            </w:r>
          </w:p>
        </w:tc>
        <w:tc>
          <w:tcPr>
            <w:tcW w:w="1314" w:type="dxa"/>
            <w:tcBorders>
              <w:top w:val="single" w:sz="4" w:space="0" w:color="000000"/>
              <w:left w:val="nil"/>
              <w:bottom w:val="nil"/>
              <w:right w:val="nil"/>
            </w:tcBorders>
            <w:shd w:val="clear" w:color="auto" w:fill="auto"/>
          </w:tcPr>
          <w:p w14:paraId="20A600B7"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Hamadan</w:t>
            </w:r>
          </w:p>
        </w:tc>
        <w:tc>
          <w:tcPr>
            <w:tcW w:w="1048" w:type="dxa"/>
            <w:tcBorders>
              <w:top w:val="single" w:sz="4" w:space="0" w:color="000000"/>
              <w:left w:val="nil"/>
              <w:bottom w:val="nil"/>
              <w:right w:val="nil"/>
            </w:tcBorders>
            <w:shd w:val="clear" w:color="auto" w:fill="auto"/>
            <w:vAlign w:val="center"/>
          </w:tcPr>
          <w:p w14:paraId="1B76323E"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1738234</w:t>
            </w:r>
          </w:p>
        </w:tc>
        <w:tc>
          <w:tcPr>
            <w:tcW w:w="3488" w:type="dxa"/>
            <w:gridSpan w:val="2"/>
            <w:vMerge w:val="restart"/>
            <w:tcBorders>
              <w:top w:val="single" w:sz="4" w:space="0" w:color="000000"/>
              <w:left w:val="nil"/>
              <w:right w:val="nil"/>
            </w:tcBorders>
            <w:shd w:val="clear" w:color="auto" w:fill="auto"/>
            <w:vAlign w:val="center"/>
          </w:tcPr>
          <w:p w14:paraId="20722C1F"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1040</w:t>
            </w:r>
          </w:p>
          <w:p w14:paraId="5713728F"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gramStart"/>
            <w:r w:rsidRPr="00AE1D54">
              <w:rPr>
                <w:rFonts w:asciiTheme="majorHAnsi" w:hAnsiTheme="majorHAnsi" w:cstheme="majorHAnsi"/>
                <w:color w:val="000000" w:themeColor="text1"/>
                <w:sz w:val="18"/>
                <w:szCs w:val="18"/>
              </w:rPr>
              <w:t>Arab(</w:t>
            </w:r>
            <w:proofErr w:type="gramEnd"/>
            <w:r w:rsidRPr="00AE1D54">
              <w:rPr>
                <w:rFonts w:asciiTheme="majorHAnsi" w:hAnsiTheme="majorHAnsi" w:cstheme="majorHAnsi"/>
                <w:color w:val="000000" w:themeColor="text1"/>
                <w:sz w:val="18"/>
                <w:szCs w:val="18"/>
              </w:rPr>
              <w:t xml:space="preserve">50), </w:t>
            </w:r>
            <w:proofErr w:type="spellStart"/>
            <w:r w:rsidRPr="00AE1D54">
              <w:rPr>
                <w:rFonts w:asciiTheme="majorHAnsi" w:hAnsiTheme="majorHAnsi" w:cstheme="majorHAnsi"/>
                <w:color w:val="000000" w:themeColor="text1"/>
                <w:sz w:val="18"/>
                <w:szCs w:val="18"/>
              </w:rPr>
              <w:t>Gilak</w:t>
            </w:r>
            <w:proofErr w:type="spellEnd"/>
            <w:r w:rsidRPr="00AE1D54">
              <w:rPr>
                <w:rFonts w:asciiTheme="majorHAnsi" w:hAnsiTheme="majorHAnsi" w:cstheme="majorHAnsi"/>
                <w:color w:val="000000" w:themeColor="text1"/>
                <w:sz w:val="18"/>
                <w:szCs w:val="18"/>
              </w:rPr>
              <w:t>(3), Kurd(40), Lur(106), Lur-Lak(17), Lur-Persian(3), Persian(803), Tat-Turk(1), Turk(9), Others(8)</w:t>
            </w:r>
          </w:p>
        </w:tc>
        <w:tc>
          <w:tcPr>
            <w:tcW w:w="3237" w:type="dxa"/>
            <w:vMerge w:val="restart"/>
            <w:tcBorders>
              <w:top w:val="single" w:sz="4" w:space="0" w:color="000000"/>
              <w:left w:val="nil"/>
              <w:right w:val="nil"/>
            </w:tcBorders>
            <w:vAlign w:val="center"/>
          </w:tcPr>
          <w:p w14:paraId="201EB4DD"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632</w:t>
            </w:r>
          </w:p>
          <w:p w14:paraId="550D3EC0"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gramStart"/>
            <w:r w:rsidRPr="00AE1D54">
              <w:rPr>
                <w:rFonts w:asciiTheme="majorHAnsi" w:hAnsiTheme="majorHAnsi" w:cstheme="majorHAnsi"/>
                <w:color w:val="000000" w:themeColor="text1"/>
                <w:sz w:val="18"/>
                <w:szCs w:val="18"/>
              </w:rPr>
              <w:t>Arab(</w:t>
            </w:r>
            <w:proofErr w:type="gramEnd"/>
            <w:r w:rsidRPr="00AE1D54">
              <w:rPr>
                <w:rFonts w:asciiTheme="majorHAnsi" w:hAnsiTheme="majorHAnsi" w:cstheme="majorHAnsi"/>
                <w:color w:val="000000" w:themeColor="text1"/>
                <w:sz w:val="18"/>
                <w:szCs w:val="18"/>
              </w:rPr>
              <w:t xml:space="preserve">23), </w:t>
            </w:r>
            <w:proofErr w:type="spellStart"/>
            <w:r w:rsidRPr="00AE1D54">
              <w:rPr>
                <w:rFonts w:asciiTheme="majorHAnsi" w:hAnsiTheme="majorHAnsi" w:cstheme="majorHAnsi"/>
                <w:color w:val="000000" w:themeColor="text1"/>
                <w:sz w:val="18"/>
                <w:szCs w:val="18"/>
              </w:rPr>
              <w:t>Gilak</w:t>
            </w:r>
            <w:proofErr w:type="spellEnd"/>
            <w:r w:rsidRPr="00AE1D54">
              <w:rPr>
                <w:rFonts w:asciiTheme="majorHAnsi" w:hAnsiTheme="majorHAnsi" w:cstheme="majorHAnsi"/>
                <w:color w:val="000000" w:themeColor="text1"/>
                <w:sz w:val="18"/>
                <w:szCs w:val="18"/>
              </w:rPr>
              <w:t>(2), Kurd(30), Lur(71), Lur-Lak(10), Lur-Persian(3), Persian(476), Tat-Turk(1), Turk(9), Others(7)</w:t>
            </w:r>
          </w:p>
        </w:tc>
      </w:tr>
      <w:tr w:rsidR="00E24790" w:rsidRPr="00AE1D54" w14:paraId="3D62F9BF"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7A635CDB"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bottom w:val="nil"/>
              <w:right w:val="nil"/>
            </w:tcBorders>
            <w:shd w:val="clear" w:color="auto" w:fill="auto"/>
          </w:tcPr>
          <w:p w14:paraId="50EE38D1" w14:textId="77777777" w:rsidR="00E24790" w:rsidRPr="00AE1D54" w:rsidRDefault="00E24790">
            <w:pPr>
              <w:spacing w:after="0" w:line="240" w:lineRule="auto"/>
              <w:rPr>
                <w:rFonts w:asciiTheme="majorHAnsi" w:hAnsiTheme="majorHAnsi" w:cstheme="majorHAnsi"/>
                <w:color w:val="000000" w:themeColor="text1"/>
                <w:sz w:val="18"/>
                <w:szCs w:val="18"/>
              </w:rPr>
            </w:pPr>
            <w:proofErr w:type="spellStart"/>
            <w:r w:rsidRPr="00AE1D54">
              <w:rPr>
                <w:rFonts w:asciiTheme="majorHAnsi" w:hAnsiTheme="majorHAnsi" w:cstheme="majorHAnsi"/>
                <w:color w:val="000000" w:themeColor="text1"/>
                <w:sz w:val="18"/>
                <w:szCs w:val="18"/>
              </w:rPr>
              <w:t>Ilam</w:t>
            </w:r>
            <w:proofErr w:type="spellEnd"/>
          </w:p>
        </w:tc>
        <w:tc>
          <w:tcPr>
            <w:tcW w:w="1048" w:type="dxa"/>
            <w:tcBorders>
              <w:top w:val="nil"/>
              <w:left w:val="nil"/>
              <w:bottom w:val="nil"/>
              <w:right w:val="nil"/>
            </w:tcBorders>
            <w:shd w:val="clear" w:color="auto" w:fill="auto"/>
            <w:vAlign w:val="center"/>
          </w:tcPr>
          <w:p w14:paraId="5E067C1F"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580158</w:t>
            </w:r>
          </w:p>
        </w:tc>
        <w:tc>
          <w:tcPr>
            <w:tcW w:w="3488" w:type="dxa"/>
            <w:gridSpan w:val="2"/>
            <w:vMerge/>
            <w:tcBorders>
              <w:top w:val="single" w:sz="4" w:space="0" w:color="000000"/>
              <w:left w:val="nil"/>
              <w:right w:val="nil"/>
            </w:tcBorders>
            <w:shd w:val="clear" w:color="auto" w:fill="auto"/>
            <w:vAlign w:val="center"/>
          </w:tcPr>
          <w:p w14:paraId="39D49511"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2B6784EB"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4C6192F6"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1913EE14"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right w:val="nil"/>
            </w:tcBorders>
            <w:shd w:val="clear" w:color="auto" w:fill="auto"/>
          </w:tcPr>
          <w:p w14:paraId="2CA13901"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Kermanshah</w:t>
            </w:r>
          </w:p>
        </w:tc>
        <w:tc>
          <w:tcPr>
            <w:tcW w:w="1048" w:type="dxa"/>
            <w:tcBorders>
              <w:top w:val="nil"/>
              <w:left w:val="nil"/>
              <w:right w:val="nil"/>
            </w:tcBorders>
            <w:shd w:val="clear" w:color="auto" w:fill="auto"/>
            <w:vAlign w:val="center"/>
          </w:tcPr>
          <w:p w14:paraId="401496A2"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1952434</w:t>
            </w:r>
          </w:p>
        </w:tc>
        <w:tc>
          <w:tcPr>
            <w:tcW w:w="3488" w:type="dxa"/>
            <w:gridSpan w:val="2"/>
            <w:vMerge/>
            <w:tcBorders>
              <w:top w:val="single" w:sz="4" w:space="0" w:color="000000"/>
              <w:left w:val="nil"/>
              <w:right w:val="nil"/>
            </w:tcBorders>
            <w:shd w:val="clear" w:color="auto" w:fill="auto"/>
            <w:vAlign w:val="center"/>
          </w:tcPr>
          <w:p w14:paraId="70E39253"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6571734F"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5CD48D41"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564FCB78"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right w:val="nil"/>
            </w:tcBorders>
            <w:shd w:val="clear" w:color="auto" w:fill="auto"/>
          </w:tcPr>
          <w:p w14:paraId="4E3DAE35"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Khuzestan</w:t>
            </w:r>
          </w:p>
        </w:tc>
        <w:tc>
          <w:tcPr>
            <w:tcW w:w="1048" w:type="dxa"/>
            <w:tcBorders>
              <w:top w:val="nil"/>
              <w:left w:val="nil"/>
              <w:right w:val="nil"/>
            </w:tcBorders>
            <w:shd w:val="clear" w:color="auto" w:fill="auto"/>
            <w:vAlign w:val="center"/>
          </w:tcPr>
          <w:p w14:paraId="2F510B82"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4710509</w:t>
            </w:r>
          </w:p>
        </w:tc>
        <w:tc>
          <w:tcPr>
            <w:tcW w:w="3488" w:type="dxa"/>
            <w:gridSpan w:val="2"/>
            <w:vMerge/>
            <w:tcBorders>
              <w:top w:val="single" w:sz="4" w:space="0" w:color="000000"/>
              <w:left w:val="nil"/>
              <w:right w:val="nil"/>
            </w:tcBorders>
            <w:shd w:val="clear" w:color="auto" w:fill="auto"/>
            <w:vAlign w:val="center"/>
          </w:tcPr>
          <w:p w14:paraId="5333556A"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73609F84"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58186662"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613BCBA8"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right w:val="nil"/>
            </w:tcBorders>
            <w:shd w:val="clear" w:color="auto" w:fill="auto"/>
          </w:tcPr>
          <w:p w14:paraId="4E00CC17"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Lorestan</w:t>
            </w:r>
          </w:p>
        </w:tc>
        <w:tc>
          <w:tcPr>
            <w:tcW w:w="1048" w:type="dxa"/>
            <w:tcBorders>
              <w:top w:val="nil"/>
              <w:left w:val="nil"/>
              <w:right w:val="nil"/>
            </w:tcBorders>
            <w:shd w:val="clear" w:color="auto" w:fill="auto"/>
            <w:vAlign w:val="center"/>
          </w:tcPr>
          <w:p w14:paraId="0FA262F4"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1760649</w:t>
            </w:r>
          </w:p>
        </w:tc>
        <w:tc>
          <w:tcPr>
            <w:tcW w:w="3488" w:type="dxa"/>
            <w:gridSpan w:val="2"/>
            <w:vMerge/>
            <w:tcBorders>
              <w:top w:val="single" w:sz="4" w:space="0" w:color="000000"/>
              <w:left w:val="nil"/>
              <w:right w:val="nil"/>
            </w:tcBorders>
            <w:shd w:val="clear" w:color="auto" w:fill="auto"/>
            <w:vAlign w:val="center"/>
          </w:tcPr>
          <w:p w14:paraId="63BAE0E3"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135251CA"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31DABB8E"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3B1C99B0"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bottom w:val="single" w:sz="4" w:space="0" w:color="000000"/>
              <w:right w:val="nil"/>
            </w:tcBorders>
            <w:shd w:val="clear" w:color="auto" w:fill="auto"/>
          </w:tcPr>
          <w:p w14:paraId="5340D7D8" w14:textId="77777777" w:rsidR="00E24790" w:rsidRPr="00AE1D54" w:rsidRDefault="00E24790">
            <w:pPr>
              <w:spacing w:after="0" w:line="240" w:lineRule="auto"/>
              <w:rPr>
                <w:rFonts w:asciiTheme="majorHAnsi" w:hAnsiTheme="majorHAnsi" w:cstheme="majorHAnsi"/>
                <w:color w:val="000000" w:themeColor="text1"/>
                <w:sz w:val="18"/>
                <w:szCs w:val="18"/>
              </w:rPr>
            </w:pPr>
            <w:proofErr w:type="spellStart"/>
            <w:r w:rsidRPr="00AE1D54">
              <w:rPr>
                <w:rFonts w:asciiTheme="majorHAnsi" w:hAnsiTheme="majorHAnsi" w:cstheme="majorHAnsi"/>
                <w:color w:val="000000" w:themeColor="text1"/>
                <w:sz w:val="18"/>
                <w:szCs w:val="18"/>
              </w:rPr>
              <w:t>Markazi</w:t>
            </w:r>
            <w:proofErr w:type="spellEnd"/>
          </w:p>
        </w:tc>
        <w:tc>
          <w:tcPr>
            <w:tcW w:w="1048" w:type="dxa"/>
            <w:tcBorders>
              <w:top w:val="nil"/>
              <w:left w:val="nil"/>
              <w:bottom w:val="single" w:sz="4" w:space="0" w:color="000000"/>
              <w:right w:val="nil"/>
            </w:tcBorders>
            <w:shd w:val="clear" w:color="auto" w:fill="auto"/>
            <w:vAlign w:val="center"/>
          </w:tcPr>
          <w:p w14:paraId="79A54A50"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1429475</w:t>
            </w:r>
          </w:p>
        </w:tc>
        <w:tc>
          <w:tcPr>
            <w:tcW w:w="3488" w:type="dxa"/>
            <w:gridSpan w:val="2"/>
            <w:vMerge/>
            <w:tcBorders>
              <w:top w:val="single" w:sz="4" w:space="0" w:color="000000"/>
              <w:left w:val="nil"/>
              <w:right w:val="nil"/>
            </w:tcBorders>
            <w:shd w:val="clear" w:color="auto" w:fill="auto"/>
            <w:vAlign w:val="center"/>
          </w:tcPr>
          <w:p w14:paraId="5520DEE4"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6913A62B"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31C1A5CC" w14:textId="77777777" w:rsidTr="00890650">
        <w:trPr>
          <w:trHeight w:val="194"/>
        </w:trPr>
        <w:tc>
          <w:tcPr>
            <w:tcW w:w="958" w:type="dxa"/>
            <w:vMerge w:val="restart"/>
            <w:tcBorders>
              <w:top w:val="single" w:sz="4" w:space="0" w:color="000000"/>
              <w:left w:val="nil"/>
              <w:bottom w:val="single" w:sz="4" w:space="0" w:color="000000"/>
              <w:right w:val="nil"/>
            </w:tcBorders>
            <w:shd w:val="clear" w:color="auto" w:fill="auto"/>
            <w:vAlign w:val="center"/>
          </w:tcPr>
          <w:p w14:paraId="2F59FAB2"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5</w:t>
            </w:r>
          </w:p>
        </w:tc>
        <w:tc>
          <w:tcPr>
            <w:tcW w:w="1314" w:type="dxa"/>
            <w:tcBorders>
              <w:top w:val="single" w:sz="4" w:space="0" w:color="000000"/>
              <w:left w:val="nil"/>
              <w:bottom w:val="nil"/>
              <w:right w:val="nil"/>
            </w:tcBorders>
            <w:shd w:val="clear" w:color="auto" w:fill="auto"/>
          </w:tcPr>
          <w:p w14:paraId="29F35CC7"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Kerman</w:t>
            </w:r>
          </w:p>
        </w:tc>
        <w:tc>
          <w:tcPr>
            <w:tcW w:w="1048" w:type="dxa"/>
            <w:tcBorders>
              <w:top w:val="single" w:sz="4" w:space="0" w:color="000000"/>
              <w:left w:val="nil"/>
              <w:bottom w:val="nil"/>
              <w:right w:val="nil"/>
            </w:tcBorders>
            <w:shd w:val="clear" w:color="auto" w:fill="auto"/>
            <w:vAlign w:val="center"/>
          </w:tcPr>
          <w:p w14:paraId="783AF729"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3164718</w:t>
            </w:r>
          </w:p>
        </w:tc>
        <w:tc>
          <w:tcPr>
            <w:tcW w:w="3488" w:type="dxa"/>
            <w:gridSpan w:val="2"/>
            <w:vMerge w:val="restart"/>
            <w:tcBorders>
              <w:top w:val="single" w:sz="4" w:space="0" w:color="000000"/>
              <w:left w:val="nil"/>
              <w:right w:val="nil"/>
            </w:tcBorders>
            <w:shd w:val="clear" w:color="auto" w:fill="auto"/>
            <w:vAlign w:val="center"/>
          </w:tcPr>
          <w:p w14:paraId="0928DAEE"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458</w:t>
            </w:r>
          </w:p>
          <w:p w14:paraId="7F6399D3"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spellStart"/>
            <w:proofErr w:type="gramStart"/>
            <w:r w:rsidRPr="00AE1D54">
              <w:rPr>
                <w:rFonts w:asciiTheme="majorHAnsi" w:hAnsiTheme="majorHAnsi" w:cstheme="majorHAnsi"/>
                <w:color w:val="000000" w:themeColor="text1"/>
                <w:sz w:val="18"/>
                <w:szCs w:val="18"/>
              </w:rPr>
              <w:t>Balouch</w:t>
            </w:r>
            <w:proofErr w:type="spellEnd"/>
            <w:r w:rsidRPr="00AE1D54">
              <w:rPr>
                <w:rFonts w:asciiTheme="majorHAnsi" w:hAnsiTheme="majorHAnsi" w:cstheme="majorHAnsi"/>
                <w:color w:val="000000" w:themeColor="text1"/>
                <w:sz w:val="18"/>
                <w:szCs w:val="18"/>
              </w:rPr>
              <w:t>(</w:t>
            </w:r>
            <w:proofErr w:type="gramEnd"/>
            <w:r w:rsidRPr="00AE1D54">
              <w:rPr>
                <w:rFonts w:asciiTheme="majorHAnsi" w:hAnsiTheme="majorHAnsi" w:cstheme="majorHAnsi"/>
                <w:color w:val="000000" w:themeColor="text1"/>
                <w:sz w:val="18"/>
                <w:szCs w:val="18"/>
              </w:rPr>
              <w:t xml:space="preserve">28), Kurd(10), Persian(414), Tat(2), Turk(1), </w:t>
            </w:r>
            <w:proofErr w:type="spellStart"/>
            <w:r w:rsidRPr="00AE1D54">
              <w:rPr>
                <w:rFonts w:asciiTheme="majorHAnsi" w:hAnsiTheme="majorHAnsi" w:cstheme="majorHAnsi"/>
                <w:color w:val="000000" w:themeColor="text1"/>
                <w:sz w:val="18"/>
                <w:szCs w:val="18"/>
              </w:rPr>
              <w:t>Turkaman</w:t>
            </w:r>
            <w:proofErr w:type="spellEnd"/>
            <w:r w:rsidRPr="00AE1D54">
              <w:rPr>
                <w:rFonts w:asciiTheme="majorHAnsi" w:hAnsiTheme="majorHAnsi" w:cstheme="majorHAnsi"/>
                <w:color w:val="000000" w:themeColor="text1"/>
                <w:sz w:val="18"/>
                <w:szCs w:val="18"/>
              </w:rPr>
              <w:t>(3)</w:t>
            </w:r>
          </w:p>
        </w:tc>
        <w:tc>
          <w:tcPr>
            <w:tcW w:w="3237" w:type="dxa"/>
            <w:vMerge w:val="restart"/>
            <w:tcBorders>
              <w:top w:val="single" w:sz="4" w:space="0" w:color="000000"/>
              <w:left w:val="nil"/>
              <w:right w:val="nil"/>
            </w:tcBorders>
            <w:vAlign w:val="center"/>
          </w:tcPr>
          <w:p w14:paraId="2B112ACA"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291</w:t>
            </w:r>
          </w:p>
          <w:p w14:paraId="4CA35A07"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spellStart"/>
            <w:proofErr w:type="gramStart"/>
            <w:r w:rsidRPr="00AE1D54">
              <w:rPr>
                <w:rFonts w:asciiTheme="majorHAnsi" w:hAnsiTheme="majorHAnsi" w:cstheme="majorHAnsi"/>
                <w:color w:val="000000" w:themeColor="text1"/>
                <w:sz w:val="18"/>
                <w:szCs w:val="18"/>
              </w:rPr>
              <w:t>Balouch</w:t>
            </w:r>
            <w:proofErr w:type="spellEnd"/>
            <w:r w:rsidRPr="00AE1D54">
              <w:rPr>
                <w:rFonts w:asciiTheme="majorHAnsi" w:hAnsiTheme="majorHAnsi" w:cstheme="majorHAnsi"/>
                <w:color w:val="000000" w:themeColor="text1"/>
                <w:sz w:val="18"/>
                <w:szCs w:val="18"/>
              </w:rPr>
              <w:t>(</w:t>
            </w:r>
            <w:proofErr w:type="gramEnd"/>
            <w:r w:rsidRPr="00AE1D54">
              <w:rPr>
                <w:rFonts w:asciiTheme="majorHAnsi" w:hAnsiTheme="majorHAnsi" w:cstheme="majorHAnsi"/>
                <w:color w:val="000000" w:themeColor="text1"/>
                <w:sz w:val="18"/>
                <w:szCs w:val="18"/>
              </w:rPr>
              <w:t xml:space="preserve">24), Kurd(7), Persian(254), Tat(2), Turk(1), </w:t>
            </w:r>
            <w:proofErr w:type="spellStart"/>
            <w:r w:rsidRPr="00AE1D54">
              <w:rPr>
                <w:rFonts w:asciiTheme="majorHAnsi" w:hAnsiTheme="majorHAnsi" w:cstheme="majorHAnsi"/>
                <w:color w:val="000000" w:themeColor="text1"/>
                <w:sz w:val="18"/>
                <w:szCs w:val="18"/>
              </w:rPr>
              <w:t>Turkaman</w:t>
            </w:r>
            <w:proofErr w:type="spellEnd"/>
            <w:r w:rsidRPr="00AE1D54">
              <w:rPr>
                <w:rFonts w:asciiTheme="majorHAnsi" w:hAnsiTheme="majorHAnsi" w:cstheme="majorHAnsi"/>
                <w:color w:val="000000" w:themeColor="text1"/>
                <w:sz w:val="18"/>
                <w:szCs w:val="18"/>
              </w:rPr>
              <w:t>(3)</w:t>
            </w:r>
          </w:p>
        </w:tc>
      </w:tr>
      <w:tr w:rsidR="00E24790" w:rsidRPr="00AE1D54" w14:paraId="25F6E577"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6D02421F"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right w:val="nil"/>
            </w:tcBorders>
            <w:shd w:val="clear" w:color="auto" w:fill="auto"/>
          </w:tcPr>
          <w:p w14:paraId="0AAF9640"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North Khorasan</w:t>
            </w:r>
          </w:p>
        </w:tc>
        <w:tc>
          <w:tcPr>
            <w:tcW w:w="1048" w:type="dxa"/>
            <w:tcBorders>
              <w:top w:val="nil"/>
              <w:left w:val="nil"/>
              <w:right w:val="nil"/>
            </w:tcBorders>
            <w:shd w:val="clear" w:color="auto" w:fill="auto"/>
            <w:vAlign w:val="center"/>
          </w:tcPr>
          <w:p w14:paraId="0D23D9D0"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863092</w:t>
            </w:r>
          </w:p>
        </w:tc>
        <w:tc>
          <w:tcPr>
            <w:tcW w:w="3488" w:type="dxa"/>
            <w:gridSpan w:val="2"/>
            <w:vMerge/>
            <w:tcBorders>
              <w:top w:val="single" w:sz="4" w:space="0" w:color="000000"/>
              <w:left w:val="nil"/>
              <w:right w:val="nil"/>
            </w:tcBorders>
            <w:shd w:val="clear" w:color="auto" w:fill="auto"/>
            <w:vAlign w:val="center"/>
          </w:tcPr>
          <w:p w14:paraId="3367BBC2"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2D9AC7FC"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4B4C4DC8"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0BCDD4AF"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right w:val="nil"/>
            </w:tcBorders>
            <w:shd w:val="clear" w:color="auto" w:fill="auto"/>
          </w:tcPr>
          <w:p w14:paraId="7264F7DE" w14:textId="77777777" w:rsidR="00E24790" w:rsidRPr="00AE1D54" w:rsidRDefault="00E24790">
            <w:pPr>
              <w:spacing w:after="0" w:line="240" w:lineRule="auto"/>
              <w:rPr>
                <w:rFonts w:asciiTheme="majorHAnsi" w:hAnsiTheme="majorHAnsi" w:cstheme="majorHAnsi"/>
                <w:color w:val="000000" w:themeColor="text1"/>
                <w:sz w:val="18"/>
                <w:szCs w:val="18"/>
              </w:rPr>
            </w:pPr>
            <w:proofErr w:type="spellStart"/>
            <w:r w:rsidRPr="00AE1D54">
              <w:rPr>
                <w:rFonts w:asciiTheme="majorHAnsi" w:hAnsiTheme="majorHAnsi" w:cstheme="majorHAnsi"/>
                <w:color w:val="000000" w:themeColor="text1"/>
                <w:sz w:val="18"/>
                <w:szCs w:val="18"/>
              </w:rPr>
              <w:t>Razavi</w:t>
            </w:r>
            <w:proofErr w:type="spellEnd"/>
            <w:r w:rsidRPr="00AE1D54">
              <w:rPr>
                <w:rFonts w:asciiTheme="majorHAnsi" w:hAnsiTheme="majorHAnsi" w:cstheme="majorHAnsi"/>
                <w:color w:val="000000" w:themeColor="text1"/>
                <w:sz w:val="18"/>
                <w:szCs w:val="18"/>
              </w:rPr>
              <w:t xml:space="preserve"> Khorasan</w:t>
            </w:r>
          </w:p>
        </w:tc>
        <w:tc>
          <w:tcPr>
            <w:tcW w:w="1048" w:type="dxa"/>
            <w:tcBorders>
              <w:top w:val="nil"/>
              <w:left w:val="nil"/>
              <w:right w:val="nil"/>
            </w:tcBorders>
            <w:shd w:val="clear" w:color="auto" w:fill="auto"/>
            <w:vAlign w:val="center"/>
          </w:tcPr>
          <w:p w14:paraId="2685E5A1"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6434501</w:t>
            </w:r>
          </w:p>
        </w:tc>
        <w:tc>
          <w:tcPr>
            <w:tcW w:w="3488" w:type="dxa"/>
            <w:gridSpan w:val="2"/>
            <w:vMerge/>
            <w:tcBorders>
              <w:top w:val="single" w:sz="4" w:space="0" w:color="000000"/>
              <w:left w:val="nil"/>
              <w:right w:val="nil"/>
            </w:tcBorders>
            <w:shd w:val="clear" w:color="auto" w:fill="auto"/>
            <w:vAlign w:val="center"/>
          </w:tcPr>
          <w:p w14:paraId="79C70D34"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64527B2D"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0B31E966"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4950C2BA"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right w:val="nil"/>
            </w:tcBorders>
            <w:shd w:val="clear" w:color="auto" w:fill="auto"/>
          </w:tcPr>
          <w:p w14:paraId="3A4B47F1" w14:textId="77777777" w:rsidR="00E24790" w:rsidRPr="00AE1D54" w:rsidRDefault="00E24790">
            <w:pPr>
              <w:spacing w:after="0" w:line="240" w:lineRule="auto"/>
              <w:rPr>
                <w:rFonts w:asciiTheme="majorHAnsi" w:hAnsiTheme="majorHAnsi" w:cstheme="majorHAnsi"/>
                <w:color w:val="000000" w:themeColor="text1"/>
                <w:sz w:val="18"/>
                <w:szCs w:val="18"/>
              </w:rPr>
            </w:pPr>
            <w:proofErr w:type="spellStart"/>
            <w:r w:rsidRPr="00AE1D54">
              <w:rPr>
                <w:rFonts w:asciiTheme="majorHAnsi" w:hAnsiTheme="majorHAnsi" w:cstheme="majorHAnsi"/>
                <w:color w:val="000000" w:themeColor="text1"/>
                <w:sz w:val="18"/>
                <w:szCs w:val="18"/>
              </w:rPr>
              <w:t>Sistan</w:t>
            </w:r>
            <w:proofErr w:type="spellEnd"/>
            <w:r w:rsidRPr="00AE1D54">
              <w:rPr>
                <w:rFonts w:asciiTheme="majorHAnsi" w:hAnsiTheme="majorHAnsi" w:cstheme="majorHAnsi"/>
                <w:color w:val="000000" w:themeColor="text1"/>
                <w:sz w:val="18"/>
                <w:szCs w:val="18"/>
              </w:rPr>
              <w:t xml:space="preserve"> and </w:t>
            </w:r>
            <w:proofErr w:type="spellStart"/>
            <w:r w:rsidRPr="00AE1D54">
              <w:rPr>
                <w:rFonts w:asciiTheme="majorHAnsi" w:hAnsiTheme="majorHAnsi" w:cstheme="majorHAnsi"/>
                <w:color w:val="000000" w:themeColor="text1"/>
                <w:sz w:val="18"/>
                <w:szCs w:val="18"/>
              </w:rPr>
              <w:t>Baluchestan</w:t>
            </w:r>
            <w:proofErr w:type="spellEnd"/>
            <w:r w:rsidRPr="00AE1D54">
              <w:rPr>
                <w:rFonts w:asciiTheme="majorHAnsi" w:hAnsiTheme="majorHAnsi" w:cstheme="majorHAnsi"/>
                <w:color w:val="000000" w:themeColor="text1"/>
                <w:sz w:val="18"/>
                <w:szCs w:val="18"/>
              </w:rPr>
              <w:t xml:space="preserve"> </w:t>
            </w:r>
          </w:p>
        </w:tc>
        <w:tc>
          <w:tcPr>
            <w:tcW w:w="1048" w:type="dxa"/>
            <w:tcBorders>
              <w:top w:val="nil"/>
              <w:left w:val="nil"/>
              <w:right w:val="nil"/>
            </w:tcBorders>
            <w:shd w:val="clear" w:color="auto" w:fill="auto"/>
            <w:vAlign w:val="center"/>
          </w:tcPr>
          <w:p w14:paraId="7513B161"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2775014</w:t>
            </w:r>
          </w:p>
        </w:tc>
        <w:tc>
          <w:tcPr>
            <w:tcW w:w="3488" w:type="dxa"/>
            <w:gridSpan w:val="2"/>
            <w:vMerge/>
            <w:tcBorders>
              <w:top w:val="single" w:sz="4" w:space="0" w:color="000000"/>
              <w:left w:val="nil"/>
              <w:right w:val="nil"/>
            </w:tcBorders>
            <w:shd w:val="clear" w:color="auto" w:fill="auto"/>
            <w:vAlign w:val="center"/>
          </w:tcPr>
          <w:p w14:paraId="0F88C55C"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0D081C4A"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7CA4FC95"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14D3AF78"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right w:val="nil"/>
            </w:tcBorders>
            <w:shd w:val="clear" w:color="auto" w:fill="auto"/>
          </w:tcPr>
          <w:p w14:paraId="17FF5807"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South Khorasan</w:t>
            </w:r>
          </w:p>
        </w:tc>
        <w:tc>
          <w:tcPr>
            <w:tcW w:w="1048" w:type="dxa"/>
            <w:tcBorders>
              <w:left w:val="nil"/>
              <w:right w:val="nil"/>
            </w:tcBorders>
            <w:shd w:val="clear" w:color="auto" w:fill="auto"/>
            <w:vAlign w:val="center"/>
          </w:tcPr>
          <w:p w14:paraId="39E0B852"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768898</w:t>
            </w:r>
          </w:p>
        </w:tc>
        <w:tc>
          <w:tcPr>
            <w:tcW w:w="3488" w:type="dxa"/>
            <w:gridSpan w:val="2"/>
            <w:vMerge/>
            <w:tcBorders>
              <w:top w:val="single" w:sz="4" w:space="0" w:color="000000"/>
              <w:left w:val="nil"/>
              <w:right w:val="nil"/>
            </w:tcBorders>
            <w:shd w:val="clear" w:color="auto" w:fill="auto"/>
            <w:vAlign w:val="center"/>
          </w:tcPr>
          <w:p w14:paraId="7D0BE8F8"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4CF5615D"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7198F91E" w14:textId="77777777" w:rsidTr="00890650">
        <w:trPr>
          <w:trHeight w:val="194"/>
        </w:trPr>
        <w:tc>
          <w:tcPr>
            <w:tcW w:w="958" w:type="dxa"/>
            <w:vMerge/>
            <w:tcBorders>
              <w:top w:val="single" w:sz="4" w:space="0" w:color="000000"/>
              <w:left w:val="nil"/>
              <w:bottom w:val="single" w:sz="4" w:space="0" w:color="000000"/>
              <w:right w:val="nil"/>
            </w:tcBorders>
            <w:shd w:val="clear" w:color="auto" w:fill="auto"/>
            <w:vAlign w:val="center"/>
          </w:tcPr>
          <w:p w14:paraId="607ACB20"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top w:val="nil"/>
              <w:left w:val="nil"/>
              <w:bottom w:val="single" w:sz="4" w:space="0" w:color="000000"/>
              <w:right w:val="nil"/>
            </w:tcBorders>
            <w:shd w:val="clear" w:color="auto" w:fill="auto"/>
          </w:tcPr>
          <w:p w14:paraId="61CF7326"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Yazd</w:t>
            </w:r>
          </w:p>
        </w:tc>
        <w:tc>
          <w:tcPr>
            <w:tcW w:w="1048" w:type="dxa"/>
            <w:tcBorders>
              <w:top w:val="nil"/>
              <w:left w:val="nil"/>
              <w:bottom w:val="single" w:sz="4" w:space="0" w:color="000000"/>
              <w:right w:val="nil"/>
            </w:tcBorders>
            <w:shd w:val="clear" w:color="auto" w:fill="auto"/>
            <w:vAlign w:val="center"/>
          </w:tcPr>
          <w:p w14:paraId="6E81618D"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1138533</w:t>
            </w:r>
          </w:p>
        </w:tc>
        <w:tc>
          <w:tcPr>
            <w:tcW w:w="3488" w:type="dxa"/>
            <w:gridSpan w:val="2"/>
            <w:vMerge/>
            <w:tcBorders>
              <w:top w:val="single" w:sz="4" w:space="0" w:color="000000"/>
              <w:left w:val="nil"/>
              <w:right w:val="nil"/>
            </w:tcBorders>
            <w:shd w:val="clear" w:color="auto" w:fill="auto"/>
            <w:vAlign w:val="center"/>
          </w:tcPr>
          <w:p w14:paraId="74885BE0"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single" w:sz="4" w:space="0" w:color="000000"/>
              <w:left w:val="nil"/>
              <w:right w:val="nil"/>
            </w:tcBorders>
            <w:vAlign w:val="center"/>
          </w:tcPr>
          <w:p w14:paraId="2E3991BE"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2A96EB38" w14:textId="77777777" w:rsidTr="00890650">
        <w:trPr>
          <w:trHeight w:val="206"/>
        </w:trPr>
        <w:tc>
          <w:tcPr>
            <w:tcW w:w="958" w:type="dxa"/>
            <w:vMerge w:val="restart"/>
            <w:tcBorders>
              <w:top w:val="nil"/>
              <w:left w:val="nil"/>
              <w:right w:val="nil"/>
            </w:tcBorders>
            <w:vAlign w:val="center"/>
          </w:tcPr>
          <w:p w14:paraId="1499DE99"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Foreigner</w:t>
            </w:r>
          </w:p>
        </w:tc>
        <w:tc>
          <w:tcPr>
            <w:tcW w:w="1314" w:type="dxa"/>
            <w:tcBorders>
              <w:left w:val="nil"/>
              <w:right w:val="nil"/>
            </w:tcBorders>
            <w:shd w:val="clear" w:color="auto" w:fill="auto"/>
          </w:tcPr>
          <w:p w14:paraId="6DFD603B"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Afghanistan</w:t>
            </w:r>
          </w:p>
        </w:tc>
        <w:tc>
          <w:tcPr>
            <w:tcW w:w="1048" w:type="dxa"/>
            <w:tcBorders>
              <w:left w:val="nil"/>
              <w:right w:val="nil"/>
            </w:tcBorders>
            <w:shd w:val="clear" w:color="auto" w:fill="auto"/>
            <w:vAlign w:val="bottom"/>
          </w:tcPr>
          <w:p w14:paraId="2C61B0AB" w14:textId="77777777" w:rsidR="00E24790" w:rsidRPr="00AE1D54" w:rsidRDefault="00E24790">
            <w:pPr>
              <w:spacing w:after="0" w:line="240" w:lineRule="auto"/>
              <w:rPr>
                <w:rFonts w:asciiTheme="majorHAnsi" w:hAnsiTheme="majorHAnsi" w:cstheme="majorHAnsi"/>
                <w:color w:val="000000" w:themeColor="text1"/>
                <w:sz w:val="18"/>
                <w:szCs w:val="18"/>
              </w:rPr>
            </w:pPr>
          </w:p>
        </w:tc>
        <w:tc>
          <w:tcPr>
            <w:tcW w:w="3488" w:type="dxa"/>
            <w:gridSpan w:val="2"/>
            <w:vMerge w:val="restart"/>
            <w:tcBorders>
              <w:top w:val="nil"/>
              <w:left w:val="nil"/>
              <w:right w:val="nil"/>
            </w:tcBorders>
            <w:vAlign w:val="center"/>
          </w:tcPr>
          <w:p w14:paraId="3AC36611"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36</w:t>
            </w:r>
          </w:p>
          <w:p w14:paraId="752F5AC3"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gramStart"/>
            <w:r w:rsidRPr="00AE1D54">
              <w:rPr>
                <w:rFonts w:asciiTheme="majorHAnsi" w:hAnsiTheme="majorHAnsi" w:cstheme="majorHAnsi"/>
                <w:color w:val="000000" w:themeColor="text1"/>
                <w:sz w:val="18"/>
                <w:szCs w:val="18"/>
              </w:rPr>
              <w:t>Afghan(</w:t>
            </w:r>
            <w:proofErr w:type="gramEnd"/>
            <w:r w:rsidRPr="00AE1D54">
              <w:rPr>
                <w:rFonts w:asciiTheme="majorHAnsi" w:hAnsiTheme="majorHAnsi" w:cstheme="majorHAnsi"/>
                <w:color w:val="000000" w:themeColor="text1"/>
                <w:sz w:val="18"/>
                <w:szCs w:val="18"/>
              </w:rPr>
              <w:t xml:space="preserve">3), Arab(6), Arab-Persian(5), Mix(4), Russia(7), Turk(6), </w:t>
            </w:r>
            <w:proofErr w:type="spellStart"/>
            <w:r w:rsidRPr="00AE1D54">
              <w:rPr>
                <w:rFonts w:asciiTheme="majorHAnsi" w:hAnsiTheme="majorHAnsi" w:cstheme="majorHAnsi"/>
                <w:color w:val="000000" w:themeColor="text1"/>
                <w:sz w:val="18"/>
                <w:szCs w:val="18"/>
              </w:rPr>
              <w:t>Turkaman</w:t>
            </w:r>
            <w:proofErr w:type="spellEnd"/>
            <w:r w:rsidRPr="00AE1D54">
              <w:rPr>
                <w:rFonts w:asciiTheme="majorHAnsi" w:hAnsiTheme="majorHAnsi" w:cstheme="majorHAnsi"/>
                <w:color w:val="000000" w:themeColor="text1"/>
                <w:sz w:val="18"/>
                <w:szCs w:val="18"/>
              </w:rPr>
              <w:t>(5)</w:t>
            </w:r>
          </w:p>
        </w:tc>
        <w:tc>
          <w:tcPr>
            <w:tcW w:w="3237" w:type="dxa"/>
            <w:vMerge w:val="restart"/>
            <w:tcBorders>
              <w:top w:val="nil"/>
              <w:left w:val="nil"/>
              <w:right w:val="nil"/>
            </w:tcBorders>
            <w:vAlign w:val="center"/>
          </w:tcPr>
          <w:p w14:paraId="34B9DAB5"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24</w:t>
            </w:r>
          </w:p>
          <w:p w14:paraId="590832EF"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gramStart"/>
            <w:r w:rsidRPr="00AE1D54">
              <w:rPr>
                <w:rFonts w:asciiTheme="majorHAnsi" w:hAnsiTheme="majorHAnsi" w:cstheme="majorHAnsi"/>
                <w:color w:val="000000" w:themeColor="text1"/>
                <w:sz w:val="18"/>
                <w:szCs w:val="18"/>
              </w:rPr>
              <w:t>Afghan(</w:t>
            </w:r>
            <w:proofErr w:type="gramEnd"/>
            <w:r w:rsidRPr="00AE1D54">
              <w:rPr>
                <w:rFonts w:asciiTheme="majorHAnsi" w:hAnsiTheme="majorHAnsi" w:cstheme="majorHAnsi"/>
                <w:color w:val="000000" w:themeColor="text1"/>
                <w:sz w:val="18"/>
                <w:szCs w:val="18"/>
              </w:rPr>
              <w:t>3), Arab(4), Arab-Persian(4), Mix(4), Russia(6), Turk(3)</w:t>
            </w:r>
          </w:p>
        </w:tc>
      </w:tr>
      <w:tr w:rsidR="00E24790" w:rsidRPr="00AE1D54" w14:paraId="13A87BBF" w14:textId="77777777" w:rsidTr="00890650">
        <w:trPr>
          <w:trHeight w:val="206"/>
        </w:trPr>
        <w:tc>
          <w:tcPr>
            <w:tcW w:w="958" w:type="dxa"/>
            <w:vMerge/>
            <w:tcBorders>
              <w:top w:val="nil"/>
              <w:left w:val="nil"/>
              <w:right w:val="nil"/>
            </w:tcBorders>
            <w:vAlign w:val="center"/>
          </w:tcPr>
          <w:p w14:paraId="7ACA8880"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right w:val="nil"/>
            </w:tcBorders>
            <w:shd w:val="clear" w:color="auto" w:fill="auto"/>
          </w:tcPr>
          <w:p w14:paraId="46E38971"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Azerbaijan</w:t>
            </w:r>
          </w:p>
        </w:tc>
        <w:tc>
          <w:tcPr>
            <w:tcW w:w="1048" w:type="dxa"/>
            <w:tcBorders>
              <w:left w:val="nil"/>
              <w:right w:val="nil"/>
            </w:tcBorders>
            <w:shd w:val="clear" w:color="auto" w:fill="auto"/>
            <w:vAlign w:val="bottom"/>
          </w:tcPr>
          <w:p w14:paraId="221C801B" w14:textId="77777777" w:rsidR="00E24790" w:rsidRPr="00AE1D54" w:rsidRDefault="00E24790">
            <w:pPr>
              <w:spacing w:after="0" w:line="240" w:lineRule="auto"/>
              <w:rPr>
                <w:rFonts w:asciiTheme="majorHAnsi" w:hAnsiTheme="majorHAnsi" w:cstheme="majorHAnsi"/>
                <w:color w:val="000000" w:themeColor="text1"/>
                <w:sz w:val="18"/>
                <w:szCs w:val="18"/>
              </w:rPr>
            </w:pPr>
          </w:p>
        </w:tc>
        <w:tc>
          <w:tcPr>
            <w:tcW w:w="3488" w:type="dxa"/>
            <w:gridSpan w:val="2"/>
            <w:vMerge/>
            <w:tcBorders>
              <w:top w:val="nil"/>
              <w:left w:val="nil"/>
              <w:right w:val="nil"/>
            </w:tcBorders>
            <w:vAlign w:val="center"/>
          </w:tcPr>
          <w:p w14:paraId="3A6B4D4C"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nil"/>
              <w:left w:val="nil"/>
              <w:right w:val="nil"/>
            </w:tcBorders>
            <w:vAlign w:val="center"/>
          </w:tcPr>
          <w:p w14:paraId="41812D02"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4C20059A" w14:textId="77777777" w:rsidTr="00890650">
        <w:trPr>
          <w:trHeight w:val="206"/>
        </w:trPr>
        <w:tc>
          <w:tcPr>
            <w:tcW w:w="958" w:type="dxa"/>
            <w:vMerge/>
            <w:tcBorders>
              <w:top w:val="nil"/>
              <w:left w:val="nil"/>
              <w:right w:val="nil"/>
            </w:tcBorders>
            <w:vAlign w:val="center"/>
          </w:tcPr>
          <w:p w14:paraId="41A015F2"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right w:val="nil"/>
            </w:tcBorders>
            <w:shd w:val="clear" w:color="auto" w:fill="auto"/>
          </w:tcPr>
          <w:p w14:paraId="3576AA4C"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Iraq</w:t>
            </w:r>
          </w:p>
        </w:tc>
        <w:tc>
          <w:tcPr>
            <w:tcW w:w="1048" w:type="dxa"/>
            <w:tcBorders>
              <w:left w:val="nil"/>
              <w:right w:val="nil"/>
            </w:tcBorders>
            <w:shd w:val="clear" w:color="auto" w:fill="auto"/>
            <w:vAlign w:val="bottom"/>
          </w:tcPr>
          <w:p w14:paraId="24700718" w14:textId="77777777" w:rsidR="00E24790" w:rsidRPr="00AE1D54" w:rsidRDefault="00E24790">
            <w:pPr>
              <w:spacing w:after="0" w:line="240" w:lineRule="auto"/>
              <w:rPr>
                <w:rFonts w:asciiTheme="majorHAnsi" w:hAnsiTheme="majorHAnsi" w:cstheme="majorHAnsi"/>
                <w:color w:val="000000" w:themeColor="text1"/>
                <w:sz w:val="18"/>
                <w:szCs w:val="18"/>
              </w:rPr>
            </w:pPr>
          </w:p>
        </w:tc>
        <w:tc>
          <w:tcPr>
            <w:tcW w:w="3488" w:type="dxa"/>
            <w:gridSpan w:val="2"/>
            <w:vMerge/>
            <w:tcBorders>
              <w:top w:val="nil"/>
              <w:left w:val="nil"/>
              <w:right w:val="nil"/>
            </w:tcBorders>
            <w:vAlign w:val="center"/>
          </w:tcPr>
          <w:p w14:paraId="78CCE341"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nil"/>
              <w:left w:val="nil"/>
              <w:right w:val="nil"/>
            </w:tcBorders>
            <w:vAlign w:val="center"/>
          </w:tcPr>
          <w:p w14:paraId="67373603"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6853909F" w14:textId="77777777" w:rsidTr="00890650">
        <w:trPr>
          <w:trHeight w:val="206"/>
        </w:trPr>
        <w:tc>
          <w:tcPr>
            <w:tcW w:w="958" w:type="dxa"/>
            <w:vMerge/>
            <w:tcBorders>
              <w:top w:val="nil"/>
              <w:left w:val="nil"/>
              <w:right w:val="nil"/>
            </w:tcBorders>
            <w:vAlign w:val="center"/>
          </w:tcPr>
          <w:p w14:paraId="0383D019"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right w:val="nil"/>
            </w:tcBorders>
            <w:shd w:val="clear" w:color="auto" w:fill="auto"/>
          </w:tcPr>
          <w:p w14:paraId="72D2F8D0"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Russia</w:t>
            </w:r>
          </w:p>
        </w:tc>
        <w:tc>
          <w:tcPr>
            <w:tcW w:w="1048" w:type="dxa"/>
            <w:tcBorders>
              <w:left w:val="nil"/>
              <w:right w:val="nil"/>
            </w:tcBorders>
            <w:shd w:val="clear" w:color="auto" w:fill="auto"/>
            <w:vAlign w:val="bottom"/>
          </w:tcPr>
          <w:p w14:paraId="22A04A6F" w14:textId="77777777" w:rsidR="00E24790" w:rsidRPr="00AE1D54" w:rsidRDefault="00E24790">
            <w:pPr>
              <w:spacing w:after="0" w:line="240" w:lineRule="auto"/>
              <w:rPr>
                <w:rFonts w:asciiTheme="majorHAnsi" w:hAnsiTheme="majorHAnsi" w:cstheme="majorHAnsi"/>
                <w:color w:val="000000" w:themeColor="text1"/>
                <w:sz w:val="18"/>
                <w:szCs w:val="18"/>
              </w:rPr>
            </w:pPr>
          </w:p>
        </w:tc>
        <w:tc>
          <w:tcPr>
            <w:tcW w:w="3488" w:type="dxa"/>
            <w:gridSpan w:val="2"/>
            <w:vMerge/>
            <w:tcBorders>
              <w:top w:val="nil"/>
              <w:left w:val="nil"/>
              <w:right w:val="nil"/>
            </w:tcBorders>
            <w:vAlign w:val="center"/>
          </w:tcPr>
          <w:p w14:paraId="7A545C5D"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nil"/>
              <w:left w:val="nil"/>
              <w:right w:val="nil"/>
            </w:tcBorders>
            <w:vAlign w:val="center"/>
          </w:tcPr>
          <w:p w14:paraId="11684609"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0C9E41E0" w14:textId="77777777" w:rsidTr="00890650">
        <w:trPr>
          <w:trHeight w:val="206"/>
        </w:trPr>
        <w:tc>
          <w:tcPr>
            <w:tcW w:w="958" w:type="dxa"/>
            <w:vMerge/>
            <w:tcBorders>
              <w:top w:val="nil"/>
              <w:left w:val="nil"/>
              <w:right w:val="nil"/>
            </w:tcBorders>
            <w:vAlign w:val="center"/>
          </w:tcPr>
          <w:p w14:paraId="68E01D4B"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right w:val="nil"/>
            </w:tcBorders>
            <w:shd w:val="clear" w:color="auto" w:fill="auto"/>
          </w:tcPr>
          <w:p w14:paraId="78D0B7E9"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Turkmenistan</w:t>
            </w:r>
          </w:p>
        </w:tc>
        <w:tc>
          <w:tcPr>
            <w:tcW w:w="1048" w:type="dxa"/>
            <w:tcBorders>
              <w:left w:val="nil"/>
              <w:right w:val="nil"/>
            </w:tcBorders>
            <w:shd w:val="clear" w:color="auto" w:fill="auto"/>
            <w:vAlign w:val="bottom"/>
          </w:tcPr>
          <w:p w14:paraId="7A2C5489" w14:textId="77777777" w:rsidR="00E24790" w:rsidRPr="00AE1D54" w:rsidRDefault="00E24790">
            <w:pPr>
              <w:spacing w:after="0" w:line="240" w:lineRule="auto"/>
              <w:rPr>
                <w:rFonts w:asciiTheme="majorHAnsi" w:hAnsiTheme="majorHAnsi" w:cstheme="majorHAnsi"/>
                <w:color w:val="000000" w:themeColor="text1"/>
                <w:sz w:val="18"/>
                <w:szCs w:val="18"/>
              </w:rPr>
            </w:pPr>
          </w:p>
        </w:tc>
        <w:tc>
          <w:tcPr>
            <w:tcW w:w="3488" w:type="dxa"/>
            <w:gridSpan w:val="2"/>
            <w:vMerge/>
            <w:tcBorders>
              <w:top w:val="nil"/>
              <w:left w:val="nil"/>
              <w:right w:val="nil"/>
            </w:tcBorders>
            <w:vAlign w:val="center"/>
          </w:tcPr>
          <w:p w14:paraId="11B40562"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nil"/>
              <w:left w:val="nil"/>
              <w:right w:val="nil"/>
            </w:tcBorders>
            <w:vAlign w:val="center"/>
          </w:tcPr>
          <w:p w14:paraId="423F2C96"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3617D27A" w14:textId="77777777" w:rsidTr="00890650">
        <w:trPr>
          <w:trHeight w:val="206"/>
        </w:trPr>
        <w:tc>
          <w:tcPr>
            <w:tcW w:w="958" w:type="dxa"/>
            <w:vMerge/>
            <w:tcBorders>
              <w:top w:val="nil"/>
              <w:left w:val="nil"/>
              <w:right w:val="nil"/>
            </w:tcBorders>
            <w:vAlign w:val="center"/>
          </w:tcPr>
          <w:p w14:paraId="2E51D783"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1314" w:type="dxa"/>
            <w:tcBorders>
              <w:left w:val="nil"/>
              <w:right w:val="nil"/>
            </w:tcBorders>
            <w:shd w:val="clear" w:color="auto" w:fill="auto"/>
          </w:tcPr>
          <w:p w14:paraId="14C58BB8"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Yemen</w:t>
            </w:r>
          </w:p>
        </w:tc>
        <w:tc>
          <w:tcPr>
            <w:tcW w:w="1048" w:type="dxa"/>
            <w:tcBorders>
              <w:left w:val="nil"/>
              <w:right w:val="nil"/>
            </w:tcBorders>
            <w:shd w:val="clear" w:color="auto" w:fill="auto"/>
            <w:vAlign w:val="bottom"/>
          </w:tcPr>
          <w:p w14:paraId="798DBE20" w14:textId="77777777" w:rsidR="00E24790" w:rsidRPr="00AE1D54" w:rsidRDefault="00E24790">
            <w:pPr>
              <w:spacing w:after="0" w:line="240" w:lineRule="auto"/>
              <w:rPr>
                <w:rFonts w:asciiTheme="majorHAnsi" w:hAnsiTheme="majorHAnsi" w:cstheme="majorHAnsi"/>
                <w:color w:val="000000" w:themeColor="text1"/>
                <w:sz w:val="18"/>
                <w:szCs w:val="18"/>
              </w:rPr>
            </w:pPr>
          </w:p>
        </w:tc>
        <w:tc>
          <w:tcPr>
            <w:tcW w:w="3488" w:type="dxa"/>
            <w:gridSpan w:val="2"/>
            <w:vMerge/>
            <w:tcBorders>
              <w:top w:val="nil"/>
              <w:left w:val="nil"/>
              <w:right w:val="nil"/>
            </w:tcBorders>
            <w:vAlign w:val="center"/>
          </w:tcPr>
          <w:p w14:paraId="4DC3B8E0"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c>
          <w:tcPr>
            <w:tcW w:w="3237" w:type="dxa"/>
            <w:vMerge/>
            <w:tcBorders>
              <w:top w:val="nil"/>
              <w:left w:val="nil"/>
              <w:right w:val="nil"/>
            </w:tcBorders>
            <w:vAlign w:val="center"/>
          </w:tcPr>
          <w:p w14:paraId="68984EE7"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18"/>
                <w:szCs w:val="18"/>
              </w:rPr>
            </w:pPr>
          </w:p>
        </w:tc>
      </w:tr>
      <w:tr w:rsidR="00E24790" w:rsidRPr="00AE1D54" w14:paraId="1486091B" w14:textId="77777777" w:rsidTr="00890650">
        <w:trPr>
          <w:trHeight w:val="206"/>
        </w:trPr>
        <w:tc>
          <w:tcPr>
            <w:tcW w:w="958" w:type="dxa"/>
            <w:tcBorders>
              <w:left w:val="nil"/>
              <w:bottom w:val="single" w:sz="4" w:space="0" w:color="000000"/>
              <w:right w:val="nil"/>
            </w:tcBorders>
            <w:vAlign w:val="center"/>
          </w:tcPr>
          <w:p w14:paraId="4AF27500" w14:textId="77777777" w:rsidR="00E24790" w:rsidRPr="00AE1D54" w:rsidRDefault="00E24790">
            <w:pPr>
              <w:spacing w:after="0" w:line="240" w:lineRule="auto"/>
              <w:rPr>
                <w:rFonts w:asciiTheme="majorHAnsi" w:hAnsiTheme="majorHAnsi" w:cstheme="majorHAnsi"/>
                <w:color w:val="000000" w:themeColor="text1"/>
                <w:sz w:val="18"/>
                <w:szCs w:val="18"/>
              </w:rPr>
            </w:pPr>
          </w:p>
        </w:tc>
        <w:tc>
          <w:tcPr>
            <w:tcW w:w="1314" w:type="dxa"/>
            <w:tcBorders>
              <w:left w:val="nil"/>
              <w:bottom w:val="single" w:sz="4" w:space="0" w:color="000000"/>
              <w:right w:val="nil"/>
            </w:tcBorders>
            <w:shd w:val="clear" w:color="auto" w:fill="auto"/>
          </w:tcPr>
          <w:p w14:paraId="527F634E" w14:textId="77777777" w:rsidR="00E24790" w:rsidRPr="00AE1D54" w:rsidRDefault="00E24790">
            <w:pPr>
              <w:spacing w:after="0" w:line="240" w:lineRule="auto"/>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Unknown</w:t>
            </w:r>
          </w:p>
        </w:tc>
        <w:tc>
          <w:tcPr>
            <w:tcW w:w="1048" w:type="dxa"/>
            <w:tcBorders>
              <w:left w:val="nil"/>
              <w:bottom w:val="single" w:sz="4" w:space="0" w:color="000000"/>
              <w:right w:val="nil"/>
            </w:tcBorders>
            <w:shd w:val="clear" w:color="auto" w:fill="auto"/>
            <w:vAlign w:val="bottom"/>
          </w:tcPr>
          <w:p w14:paraId="7C118D29" w14:textId="77777777" w:rsidR="00E24790" w:rsidRPr="00AE1D54" w:rsidRDefault="00E24790">
            <w:pPr>
              <w:spacing w:after="0" w:line="240" w:lineRule="auto"/>
              <w:rPr>
                <w:rFonts w:asciiTheme="majorHAnsi" w:hAnsiTheme="majorHAnsi" w:cstheme="majorHAnsi"/>
                <w:color w:val="000000" w:themeColor="text1"/>
                <w:sz w:val="18"/>
                <w:szCs w:val="18"/>
              </w:rPr>
            </w:pPr>
          </w:p>
        </w:tc>
        <w:tc>
          <w:tcPr>
            <w:tcW w:w="3488" w:type="dxa"/>
            <w:gridSpan w:val="2"/>
            <w:tcBorders>
              <w:left w:val="nil"/>
              <w:bottom w:val="single" w:sz="4" w:space="0" w:color="000000"/>
              <w:right w:val="nil"/>
            </w:tcBorders>
            <w:vAlign w:val="center"/>
          </w:tcPr>
          <w:p w14:paraId="48615854"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357</w:t>
            </w:r>
          </w:p>
          <w:p w14:paraId="598660DC"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gramStart"/>
            <w:r w:rsidRPr="00AE1D54">
              <w:rPr>
                <w:rFonts w:asciiTheme="majorHAnsi" w:hAnsiTheme="majorHAnsi" w:cstheme="majorHAnsi"/>
                <w:color w:val="000000" w:themeColor="text1"/>
                <w:sz w:val="18"/>
                <w:szCs w:val="18"/>
              </w:rPr>
              <w:t>Persian(</w:t>
            </w:r>
            <w:proofErr w:type="gramEnd"/>
            <w:r w:rsidRPr="00AE1D54">
              <w:rPr>
                <w:rFonts w:asciiTheme="majorHAnsi" w:hAnsiTheme="majorHAnsi" w:cstheme="majorHAnsi"/>
                <w:color w:val="000000" w:themeColor="text1"/>
                <w:sz w:val="18"/>
                <w:szCs w:val="18"/>
              </w:rPr>
              <w:t>274), Turk(83)</w:t>
            </w:r>
          </w:p>
        </w:tc>
        <w:tc>
          <w:tcPr>
            <w:tcW w:w="3237" w:type="dxa"/>
            <w:tcBorders>
              <w:left w:val="nil"/>
              <w:bottom w:val="single" w:sz="4" w:space="0" w:color="000000"/>
              <w:right w:val="nil"/>
            </w:tcBorders>
            <w:vAlign w:val="center"/>
          </w:tcPr>
          <w:p w14:paraId="133EC9AB"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 N: 306</w:t>
            </w:r>
          </w:p>
          <w:p w14:paraId="6ACB4E41" w14:textId="77777777" w:rsidR="00E24790" w:rsidRPr="00AE1D54" w:rsidRDefault="00E24790">
            <w:pPr>
              <w:spacing w:after="0" w:line="240" w:lineRule="auto"/>
              <w:jc w:val="center"/>
              <w:rPr>
                <w:rFonts w:asciiTheme="majorHAnsi" w:hAnsiTheme="majorHAnsi" w:cstheme="majorHAnsi"/>
                <w:color w:val="000000" w:themeColor="text1"/>
                <w:sz w:val="18"/>
                <w:szCs w:val="18"/>
              </w:rPr>
            </w:pPr>
            <w:proofErr w:type="gramStart"/>
            <w:r w:rsidRPr="00AE1D54">
              <w:rPr>
                <w:rFonts w:asciiTheme="majorHAnsi" w:hAnsiTheme="majorHAnsi" w:cstheme="majorHAnsi"/>
                <w:color w:val="000000" w:themeColor="text1"/>
                <w:sz w:val="18"/>
                <w:szCs w:val="18"/>
              </w:rPr>
              <w:t>Persian(</w:t>
            </w:r>
            <w:proofErr w:type="gramEnd"/>
            <w:r w:rsidRPr="00AE1D54">
              <w:rPr>
                <w:rFonts w:asciiTheme="majorHAnsi" w:hAnsiTheme="majorHAnsi" w:cstheme="majorHAnsi"/>
                <w:color w:val="000000" w:themeColor="text1"/>
                <w:sz w:val="18"/>
                <w:szCs w:val="18"/>
              </w:rPr>
              <w:t>234), Turk(72)</w:t>
            </w:r>
          </w:p>
        </w:tc>
      </w:tr>
      <w:tr w:rsidR="00E24790" w:rsidRPr="00AE1D54" w14:paraId="3A9B11F9" w14:textId="77777777" w:rsidTr="00890650">
        <w:trPr>
          <w:trHeight w:val="206"/>
        </w:trPr>
        <w:tc>
          <w:tcPr>
            <w:tcW w:w="958" w:type="dxa"/>
            <w:tcBorders>
              <w:top w:val="single" w:sz="4" w:space="0" w:color="000000"/>
              <w:left w:val="nil"/>
              <w:bottom w:val="single" w:sz="4" w:space="0" w:color="000000"/>
              <w:right w:val="nil"/>
            </w:tcBorders>
            <w:vAlign w:val="center"/>
          </w:tcPr>
          <w:p w14:paraId="7517FD17"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Total</w:t>
            </w:r>
          </w:p>
        </w:tc>
        <w:tc>
          <w:tcPr>
            <w:tcW w:w="1314" w:type="dxa"/>
            <w:tcBorders>
              <w:top w:val="single" w:sz="4" w:space="0" w:color="000000"/>
              <w:left w:val="nil"/>
              <w:bottom w:val="single" w:sz="4" w:space="0" w:color="000000"/>
              <w:right w:val="nil"/>
            </w:tcBorders>
            <w:shd w:val="clear" w:color="auto" w:fill="auto"/>
          </w:tcPr>
          <w:p w14:paraId="3455429C" w14:textId="77777777" w:rsidR="00E24790" w:rsidRPr="00AE1D54" w:rsidRDefault="00E24790">
            <w:pPr>
              <w:spacing w:after="0" w:line="240" w:lineRule="auto"/>
              <w:rPr>
                <w:rFonts w:asciiTheme="majorHAnsi" w:hAnsiTheme="majorHAnsi" w:cstheme="majorHAnsi"/>
                <w:color w:val="000000" w:themeColor="text1"/>
                <w:sz w:val="18"/>
                <w:szCs w:val="18"/>
              </w:rPr>
            </w:pPr>
          </w:p>
        </w:tc>
        <w:tc>
          <w:tcPr>
            <w:tcW w:w="1048" w:type="dxa"/>
            <w:tcBorders>
              <w:top w:val="single" w:sz="4" w:space="0" w:color="000000"/>
              <w:left w:val="nil"/>
              <w:bottom w:val="single" w:sz="4" w:space="0" w:color="000000"/>
              <w:right w:val="nil"/>
            </w:tcBorders>
            <w:shd w:val="clear" w:color="auto" w:fill="auto"/>
            <w:vAlign w:val="bottom"/>
          </w:tcPr>
          <w:p w14:paraId="45E919D6" w14:textId="77777777" w:rsidR="00E24790" w:rsidRPr="00AE1D54" w:rsidRDefault="00E24790">
            <w:pPr>
              <w:spacing w:after="0" w:line="240" w:lineRule="auto"/>
              <w:rPr>
                <w:rFonts w:asciiTheme="majorHAnsi" w:hAnsiTheme="majorHAnsi" w:cstheme="majorHAnsi"/>
                <w:color w:val="000000" w:themeColor="text1"/>
                <w:sz w:val="18"/>
                <w:szCs w:val="18"/>
              </w:rPr>
            </w:pPr>
          </w:p>
        </w:tc>
        <w:tc>
          <w:tcPr>
            <w:tcW w:w="3488" w:type="dxa"/>
            <w:gridSpan w:val="2"/>
            <w:tcBorders>
              <w:top w:val="single" w:sz="4" w:space="0" w:color="000000"/>
              <w:left w:val="nil"/>
              <w:bottom w:val="single" w:sz="4" w:space="0" w:color="000000"/>
              <w:right w:val="nil"/>
            </w:tcBorders>
            <w:vAlign w:val="center"/>
          </w:tcPr>
          <w:p w14:paraId="1A91054E"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6177</w:t>
            </w:r>
          </w:p>
        </w:tc>
        <w:tc>
          <w:tcPr>
            <w:tcW w:w="3237" w:type="dxa"/>
            <w:tcBorders>
              <w:top w:val="single" w:sz="4" w:space="0" w:color="000000"/>
              <w:left w:val="nil"/>
              <w:bottom w:val="single" w:sz="4" w:space="0" w:color="000000"/>
              <w:right w:val="nil"/>
            </w:tcBorders>
            <w:vAlign w:val="center"/>
          </w:tcPr>
          <w:p w14:paraId="48853DA7" w14:textId="77777777" w:rsidR="00E24790" w:rsidRPr="00AE1D54" w:rsidRDefault="00E24790">
            <w:pPr>
              <w:spacing w:after="0" w:line="240" w:lineRule="auto"/>
              <w:jc w:val="center"/>
              <w:rPr>
                <w:rFonts w:asciiTheme="majorHAnsi" w:hAnsiTheme="majorHAnsi" w:cstheme="majorHAnsi"/>
                <w:color w:val="000000" w:themeColor="text1"/>
                <w:sz w:val="18"/>
                <w:szCs w:val="18"/>
              </w:rPr>
            </w:pPr>
            <w:r w:rsidRPr="00AE1D54">
              <w:rPr>
                <w:rFonts w:asciiTheme="majorHAnsi" w:hAnsiTheme="majorHAnsi" w:cstheme="majorHAnsi"/>
                <w:color w:val="000000" w:themeColor="text1"/>
                <w:sz w:val="18"/>
                <w:szCs w:val="18"/>
              </w:rPr>
              <w:t>3851</w:t>
            </w:r>
          </w:p>
        </w:tc>
      </w:tr>
    </w:tbl>
    <w:p w14:paraId="6A0D6348" w14:textId="3884AF26" w:rsidR="00E24790" w:rsidRPr="00AE1D54" w:rsidRDefault="00E24790" w:rsidP="00D45EC9">
      <w:pPr>
        <w:jc w:val="both"/>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t>* Five main governmental regions in Iran: 1: Tehran,2: Isfahan,3: Tabriz,4: Kermanshah,</w:t>
      </w:r>
      <w:r w:rsidR="00D45EC9">
        <w:rPr>
          <w:rFonts w:asciiTheme="majorHAnsi" w:hAnsiTheme="majorHAnsi" w:cstheme="majorHAnsi"/>
          <w:color w:val="000000" w:themeColor="text1"/>
          <w:sz w:val="24"/>
          <w:szCs w:val="24"/>
        </w:rPr>
        <w:t xml:space="preserve"> </w:t>
      </w:r>
      <w:r w:rsidRPr="00AE1D54">
        <w:rPr>
          <w:rFonts w:asciiTheme="majorHAnsi" w:hAnsiTheme="majorHAnsi" w:cstheme="majorHAnsi"/>
          <w:color w:val="000000" w:themeColor="text1"/>
          <w:sz w:val="24"/>
          <w:szCs w:val="24"/>
        </w:rPr>
        <w:t>5:</w:t>
      </w:r>
      <w:r w:rsidR="00D45EC9">
        <w:rPr>
          <w:rFonts w:asciiTheme="majorHAnsi" w:hAnsiTheme="majorHAnsi" w:cstheme="majorHAnsi"/>
          <w:color w:val="000000" w:themeColor="text1"/>
          <w:sz w:val="24"/>
          <w:szCs w:val="24"/>
        </w:rPr>
        <w:t xml:space="preserve"> </w:t>
      </w:r>
      <w:r w:rsidRPr="00AE1D54">
        <w:rPr>
          <w:rFonts w:asciiTheme="majorHAnsi" w:hAnsiTheme="majorHAnsi" w:cstheme="majorHAnsi"/>
          <w:color w:val="000000" w:themeColor="text1"/>
          <w:sz w:val="24"/>
          <w:szCs w:val="24"/>
        </w:rPr>
        <w:t>Mashhad.</w:t>
      </w:r>
    </w:p>
    <w:p w14:paraId="1EA6BB97" w14:textId="77777777" w:rsidR="00E24790" w:rsidRPr="00AE1D54" w:rsidRDefault="00E24790" w:rsidP="00E24790">
      <w:pPr>
        <w:pStyle w:val="Quote"/>
      </w:pPr>
      <w:bookmarkStart w:id="56" w:name="_Toc119834448"/>
      <w:r w:rsidRPr="00AE1D54">
        <w:lastRenderedPageBreak/>
        <w:t>Table 2: Missing call rate of 652,341 SNPs among TCGS participants</w:t>
      </w:r>
      <w:bookmarkEnd w:id="56"/>
    </w:p>
    <w:tbl>
      <w:tblPr>
        <w:tblStyle w:val="GridTable1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8"/>
        <w:gridCol w:w="1376"/>
        <w:gridCol w:w="2728"/>
        <w:gridCol w:w="2728"/>
      </w:tblGrid>
      <w:tr w:rsidR="00E24790" w:rsidRPr="00AE1D54" w14:paraId="35826762" w14:textId="77777777" w:rsidTr="00A3241C">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351" w:type="pct"/>
            <w:tcBorders>
              <w:top w:val="single" w:sz="4" w:space="0" w:color="auto"/>
              <w:bottom w:val="single" w:sz="4" w:space="0" w:color="auto"/>
            </w:tcBorders>
            <w:noWrap/>
            <w:vAlign w:val="center"/>
            <w:hideMark/>
          </w:tcPr>
          <w:p w14:paraId="7D77620C"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Missing call rate</w:t>
            </w:r>
          </w:p>
        </w:tc>
        <w:tc>
          <w:tcPr>
            <w:tcW w:w="735" w:type="pct"/>
            <w:tcBorders>
              <w:top w:val="single" w:sz="4" w:space="0" w:color="auto"/>
              <w:bottom w:val="single" w:sz="4" w:space="0" w:color="auto"/>
            </w:tcBorders>
            <w:noWrap/>
            <w:vAlign w:val="center"/>
            <w:hideMark/>
          </w:tcPr>
          <w:p w14:paraId="67F97086"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Frequency</w:t>
            </w:r>
          </w:p>
        </w:tc>
        <w:tc>
          <w:tcPr>
            <w:tcW w:w="1457" w:type="pct"/>
            <w:tcBorders>
              <w:top w:val="single" w:sz="4" w:space="0" w:color="auto"/>
              <w:bottom w:val="single" w:sz="4" w:space="0" w:color="auto"/>
            </w:tcBorders>
            <w:noWrap/>
            <w:vAlign w:val="center"/>
            <w:hideMark/>
          </w:tcPr>
          <w:p w14:paraId="675EC2C8"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Cumulative Frequency</w:t>
            </w:r>
          </w:p>
        </w:tc>
        <w:tc>
          <w:tcPr>
            <w:tcW w:w="1457" w:type="pct"/>
            <w:tcBorders>
              <w:top w:val="single" w:sz="4" w:space="0" w:color="auto"/>
              <w:bottom w:val="single" w:sz="4" w:space="0" w:color="auto"/>
            </w:tcBorders>
            <w:noWrap/>
            <w:vAlign w:val="center"/>
            <w:hideMark/>
          </w:tcPr>
          <w:p w14:paraId="39636765"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Cumulative Percentage</w:t>
            </w:r>
          </w:p>
        </w:tc>
      </w:tr>
      <w:tr w:rsidR="00E24790" w:rsidRPr="00AE1D54" w14:paraId="00C1282D"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tcBorders>
              <w:top w:val="single" w:sz="4" w:space="0" w:color="auto"/>
            </w:tcBorders>
            <w:noWrap/>
            <w:vAlign w:val="center"/>
            <w:hideMark/>
          </w:tcPr>
          <w:p w14:paraId="66C4DE56"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&lt;0.01</w:t>
            </w:r>
          </w:p>
        </w:tc>
        <w:tc>
          <w:tcPr>
            <w:tcW w:w="735" w:type="pct"/>
            <w:tcBorders>
              <w:top w:val="single" w:sz="4" w:space="0" w:color="auto"/>
            </w:tcBorders>
            <w:noWrap/>
            <w:vAlign w:val="center"/>
            <w:hideMark/>
          </w:tcPr>
          <w:p w14:paraId="29926AE0"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598,955</w:t>
            </w:r>
          </w:p>
        </w:tc>
        <w:tc>
          <w:tcPr>
            <w:tcW w:w="1457" w:type="pct"/>
            <w:tcBorders>
              <w:top w:val="single" w:sz="4" w:space="0" w:color="auto"/>
            </w:tcBorders>
            <w:noWrap/>
            <w:vAlign w:val="center"/>
            <w:hideMark/>
          </w:tcPr>
          <w:p w14:paraId="711AE0D9"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598,955</w:t>
            </w:r>
          </w:p>
        </w:tc>
        <w:tc>
          <w:tcPr>
            <w:tcW w:w="1457" w:type="pct"/>
            <w:tcBorders>
              <w:top w:val="single" w:sz="4" w:space="0" w:color="auto"/>
            </w:tcBorders>
            <w:noWrap/>
            <w:vAlign w:val="center"/>
            <w:hideMark/>
          </w:tcPr>
          <w:p w14:paraId="2F30DDFE"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0.9182</w:t>
            </w:r>
          </w:p>
        </w:tc>
      </w:tr>
      <w:tr w:rsidR="00E24790" w:rsidRPr="00AE1D54" w14:paraId="615C78CB"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0D2F0418"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0.01 - 0.02</w:t>
            </w:r>
          </w:p>
        </w:tc>
        <w:tc>
          <w:tcPr>
            <w:tcW w:w="735" w:type="pct"/>
            <w:noWrap/>
            <w:vAlign w:val="center"/>
            <w:hideMark/>
          </w:tcPr>
          <w:p w14:paraId="5FBCB39B"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27,281</w:t>
            </w:r>
          </w:p>
        </w:tc>
        <w:tc>
          <w:tcPr>
            <w:tcW w:w="1457" w:type="pct"/>
            <w:noWrap/>
            <w:vAlign w:val="center"/>
            <w:hideMark/>
          </w:tcPr>
          <w:p w14:paraId="65433110"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626,236</w:t>
            </w:r>
          </w:p>
        </w:tc>
        <w:tc>
          <w:tcPr>
            <w:tcW w:w="1457" w:type="pct"/>
            <w:noWrap/>
            <w:vAlign w:val="center"/>
            <w:hideMark/>
          </w:tcPr>
          <w:p w14:paraId="5DBE1C9C"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0.9600</w:t>
            </w:r>
          </w:p>
        </w:tc>
      </w:tr>
      <w:tr w:rsidR="00E24790" w:rsidRPr="00AE1D54" w14:paraId="4CB0D574"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3392E1B5"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0.02 - 0.03</w:t>
            </w:r>
          </w:p>
        </w:tc>
        <w:tc>
          <w:tcPr>
            <w:tcW w:w="735" w:type="pct"/>
            <w:noWrap/>
            <w:vAlign w:val="center"/>
            <w:hideMark/>
          </w:tcPr>
          <w:p w14:paraId="24E9AE0E"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8,672</w:t>
            </w:r>
          </w:p>
        </w:tc>
        <w:tc>
          <w:tcPr>
            <w:tcW w:w="1457" w:type="pct"/>
            <w:noWrap/>
            <w:vAlign w:val="center"/>
            <w:hideMark/>
          </w:tcPr>
          <w:p w14:paraId="33C705A3"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634,908</w:t>
            </w:r>
          </w:p>
        </w:tc>
        <w:tc>
          <w:tcPr>
            <w:tcW w:w="1457" w:type="pct"/>
            <w:noWrap/>
            <w:vAlign w:val="center"/>
            <w:hideMark/>
          </w:tcPr>
          <w:p w14:paraId="752FFAAE"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0.9733</w:t>
            </w:r>
          </w:p>
        </w:tc>
      </w:tr>
      <w:tr w:rsidR="00E24790" w:rsidRPr="00AE1D54" w14:paraId="6DD233CD"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36F9A0E0"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0.03 - 0.04</w:t>
            </w:r>
          </w:p>
        </w:tc>
        <w:tc>
          <w:tcPr>
            <w:tcW w:w="735" w:type="pct"/>
            <w:noWrap/>
            <w:vAlign w:val="center"/>
            <w:hideMark/>
          </w:tcPr>
          <w:p w14:paraId="219D9422"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3,921</w:t>
            </w:r>
          </w:p>
        </w:tc>
        <w:tc>
          <w:tcPr>
            <w:tcW w:w="1457" w:type="pct"/>
            <w:noWrap/>
            <w:vAlign w:val="center"/>
            <w:hideMark/>
          </w:tcPr>
          <w:p w14:paraId="35489F43"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638,829</w:t>
            </w:r>
          </w:p>
        </w:tc>
        <w:tc>
          <w:tcPr>
            <w:tcW w:w="1457" w:type="pct"/>
            <w:noWrap/>
            <w:vAlign w:val="center"/>
            <w:hideMark/>
          </w:tcPr>
          <w:p w14:paraId="3E12AF0C"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0.9793</w:t>
            </w:r>
          </w:p>
        </w:tc>
      </w:tr>
      <w:tr w:rsidR="00E24790" w:rsidRPr="00AE1D54" w14:paraId="6881EC1A"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341A3483"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0.04 - 0.05</w:t>
            </w:r>
          </w:p>
        </w:tc>
        <w:tc>
          <w:tcPr>
            <w:tcW w:w="735" w:type="pct"/>
            <w:noWrap/>
            <w:vAlign w:val="center"/>
            <w:hideMark/>
          </w:tcPr>
          <w:p w14:paraId="6C5D54F0"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2,132</w:t>
            </w:r>
          </w:p>
        </w:tc>
        <w:tc>
          <w:tcPr>
            <w:tcW w:w="1457" w:type="pct"/>
            <w:noWrap/>
            <w:vAlign w:val="center"/>
            <w:hideMark/>
          </w:tcPr>
          <w:p w14:paraId="539062BD"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640,961</w:t>
            </w:r>
          </w:p>
        </w:tc>
        <w:tc>
          <w:tcPr>
            <w:tcW w:w="1457" w:type="pct"/>
            <w:noWrap/>
            <w:vAlign w:val="center"/>
            <w:hideMark/>
          </w:tcPr>
          <w:p w14:paraId="6528C7B2"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0.9826</w:t>
            </w:r>
          </w:p>
        </w:tc>
      </w:tr>
      <w:tr w:rsidR="00E24790" w:rsidRPr="00AE1D54" w14:paraId="7FE54D15"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5B4B85A0"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0.05 - 0.06</w:t>
            </w:r>
          </w:p>
        </w:tc>
        <w:tc>
          <w:tcPr>
            <w:tcW w:w="735" w:type="pct"/>
            <w:noWrap/>
            <w:vAlign w:val="center"/>
            <w:hideMark/>
          </w:tcPr>
          <w:p w14:paraId="7B521F57"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1,275</w:t>
            </w:r>
          </w:p>
        </w:tc>
        <w:tc>
          <w:tcPr>
            <w:tcW w:w="1457" w:type="pct"/>
            <w:noWrap/>
            <w:vAlign w:val="center"/>
            <w:hideMark/>
          </w:tcPr>
          <w:p w14:paraId="1889531B"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642,236</w:t>
            </w:r>
          </w:p>
        </w:tc>
        <w:tc>
          <w:tcPr>
            <w:tcW w:w="1457" w:type="pct"/>
            <w:noWrap/>
            <w:vAlign w:val="center"/>
            <w:hideMark/>
          </w:tcPr>
          <w:p w14:paraId="6745E815"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0.9845</w:t>
            </w:r>
          </w:p>
        </w:tc>
      </w:tr>
      <w:tr w:rsidR="00E24790" w:rsidRPr="00AE1D54" w14:paraId="69ED295B"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1ACB2E92"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0.06 - 0.07</w:t>
            </w:r>
          </w:p>
        </w:tc>
        <w:tc>
          <w:tcPr>
            <w:tcW w:w="735" w:type="pct"/>
            <w:noWrap/>
            <w:vAlign w:val="center"/>
            <w:hideMark/>
          </w:tcPr>
          <w:p w14:paraId="7FC647F7"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797</w:t>
            </w:r>
          </w:p>
        </w:tc>
        <w:tc>
          <w:tcPr>
            <w:tcW w:w="1457" w:type="pct"/>
            <w:noWrap/>
            <w:vAlign w:val="center"/>
            <w:hideMark/>
          </w:tcPr>
          <w:p w14:paraId="74C3C005"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643,033</w:t>
            </w:r>
          </w:p>
        </w:tc>
        <w:tc>
          <w:tcPr>
            <w:tcW w:w="1457" w:type="pct"/>
            <w:noWrap/>
            <w:vAlign w:val="center"/>
            <w:hideMark/>
          </w:tcPr>
          <w:p w14:paraId="14AA723C"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0.9857</w:t>
            </w:r>
          </w:p>
        </w:tc>
      </w:tr>
      <w:tr w:rsidR="00E24790" w:rsidRPr="00AE1D54" w14:paraId="0892BF39"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4A5885CA"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0.07 - 0.08</w:t>
            </w:r>
          </w:p>
        </w:tc>
        <w:tc>
          <w:tcPr>
            <w:tcW w:w="735" w:type="pct"/>
            <w:noWrap/>
            <w:vAlign w:val="center"/>
            <w:hideMark/>
          </w:tcPr>
          <w:p w14:paraId="41116848"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597</w:t>
            </w:r>
          </w:p>
        </w:tc>
        <w:tc>
          <w:tcPr>
            <w:tcW w:w="1457" w:type="pct"/>
            <w:noWrap/>
            <w:vAlign w:val="center"/>
            <w:hideMark/>
          </w:tcPr>
          <w:p w14:paraId="53DA5A16"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643,630</w:t>
            </w:r>
          </w:p>
        </w:tc>
        <w:tc>
          <w:tcPr>
            <w:tcW w:w="1457" w:type="pct"/>
            <w:noWrap/>
            <w:vAlign w:val="center"/>
            <w:hideMark/>
          </w:tcPr>
          <w:p w14:paraId="7ABEE637"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0.9867</w:t>
            </w:r>
          </w:p>
        </w:tc>
      </w:tr>
      <w:tr w:rsidR="00E24790" w:rsidRPr="00AE1D54" w14:paraId="7407348C"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00BEAF46"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0.08 - 0.09</w:t>
            </w:r>
          </w:p>
        </w:tc>
        <w:tc>
          <w:tcPr>
            <w:tcW w:w="735" w:type="pct"/>
            <w:noWrap/>
            <w:vAlign w:val="center"/>
            <w:hideMark/>
          </w:tcPr>
          <w:p w14:paraId="2E56C16F"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398</w:t>
            </w:r>
          </w:p>
        </w:tc>
        <w:tc>
          <w:tcPr>
            <w:tcW w:w="1457" w:type="pct"/>
            <w:noWrap/>
            <w:vAlign w:val="center"/>
            <w:hideMark/>
          </w:tcPr>
          <w:p w14:paraId="51479139"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644,028</w:t>
            </w:r>
          </w:p>
        </w:tc>
        <w:tc>
          <w:tcPr>
            <w:tcW w:w="1457" w:type="pct"/>
            <w:noWrap/>
            <w:vAlign w:val="center"/>
            <w:hideMark/>
          </w:tcPr>
          <w:p w14:paraId="419B0B24"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0.9873</w:t>
            </w:r>
          </w:p>
        </w:tc>
      </w:tr>
      <w:tr w:rsidR="00E24790" w:rsidRPr="00AE1D54" w14:paraId="03A08077"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5377E235"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0.09 - 0.10</w:t>
            </w:r>
          </w:p>
        </w:tc>
        <w:tc>
          <w:tcPr>
            <w:tcW w:w="735" w:type="pct"/>
            <w:noWrap/>
            <w:vAlign w:val="center"/>
            <w:hideMark/>
          </w:tcPr>
          <w:p w14:paraId="392DF521"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298</w:t>
            </w:r>
          </w:p>
        </w:tc>
        <w:tc>
          <w:tcPr>
            <w:tcW w:w="1457" w:type="pct"/>
            <w:noWrap/>
            <w:vAlign w:val="center"/>
            <w:hideMark/>
          </w:tcPr>
          <w:p w14:paraId="3321BFB7"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644,326</w:t>
            </w:r>
          </w:p>
        </w:tc>
        <w:tc>
          <w:tcPr>
            <w:tcW w:w="1457" w:type="pct"/>
            <w:noWrap/>
            <w:vAlign w:val="center"/>
            <w:hideMark/>
          </w:tcPr>
          <w:p w14:paraId="30C4A952"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0.9877</w:t>
            </w:r>
          </w:p>
        </w:tc>
      </w:tr>
      <w:tr w:rsidR="00E24790" w:rsidRPr="00AE1D54" w14:paraId="08343142"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3F6D0842"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0.1 - 0.2</w:t>
            </w:r>
          </w:p>
        </w:tc>
        <w:tc>
          <w:tcPr>
            <w:tcW w:w="735" w:type="pct"/>
            <w:noWrap/>
            <w:vAlign w:val="center"/>
            <w:hideMark/>
          </w:tcPr>
          <w:p w14:paraId="54E29A33"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958</w:t>
            </w:r>
          </w:p>
        </w:tc>
        <w:tc>
          <w:tcPr>
            <w:tcW w:w="1457" w:type="pct"/>
            <w:noWrap/>
            <w:vAlign w:val="center"/>
            <w:hideMark/>
          </w:tcPr>
          <w:p w14:paraId="144288A5"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645,284</w:t>
            </w:r>
          </w:p>
        </w:tc>
        <w:tc>
          <w:tcPr>
            <w:tcW w:w="1457" w:type="pct"/>
            <w:noWrap/>
            <w:vAlign w:val="center"/>
            <w:hideMark/>
          </w:tcPr>
          <w:p w14:paraId="5780EDEB"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0.9891</w:t>
            </w:r>
          </w:p>
        </w:tc>
      </w:tr>
      <w:tr w:rsidR="00E24790" w:rsidRPr="00AE1D54" w14:paraId="40E74234"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55525F22"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&gt; 0.2</w:t>
            </w:r>
          </w:p>
        </w:tc>
        <w:tc>
          <w:tcPr>
            <w:tcW w:w="735" w:type="pct"/>
            <w:noWrap/>
            <w:vAlign w:val="center"/>
            <w:hideMark/>
          </w:tcPr>
          <w:p w14:paraId="541870FE"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7,057</w:t>
            </w:r>
          </w:p>
        </w:tc>
        <w:tc>
          <w:tcPr>
            <w:tcW w:w="1457" w:type="pct"/>
            <w:noWrap/>
            <w:vAlign w:val="center"/>
            <w:hideMark/>
          </w:tcPr>
          <w:p w14:paraId="48B3B1B7"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652,341</w:t>
            </w:r>
          </w:p>
        </w:tc>
        <w:tc>
          <w:tcPr>
            <w:tcW w:w="1457" w:type="pct"/>
            <w:noWrap/>
            <w:vAlign w:val="center"/>
            <w:hideMark/>
          </w:tcPr>
          <w:p w14:paraId="30B59378"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w:t>
            </w:r>
          </w:p>
        </w:tc>
      </w:tr>
      <w:tr w:rsidR="00E24790" w:rsidRPr="00AE1D54" w14:paraId="507703DC"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tcBorders>
              <w:bottom w:val="single" w:sz="4" w:space="0" w:color="auto"/>
            </w:tcBorders>
            <w:noWrap/>
            <w:vAlign w:val="center"/>
            <w:hideMark/>
          </w:tcPr>
          <w:p w14:paraId="02E3960B"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Total SNPs</w:t>
            </w:r>
          </w:p>
        </w:tc>
        <w:tc>
          <w:tcPr>
            <w:tcW w:w="735" w:type="pct"/>
            <w:tcBorders>
              <w:bottom w:val="single" w:sz="4" w:space="0" w:color="auto"/>
            </w:tcBorders>
            <w:noWrap/>
            <w:vAlign w:val="center"/>
            <w:hideMark/>
          </w:tcPr>
          <w:p w14:paraId="6FFFCC9B"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652,341</w:t>
            </w:r>
          </w:p>
        </w:tc>
        <w:tc>
          <w:tcPr>
            <w:tcW w:w="1457" w:type="pct"/>
            <w:tcBorders>
              <w:bottom w:val="single" w:sz="4" w:space="0" w:color="auto"/>
            </w:tcBorders>
            <w:noWrap/>
            <w:vAlign w:val="center"/>
            <w:hideMark/>
          </w:tcPr>
          <w:p w14:paraId="43594162"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p>
        </w:tc>
        <w:tc>
          <w:tcPr>
            <w:tcW w:w="1457" w:type="pct"/>
            <w:tcBorders>
              <w:bottom w:val="single" w:sz="4" w:space="0" w:color="auto"/>
            </w:tcBorders>
            <w:noWrap/>
            <w:vAlign w:val="center"/>
            <w:hideMark/>
          </w:tcPr>
          <w:p w14:paraId="522E2CBC"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0"/>
                <w:szCs w:val="20"/>
              </w:rPr>
            </w:pPr>
          </w:p>
        </w:tc>
      </w:tr>
    </w:tbl>
    <w:p w14:paraId="00DBE76B"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24"/>
          <w:szCs w:val="24"/>
        </w:rPr>
      </w:pPr>
    </w:p>
    <w:p w14:paraId="0F4994D8" w14:textId="77777777" w:rsidR="00E24790" w:rsidRPr="00AE1D54" w:rsidRDefault="00E24790">
      <w:pPr>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br w:type="page"/>
      </w:r>
    </w:p>
    <w:p w14:paraId="14DFD2F4" w14:textId="77777777" w:rsidR="00E24790" w:rsidRPr="00AE1D54" w:rsidRDefault="00E24790" w:rsidP="00E24790">
      <w:pPr>
        <w:pStyle w:val="Quote"/>
      </w:pPr>
      <w:bookmarkStart w:id="57" w:name="_Toc119834449"/>
      <w:r w:rsidRPr="00AE1D54">
        <w:lastRenderedPageBreak/>
        <w:t>Table 3: Per-individual missingness among 14,835 TCGS participants</w:t>
      </w:r>
      <w:bookmarkEnd w:id="57"/>
    </w:p>
    <w:tbl>
      <w:tblPr>
        <w:tblStyle w:val="GridTable1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8"/>
        <w:gridCol w:w="1376"/>
        <w:gridCol w:w="2728"/>
        <w:gridCol w:w="2728"/>
      </w:tblGrid>
      <w:tr w:rsidR="00E24790" w:rsidRPr="00AE1D54" w14:paraId="4EC8A1DF" w14:textId="77777777" w:rsidTr="00A3241C">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351" w:type="pct"/>
            <w:tcBorders>
              <w:top w:val="single" w:sz="4" w:space="0" w:color="auto"/>
              <w:bottom w:val="single" w:sz="4" w:space="0" w:color="auto"/>
            </w:tcBorders>
            <w:noWrap/>
            <w:vAlign w:val="center"/>
            <w:hideMark/>
          </w:tcPr>
          <w:p w14:paraId="69AC8742"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Individuals missing call rate</w:t>
            </w:r>
          </w:p>
        </w:tc>
        <w:tc>
          <w:tcPr>
            <w:tcW w:w="735" w:type="pct"/>
            <w:tcBorders>
              <w:top w:val="single" w:sz="4" w:space="0" w:color="auto"/>
              <w:bottom w:val="single" w:sz="4" w:space="0" w:color="auto"/>
            </w:tcBorders>
            <w:noWrap/>
            <w:vAlign w:val="center"/>
            <w:hideMark/>
          </w:tcPr>
          <w:p w14:paraId="1ACDE268"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Frequency</w:t>
            </w:r>
          </w:p>
        </w:tc>
        <w:tc>
          <w:tcPr>
            <w:tcW w:w="1457" w:type="pct"/>
            <w:tcBorders>
              <w:top w:val="single" w:sz="4" w:space="0" w:color="auto"/>
              <w:bottom w:val="single" w:sz="4" w:space="0" w:color="auto"/>
            </w:tcBorders>
            <w:noWrap/>
            <w:vAlign w:val="center"/>
            <w:hideMark/>
          </w:tcPr>
          <w:p w14:paraId="67736F78"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Cumulative Frequency</w:t>
            </w:r>
          </w:p>
        </w:tc>
        <w:tc>
          <w:tcPr>
            <w:tcW w:w="1457" w:type="pct"/>
            <w:tcBorders>
              <w:top w:val="single" w:sz="4" w:space="0" w:color="auto"/>
              <w:bottom w:val="single" w:sz="4" w:space="0" w:color="auto"/>
            </w:tcBorders>
            <w:noWrap/>
            <w:vAlign w:val="center"/>
            <w:hideMark/>
          </w:tcPr>
          <w:p w14:paraId="52883791"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Cumulative Percentage</w:t>
            </w:r>
          </w:p>
        </w:tc>
      </w:tr>
      <w:tr w:rsidR="00E24790" w:rsidRPr="00AE1D54" w14:paraId="73764294"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tcBorders>
              <w:top w:val="single" w:sz="4" w:space="0" w:color="auto"/>
            </w:tcBorders>
            <w:noWrap/>
            <w:vAlign w:val="center"/>
            <w:hideMark/>
          </w:tcPr>
          <w:p w14:paraId="01F6CCF2"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&lt;0.01</w:t>
            </w:r>
          </w:p>
        </w:tc>
        <w:tc>
          <w:tcPr>
            <w:tcW w:w="735" w:type="pct"/>
            <w:tcBorders>
              <w:top w:val="single" w:sz="4" w:space="0" w:color="auto"/>
            </w:tcBorders>
            <w:noWrap/>
            <w:vAlign w:val="center"/>
            <w:hideMark/>
          </w:tcPr>
          <w:p w14:paraId="742106B9"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14,297</w:t>
            </w:r>
          </w:p>
        </w:tc>
        <w:tc>
          <w:tcPr>
            <w:tcW w:w="1457" w:type="pct"/>
            <w:tcBorders>
              <w:top w:val="single" w:sz="4" w:space="0" w:color="auto"/>
            </w:tcBorders>
            <w:noWrap/>
            <w:vAlign w:val="bottom"/>
            <w:hideMark/>
          </w:tcPr>
          <w:p w14:paraId="320BEADC"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14,297</w:t>
            </w:r>
          </w:p>
        </w:tc>
        <w:tc>
          <w:tcPr>
            <w:tcW w:w="1457" w:type="pct"/>
            <w:tcBorders>
              <w:top w:val="single" w:sz="4" w:space="0" w:color="auto"/>
            </w:tcBorders>
            <w:noWrap/>
            <w:vAlign w:val="bottom"/>
            <w:hideMark/>
          </w:tcPr>
          <w:p w14:paraId="0E3DC9E0"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0.9637</w:t>
            </w:r>
          </w:p>
        </w:tc>
      </w:tr>
      <w:tr w:rsidR="00E24790" w:rsidRPr="00AE1D54" w14:paraId="40D3621A"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1AE52E6A"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0.01 - 0.02</w:t>
            </w:r>
          </w:p>
        </w:tc>
        <w:tc>
          <w:tcPr>
            <w:tcW w:w="735" w:type="pct"/>
            <w:noWrap/>
            <w:vAlign w:val="center"/>
            <w:hideMark/>
          </w:tcPr>
          <w:p w14:paraId="65325BB7"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514</w:t>
            </w:r>
          </w:p>
        </w:tc>
        <w:tc>
          <w:tcPr>
            <w:tcW w:w="1457" w:type="pct"/>
            <w:noWrap/>
            <w:vAlign w:val="bottom"/>
            <w:hideMark/>
          </w:tcPr>
          <w:p w14:paraId="57F5790F"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14,811</w:t>
            </w:r>
          </w:p>
        </w:tc>
        <w:tc>
          <w:tcPr>
            <w:tcW w:w="1457" w:type="pct"/>
            <w:noWrap/>
            <w:vAlign w:val="bottom"/>
            <w:hideMark/>
          </w:tcPr>
          <w:p w14:paraId="7F321EC5"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0.9984</w:t>
            </w:r>
          </w:p>
        </w:tc>
      </w:tr>
      <w:tr w:rsidR="00E24790" w:rsidRPr="00AE1D54" w14:paraId="7ADB752E"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08676713" w14:textId="77777777" w:rsidR="00E24790" w:rsidRPr="00AE1D54" w:rsidRDefault="00E24790" w:rsidP="00AC6BD6">
            <w:pPr>
              <w:jc w:val="center"/>
              <w:rPr>
                <w:rFonts w:asciiTheme="majorHAnsi" w:eastAsia="Times New Roman" w:hAnsiTheme="majorHAnsi" w:cstheme="majorHAnsi"/>
                <w:color w:val="000000"/>
                <w:sz w:val="20"/>
                <w:szCs w:val="20"/>
                <w:rtl/>
              </w:rPr>
            </w:pPr>
            <w:r w:rsidRPr="00AE1D54">
              <w:rPr>
                <w:rFonts w:asciiTheme="majorHAnsi" w:eastAsia="Times New Roman" w:hAnsiTheme="majorHAnsi" w:cstheme="majorHAnsi"/>
                <w:color w:val="000000"/>
                <w:sz w:val="20"/>
                <w:szCs w:val="20"/>
              </w:rPr>
              <w:t>0.02 - 0.2</w:t>
            </w:r>
          </w:p>
        </w:tc>
        <w:tc>
          <w:tcPr>
            <w:tcW w:w="735" w:type="pct"/>
            <w:noWrap/>
            <w:vAlign w:val="center"/>
            <w:hideMark/>
          </w:tcPr>
          <w:p w14:paraId="01E9FF66"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2</w:t>
            </w:r>
          </w:p>
        </w:tc>
        <w:tc>
          <w:tcPr>
            <w:tcW w:w="1457" w:type="pct"/>
            <w:noWrap/>
            <w:vAlign w:val="bottom"/>
            <w:hideMark/>
          </w:tcPr>
          <w:p w14:paraId="08F7A813"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14,813</w:t>
            </w:r>
          </w:p>
        </w:tc>
        <w:tc>
          <w:tcPr>
            <w:tcW w:w="1457" w:type="pct"/>
            <w:noWrap/>
            <w:vAlign w:val="bottom"/>
            <w:hideMark/>
          </w:tcPr>
          <w:p w14:paraId="1FF7A757"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0.9985</w:t>
            </w:r>
          </w:p>
        </w:tc>
      </w:tr>
      <w:tr w:rsidR="00E24790" w:rsidRPr="00AE1D54" w14:paraId="4585F3BB"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502B6CB2"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&gt; 0.2</w:t>
            </w:r>
          </w:p>
        </w:tc>
        <w:tc>
          <w:tcPr>
            <w:tcW w:w="735" w:type="pct"/>
            <w:noWrap/>
            <w:vAlign w:val="center"/>
            <w:hideMark/>
          </w:tcPr>
          <w:p w14:paraId="2CF5B804"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22</w:t>
            </w:r>
          </w:p>
        </w:tc>
        <w:tc>
          <w:tcPr>
            <w:tcW w:w="1457" w:type="pct"/>
            <w:noWrap/>
            <w:vAlign w:val="bottom"/>
            <w:hideMark/>
          </w:tcPr>
          <w:p w14:paraId="69A132A3"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14,835</w:t>
            </w:r>
          </w:p>
        </w:tc>
        <w:tc>
          <w:tcPr>
            <w:tcW w:w="1457" w:type="pct"/>
            <w:noWrap/>
            <w:vAlign w:val="bottom"/>
            <w:hideMark/>
          </w:tcPr>
          <w:p w14:paraId="68209877"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w:t>
            </w:r>
          </w:p>
        </w:tc>
      </w:tr>
      <w:tr w:rsidR="00E24790" w:rsidRPr="00AE1D54" w14:paraId="7BC243DB"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tcBorders>
              <w:bottom w:val="single" w:sz="4" w:space="0" w:color="auto"/>
            </w:tcBorders>
            <w:noWrap/>
            <w:vAlign w:val="center"/>
            <w:hideMark/>
          </w:tcPr>
          <w:p w14:paraId="3EE4395B" w14:textId="77777777" w:rsidR="00E24790" w:rsidRPr="00AE1D54" w:rsidRDefault="00E24790" w:rsidP="00AC6BD6">
            <w:pPr>
              <w:jc w:val="center"/>
              <w:rPr>
                <w:rFonts w:asciiTheme="majorHAnsi" w:eastAsia="Times New Roman" w:hAnsiTheme="majorHAnsi" w:cstheme="majorHAnsi"/>
                <w:color w:val="000000"/>
                <w:sz w:val="20"/>
                <w:szCs w:val="20"/>
                <w:rtl/>
              </w:rPr>
            </w:pPr>
            <w:r w:rsidRPr="00AE1D54">
              <w:rPr>
                <w:rFonts w:asciiTheme="majorHAnsi" w:eastAsia="Times New Roman" w:hAnsiTheme="majorHAnsi" w:cstheme="majorHAnsi"/>
                <w:color w:val="000000"/>
                <w:sz w:val="20"/>
                <w:szCs w:val="20"/>
              </w:rPr>
              <w:t xml:space="preserve">Total </w:t>
            </w:r>
          </w:p>
        </w:tc>
        <w:tc>
          <w:tcPr>
            <w:tcW w:w="735" w:type="pct"/>
            <w:tcBorders>
              <w:bottom w:val="single" w:sz="4" w:space="0" w:color="auto"/>
            </w:tcBorders>
            <w:noWrap/>
            <w:vAlign w:val="bottom"/>
            <w:hideMark/>
          </w:tcPr>
          <w:p w14:paraId="54792B87"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14,835</w:t>
            </w:r>
          </w:p>
        </w:tc>
        <w:tc>
          <w:tcPr>
            <w:tcW w:w="1457" w:type="pct"/>
            <w:tcBorders>
              <w:bottom w:val="single" w:sz="4" w:space="0" w:color="auto"/>
            </w:tcBorders>
            <w:noWrap/>
            <w:vAlign w:val="center"/>
            <w:hideMark/>
          </w:tcPr>
          <w:p w14:paraId="4787C138"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p>
        </w:tc>
        <w:tc>
          <w:tcPr>
            <w:tcW w:w="1457" w:type="pct"/>
            <w:tcBorders>
              <w:bottom w:val="single" w:sz="4" w:space="0" w:color="auto"/>
            </w:tcBorders>
            <w:noWrap/>
            <w:vAlign w:val="center"/>
            <w:hideMark/>
          </w:tcPr>
          <w:p w14:paraId="3E0C5FC1"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tl/>
              </w:rPr>
            </w:pPr>
          </w:p>
        </w:tc>
      </w:tr>
    </w:tbl>
    <w:p w14:paraId="66B2131B"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24"/>
          <w:szCs w:val="24"/>
        </w:rPr>
      </w:pPr>
    </w:p>
    <w:p w14:paraId="5893D809" w14:textId="77777777" w:rsidR="00E24790" w:rsidRPr="00AE1D54" w:rsidRDefault="00E24790">
      <w:pPr>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br w:type="page"/>
      </w:r>
    </w:p>
    <w:p w14:paraId="3AD3BA52" w14:textId="77777777" w:rsidR="00E24790" w:rsidRPr="00AE1D54" w:rsidRDefault="00E24790" w:rsidP="00E24790">
      <w:pPr>
        <w:pStyle w:val="Quote"/>
      </w:pPr>
      <w:bookmarkStart w:id="58" w:name="_Toc119834450"/>
      <w:r w:rsidRPr="00AE1D54">
        <w:lastRenderedPageBreak/>
        <w:t>Table 4: Missing call rate of 652,341 SNPs among TCGS participants</w:t>
      </w:r>
      <w:bookmarkEnd w:id="58"/>
    </w:p>
    <w:tbl>
      <w:tblPr>
        <w:tblStyle w:val="GridTable1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8"/>
        <w:gridCol w:w="1376"/>
        <w:gridCol w:w="2728"/>
        <w:gridCol w:w="2728"/>
      </w:tblGrid>
      <w:tr w:rsidR="00E24790" w:rsidRPr="00AE1D54" w14:paraId="171BDBCF" w14:textId="77777777" w:rsidTr="00A3241C">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351" w:type="pct"/>
            <w:tcBorders>
              <w:top w:val="single" w:sz="4" w:space="0" w:color="auto"/>
              <w:bottom w:val="single" w:sz="4" w:space="0" w:color="auto"/>
            </w:tcBorders>
            <w:noWrap/>
            <w:vAlign w:val="center"/>
            <w:hideMark/>
          </w:tcPr>
          <w:p w14:paraId="679FA897"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hAnsiTheme="majorHAnsi" w:cstheme="majorHAnsi"/>
                <w:color w:val="000000"/>
                <w:sz w:val="20"/>
                <w:szCs w:val="20"/>
              </w:rPr>
              <w:t>MAF categories</w:t>
            </w:r>
          </w:p>
        </w:tc>
        <w:tc>
          <w:tcPr>
            <w:tcW w:w="735" w:type="pct"/>
            <w:tcBorders>
              <w:top w:val="single" w:sz="4" w:space="0" w:color="auto"/>
              <w:bottom w:val="single" w:sz="4" w:space="0" w:color="auto"/>
            </w:tcBorders>
            <w:noWrap/>
            <w:vAlign w:val="center"/>
            <w:hideMark/>
          </w:tcPr>
          <w:p w14:paraId="731389A9"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hAnsiTheme="majorHAnsi" w:cstheme="majorHAnsi"/>
                <w:color w:val="000000"/>
                <w:sz w:val="20"/>
                <w:szCs w:val="20"/>
              </w:rPr>
              <w:t>Frequency</w:t>
            </w:r>
          </w:p>
        </w:tc>
        <w:tc>
          <w:tcPr>
            <w:tcW w:w="1457" w:type="pct"/>
            <w:tcBorders>
              <w:top w:val="single" w:sz="4" w:space="0" w:color="auto"/>
              <w:bottom w:val="single" w:sz="4" w:space="0" w:color="auto"/>
            </w:tcBorders>
            <w:noWrap/>
            <w:vAlign w:val="center"/>
            <w:hideMark/>
          </w:tcPr>
          <w:p w14:paraId="4F950C4F"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hAnsiTheme="majorHAnsi" w:cstheme="majorHAnsi"/>
                <w:color w:val="000000"/>
                <w:sz w:val="20"/>
                <w:szCs w:val="20"/>
              </w:rPr>
              <w:t>Cumulative Frequency</w:t>
            </w:r>
          </w:p>
        </w:tc>
        <w:tc>
          <w:tcPr>
            <w:tcW w:w="1457" w:type="pct"/>
            <w:tcBorders>
              <w:top w:val="single" w:sz="4" w:space="0" w:color="auto"/>
              <w:bottom w:val="single" w:sz="4" w:space="0" w:color="auto"/>
            </w:tcBorders>
            <w:noWrap/>
            <w:vAlign w:val="center"/>
            <w:hideMark/>
          </w:tcPr>
          <w:p w14:paraId="24060C8A"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hAnsiTheme="majorHAnsi" w:cstheme="majorHAnsi"/>
                <w:color w:val="000000"/>
                <w:sz w:val="20"/>
                <w:szCs w:val="20"/>
              </w:rPr>
              <w:t>Cumulative Percentage</w:t>
            </w:r>
          </w:p>
        </w:tc>
      </w:tr>
      <w:tr w:rsidR="00E24790" w:rsidRPr="00AE1D54" w14:paraId="164C61BA"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tcBorders>
              <w:top w:val="single" w:sz="4" w:space="0" w:color="auto"/>
            </w:tcBorders>
            <w:noWrap/>
            <w:vAlign w:val="center"/>
            <w:hideMark/>
          </w:tcPr>
          <w:p w14:paraId="22CC473A" w14:textId="77777777" w:rsidR="00E24790" w:rsidRPr="00AE1D54" w:rsidRDefault="00E24790" w:rsidP="00AC6BD6">
            <w:pPr>
              <w:jc w:val="center"/>
              <w:rPr>
                <w:rFonts w:asciiTheme="majorHAnsi" w:hAnsiTheme="majorHAnsi" w:cstheme="majorHAnsi"/>
                <w:color w:val="000000"/>
                <w:sz w:val="20"/>
                <w:szCs w:val="20"/>
              </w:rPr>
            </w:pPr>
            <w:r w:rsidRPr="00AE1D54">
              <w:rPr>
                <w:rFonts w:asciiTheme="majorHAnsi" w:hAnsiTheme="majorHAnsi" w:cstheme="majorHAnsi"/>
                <w:color w:val="000000"/>
                <w:sz w:val="20"/>
                <w:szCs w:val="20"/>
              </w:rPr>
              <w:t>&lt;0.0001</w:t>
            </w:r>
          </w:p>
        </w:tc>
        <w:tc>
          <w:tcPr>
            <w:tcW w:w="735" w:type="pct"/>
            <w:tcBorders>
              <w:top w:val="single" w:sz="4" w:space="0" w:color="auto"/>
            </w:tcBorders>
            <w:noWrap/>
            <w:vAlign w:val="center"/>
            <w:hideMark/>
          </w:tcPr>
          <w:p w14:paraId="11D54A4C"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602</w:t>
            </w:r>
          </w:p>
        </w:tc>
        <w:tc>
          <w:tcPr>
            <w:tcW w:w="1457" w:type="pct"/>
            <w:tcBorders>
              <w:top w:val="single" w:sz="4" w:space="0" w:color="auto"/>
            </w:tcBorders>
            <w:noWrap/>
            <w:vAlign w:val="center"/>
            <w:hideMark/>
          </w:tcPr>
          <w:p w14:paraId="3E90115D"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602</w:t>
            </w:r>
          </w:p>
        </w:tc>
        <w:tc>
          <w:tcPr>
            <w:tcW w:w="1457" w:type="pct"/>
            <w:tcBorders>
              <w:top w:val="single" w:sz="4" w:space="0" w:color="auto"/>
            </w:tcBorders>
            <w:noWrap/>
            <w:vAlign w:val="center"/>
            <w:hideMark/>
          </w:tcPr>
          <w:p w14:paraId="37F6E8C3"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0.0009</w:t>
            </w:r>
          </w:p>
        </w:tc>
      </w:tr>
      <w:tr w:rsidR="00E24790" w:rsidRPr="00AE1D54" w14:paraId="7A74414B"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0B4DCABB" w14:textId="77777777" w:rsidR="00E24790" w:rsidRPr="00AE1D54" w:rsidRDefault="00E24790" w:rsidP="00AC6BD6">
            <w:pPr>
              <w:jc w:val="center"/>
              <w:rPr>
                <w:rFonts w:asciiTheme="majorHAnsi" w:hAnsiTheme="majorHAnsi" w:cstheme="majorHAnsi"/>
                <w:color w:val="000000"/>
                <w:sz w:val="20"/>
                <w:szCs w:val="20"/>
              </w:rPr>
            </w:pPr>
            <w:r w:rsidRPr="00AE1D54">
              <w:rPr>
                <w:rFonts w:asciiTheme="majorHAnsi" w:hAnsiTheme="majorHAnsi" w:cstheme="majorHAnsi"/>
                <w:color w:val="000000"/>
                <w:sz w:val="20"/>
                <w:szCs w:val="20"/>
              </w:rPr>
              <w:t>0.0001 - 0.001</w:t>
            </w:r>
          </w:p>
        </w:tc>
        <w:tc>
          <w:tcPr>
            <w:tcW w:w="735" w:type="pct"/>
            <w:noWrap/>
            <w:vAlign w:val="center"/>
            <w:hideMark/>
          </w:tcPr>
          <w:p w14:paraId="42671737"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8,785</w:t>
            </w:r>
          </w:p>
        </w:tc>
        <w:tc>
          <w:tcPr>
            <w:tcW w:w="1457" w:type="pct"/>
            <w:noWrap/>
            <w:vAlign w:val="center"/>
            <w:hideMark/>
          </w:tcPr>
          <w:p w14:paraId="07F26410"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9,387</w:t>
            </w:r>
          </w:p>
        </w:tc>
        <w:tc>
          <w:tcPr>
            <w:tcW w:w="1457" w:type="pct"/>
            <w:noWrap/>
            <w:vAlign w:val="center"/>
            <w:hideMark/>
          </w:tcPr>
          <w:p w14:paraId="78F56D6F"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0.0143</w:t>
            </w:r>
          </w:p>
        </w:tc>
      </w:tr>
      <w:tr w:rsidR="00E24790" w:rsidRPr="00AE1D54" w14:paraId="1D7EBBFD"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58F9D1C1" w14:textId="77777777" w:rsidR="00E24790" w:rsidRPr="00AE1D54" w:rsidRDefault="00E24790" w:rsidP="00AC6BD6">
            <w:pPr>
              <w:jc w:val="center"/>
              <w:rPr>
                <w:rFonts w:asciiTheme="majorHAnsi" w:hAnsiTheme="majorHAnsi" w:cstheme="majorHAnsi"/>
                <w:color w:val="000000"/>
                <w:sz w:val="20"/>
                <w:szCs w:val="20"/>
              </w:rPr>
            </w:pPr>
            <w:r w:rsidRPr="00AE1D54">
              <w:rPr>
                <w:rFonts w:asciiTheme="majorHAnsi" w:hAnsiTheme="majorHAnsi" w:cstheme="majorHAnsi"/>
                <w:color w:val="000000"/>
                <w:sz w:val="20"/>
                <w:szCs w:val="20"/>
              </w:rPr>
              <w:t>0.001 - 0.01</w:t>
            </w:r>
          </w:p>
        </w:tc>
        <w:tc>
          <w:tcPr>
            <w:tcW w:w="735" w:type="pct"/>
            <w:noWrap/>
            <w:vAlign w:val="center"/>
            <w:hideMark/>
          </w:tcPr>
          <w:p w14:paraId="02F0CE88"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18,718</w:t>
            </w:r>
          </w:p>
        </w:tc>
        <w:tc>
          <w:tcPr>
            <w:tcW w:w="1457" w:type="pct"/>
            <w:noWrap/>
            <w:vAlign w:val="center"/>
            <w:hideMark/>
          </w:tcPr>
          <w:p w14:paraId="6B2FDCB8"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28,105</w:t>
            </w:r>
          </w:p>
        </w:tc>
        <w:tc>
          <w:tcPr>
            <w:tcW w:w="1457" w:type="pct"/>
            <w:noWrap/>
            <w:vAlign w:val="center"/>
            <w:hideMark/>
          </w:tcPr>
          <w:p w14:paraId="26336A38"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0.0431</w:t>
            </w:r>
          </w:p>
        </w:tc>
      </w:tr>
      <w:tr w:rsidR="00E24790" w:rsidRPr="00AE1D54" w14:paraId="7969C1C1"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21FEA3FE" w14:textId="77777777" w:rsidR="00E24790" w:rsidRPr="00AE1D54" w:rsidRDefault="00E24790" w:rsidP="00AC6BD6">
            <w:pPr>
              <w:jc w:val="center"/>
              <w:rPr>
                <w:rFonts w:asciiTheme="majorHAnsi" w:hAnsiTheme="majorHAnsi" w:cstheme="majorHAnsi"/>
                <w:color w:val="000000"/>
                <w:sz w:val="20"/>
                <w:szCs w:val="20"/>
              </w:rPr>
            </w:pPr>
            <w:r w:rsidRPr="00AE1D54">
              <w:rPr>
                <w:rFonts w:asciiTheme="majorHAnsi" w:hAnsiTheme="majorHAnsi" w:cstheme="majorHAnsi"/>
                <w:color w:val="000000"/>
                <w:sz w:val="20"/>
                <w:szCs w:val="20"/>
              </w:rPr>
              <w:t>0.01 - 0.05</w:t>
            </w:r>
          </w:p>
        </w:tc>
        <w:tc>
          <w:tcPr>
            <w:tcW w:w="735" w:type="pct"/>
            <w:noWrap/>
            <w:vAlign w:val="center"/>
            <w:hideMark/>
          </w:tcPr>
          <w:p w14:paraId="40E5FAE6"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47,231</w:t>
            </w:r>
          </w:p>
        </w:tc>
        <w:tc>
          <w:tcPr>
            <w:tcW w:w="1457" w:type="pct"/>
            <w:noWrap/>
            <w:vAlign w:val="center"/>
            <w:hideMark/>
          </w:tcPr>
          <w:p w14:paraId="51D7292A"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75,336</w:t>
            </w:r>
          </w:p>
        </w:tc>
        <w:tc>
          <w:tcPr>
            <w:tcW w:w="1457" w:type="pct"/>
            <w:noWrap/>
            <w:vAlign w:val="center"/>
            <w:hideMark/>
          </w:tcPr>
          <w:p w14:paraId="46530168"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0.1155</w:t>
            </w:r>
          </w:p>
        </w:tc>
      </w:tr>
      <w:tr w:rsidR="00E24790" w:rsidRPr="00AE1D54" w14:paraId="6B0592F8"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693AF42F" w14:textId="77777777" w:rsidR="00E24790" w:rsidRPr="00AE1D54" w:rsidRDefault="00E24790" w:rsidP="00AC6BD6">
            <w:pPr>
              <w:jc w:val="center"/>
              <w:rPr>
                <w:rFonts w:asciiTheme="majorHAnsi" w:hAnsiTheme="majorHAnsi" w:cstheme="majorHAnsi"/>
                <w:color w:val="000000"/>
                <w:sz w:val="20"/>
                <w:szCs w:val="20"/>
              </w:rPr>
            </w:pPr>
            <w:r w:rsidRPr="00AE1D54">
              <w:rPr>
                <w:rFonts w:asciiTheme="majorHAnsi" w:hAnsiTheme="majorHAnsi" w:cstheme="majorHAnsi"/>
                <w:color w:val="000000"/>
                <w:sz w:val="20"/>
                <w:szCs w:val="20"/>
              </w:rPr>
              <w:t>0.05 - 0.1</w:t>
            </w:r>
          </w:p>
        </w:tc>
        <w:tc>
          <w:tcPr>
            <w:tcW w:w="735" w:type="pct"/>
            <w:noWrap/>
            <w:vAlign w:val="center"/>
            <w:hideMark/>
          </w:tcPr>
          <w:p w14:paraId="15B69EA5"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68,919</w:t>
            </w:r>
          </w:p>
        </w:tc>
        <w:tc>
          <w:tcPr>
            <w:tcW w:w="1457" w:type="pct"/>
            <w:noWrap/>
            <w:vAlign w:val="center"/>
            <w:hideMark/>
          </w:tcPr>
          <w:p w14:paraId="19F0E52E"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144,255</w:t>
            </w:r>
          </w:p>
        </w:tc>
        <w:tc>
          <w:tcPr>
            <w:tcW w:w="1457" w:type="pct"/>
            <w:noWrap/>
            <w:vAlign w:val="center"/>
            <w:hideMark/>
          </w:tcPr>
          <w:p w14:paraId="4994C2E4"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0.2211</w:t>
            </w:r>
          </w:p>
        </w:tc>
      </w:tr>
      <w:tr w:rsidR="00E24790" w:rsidRPr="00AE1D54" w14:paraId="253EFCAA"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noWrap/>
            <w:vAlign w:val="center"/>
            <w:hideMark/>
          </w:tcPr>
          <w:p w14:paraId="4FE434BF" w14:textId="77777777" w:rsidR="00E24790" w:rsidRPr="00AE1D54" w:rsidRDefault="00E24790" w:rsidP="00AC6BD6">
            <w:pPr>
              <w:jc w:val="center"/>
              <w:rPr>
                <w:rFonts w:asciiTheme="majorHAnsi" w:hAnsiTheme="majorHAnsi" w:cstheme="majorHAnsi"/>
                <w:color w:val="000000"/>
                <w:sz w:val="20"/>
                <w:szCs w:val="20"/>
              </w:rPr>
            </w:pPr>
            <w:r w:rsidRPr="00AE1D54">
              <w:rPr>
                <w:rFonts w:asciiTheme="majorHAnsi" w:hAnsiTheme="majorHAnsi" w:cstheme="majorHAnsi"/>
                <w:color w:val="000000"/>
                <w:sz w:val="20"/>
                <w:szCs w:val="20"/>
              </w:rPr>
              <w:t>&gt; 0.1</w:t>
            </w:r>
          </w:p>
        </w:tc>
        <w:tc>
          <w:tcPr>
            <w:tcW w:w="735" w:type="pct"/>
            <w:noWrap/>
            <w:vAlign w:val="center"/>
            <w:hideMark/>
          </w:tcPr>
          <w:p w14:paraId="00C85896"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508,086</w:t>
            </w:r>
          </w:p>
        </w:tc>
        <w:tc>
          <w:tcPr>
            <w:tcW w:w="1457" w:type="pct"/>
            <w:noWrap/>
            <w:vAlign w:val="center"/>
            <w:hideMark/>
          </w:tcPr>
          <w:p w14:paraId="20FB13C3"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652,341</w:t>
            </w:r>
          </w:p>
        </w:tc>
        <w:tc>
          <w:tcPr>
            <w:tcW w:w="1457" w:type="pct"/>
            <w:noWrap/>
            <w:vAlign w:val="center"/>
            <w:hideMark/>
          </w:tcPr>
          <w:p w14:paraId="5B31EC31"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0"/>
                <w:szCs w:val="20"/>
              </w:rPr>
            </w:pPr>
            <w:r w:rsidRPr="00AE1D54">
              <w:rPr>
                <w:rFonts w:asciiTheme="majorHAnsi" w:hAnsiTheme="majorHAnsi" w:cstheme="majorHAnsi"/>
                <w:color w:val="000000"/>
                <w:sz w:val="20"/>
                <w:szCs w:val="20"/>
              </w:rPr>
              <w:t>1</w:t>
            </w:r>
          </w:p>
        </w:tc>
      </w:tr>
      <w:tr w:rsidR="00E24790" w:rsidRPr="00AE1D54" w14:paraId="57A7CAC7" w14:textId="77777777" w:rsidTr="00A3241C">
        <w:trPr>
          <w:trHeight w:val="285"/>
        </w:trPr>
        <w:tc>
          <w:tcPr>
            <w:cnfStyle w:val="001000000000" w:firstRow="0" w:lastRow="0" w:firstColumn="1" w:lastColumn="0" w:oddVBand="0" w:evenVBand="0" w:oddHBand="0" w:evenHBand="0" w:firstRowFirstColumn="0" w:firstRowLastColumn="0" w:lastRowFirstColumn="0" w:lastRowLastColumn="0"/>
            <w:tcW w:w="1351" w:type="pct"/>
            <w:tcBorders>
              <w:bottom w:val="single" w:sz="4" w:space="0" w:color="auto"/>
            </w:tcBorders>
            <w:noWrap/>
            <w:vAlign w:val="center"/>
            <w:hideMark/>
          </w:tcPr>
          <w:p w14:paraId="7C6FD448"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hAnsiTheme="majorHAnsi" w:cstheme="majorHAnsi"/>
                <w:color w:val="000000"/>
                <w:sz w:val="20"/>
                <w:szCs w:val="20"/>
              </w:rPr>
              <w:t>Total SNPs</w:t>
            </w:r>
          </w:p>
        </w:tc>
        <w:tc>
          <w:tcPr>
            <w:tcW w:w="735" w:type="pct"/>
            <w:tcBorders>
              <w:bottom w:val="single" w:sz="4" w:space="0" w:color="auto"/>
            </w:tcBorders>
            <w:noWrap/>
            <w:vAlign w:val="center"/>
            <w:hideMark/>
          </w:tcPr>
          <w:p w14:paraId="692FB5C8"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hAnsiTheme="majorHAnsi" w:cstheme="majorHAnsi"/>
                <w:color w:val="000000"/>
                <w:sz w:val="20"/>
                <w:szCs w:val="20"/>
              </w:rPr>
              <w:t>652,341</w:t>
            </w:r>
          </w:p>
        </w:tc>
        <w:tc>
          <w:tcPr>
            <w:tcW w:w="1457" w:type="pct"/>
            <w:tcBorders>
              <w:bottom w:val="single" w:sz="4" w:space="0" w:color="auto"/>
            </w:tcBorders>
            <w:noWrap/>
            <w:vAlign w:val="center"/>
            <w:hideMark/>
          </w:tcPr>
          <w:p w14:paraId="665D9B96"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p>
        </w:tc>
        <w:tc>
          <w:tcPr>
            <w:tcW w:w="1457" w:type="pct"/>
            <w:tcBorders>
              <w:bottom w:val="single" w:sz="4" w:space="0" w:color="auto"/>
            </w:tcBorders>
            <w:noWrap/>
            <w:vAlign w:val="center"/>
            <w:hideMark/>
          </w:tcPr>
          <w:p w14:paraId="3026B2D8"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p>
        </w:tc>
      </w:tr>
    </w:tbl>
    <w:p w14:paraId="5B1B2AFA" w14:textId="77777777" w:rsidR="00E24790" w:rsidRPr="00AE1D54" w:rsidRDefault="00E24790" w:rsidP="00A3241C">
      <w:pPr>
        <w:rPr>
          <w:rFonts w:asciiTheme="majorHAnsi" w:hAnsiTheme="majorHAnsi" w:cstheme="majorHAnsi"/>
        </w:rPr>
      </w:pPr>
    </w:p>
    <w:p w14:paraId="3C4CAE3C" w14:textId="77777777" w:rsidR="00E24790" w:rsidRPr="00AE1D54" w:rsidRDefault="00E24790">
      <w:pPr>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br w:type="page"/>
      </w:r>
    </w:p>
    <w:p w14:paraId="64C4FF79" w14:textId="77777777" w:rsidR="00E24790" w:rsidRPr="00AE1D54" w:rsidRDefault="00E24790" w:rsidP="00E24790">
      <w:pPr>
        <w:pStyle w:val="Quote"/>
      </w:pPr>
      <w:bookmarkStart w:id="59" w:name="_Toc119834451"/>
      <w:r w:rsidRPr="00AE1D54">
        <w:lastRenderedPageBreak/>
        <w:t>Table 5: Relationship between MAF and variants' impact among genotyped data</w:t>
      </w:r>
      <w:bookmarkEnd w:id="59"/>
    </w:p>
    <w:tbl>
      <w:tblPr>
        <w:tblStyle w:val="GridTable1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8"/>
        <w:gridCol w:w="2065"/>
        <w:gridCol w:w="1541"/>
        <w:gridCol w:w="1777"/>
        <w:gridCol w:w="1763"/>
        <w:gridCol w:w="826"/>
      </w:tblGrid>
      <w:tr w:rsidR="00E24790" w:rsidRPr="00AE1D54" w14:paraId="6F3CEE4F" w14:textId="77777777" w:rsidTr="00AC6BD6">
        <w:trPr>
          <w:cnfStyle w:val="100000000000" w:firstRow="1" w:lastRow="0" w:firstColumn="0" w:lastColumn="0" w:oddVBand="0" w:evenVBand="0" w:oddHBand="0" w:evenHBand="0" w:firstRowFirstColumn="0" w:firstRowLastColumn="0" w:lastRowFirstColumn="0" w:lastRowLastColumn="0"/>
          <w:trHeight w:val="1500"/>
        </w:trPr>
        <w:tc>
          <w:tcPr>
            <w:cnfStyle w:val="001000000000" w:firstRow="0" w:lastRow="0" w:firstColumn="1" w:lastColumn="0" w:oddVBand="0" w:evenVBand="0" w:oddHBand="0" w:evenHBand="0" w:firstRowFirstColumn="0" w:firstRowLastColumn="0" w:lastRowFirstColumn="0" w:lastRowLastColumn="0"/>
            <w:tcW w:w="742" w:type="pct"/>
            <w:tcBorders>
              <w:top w:val="single" w:sz="4" w:space="0" w:color="auto"/>
              <w:bottom w:val="single" w:sz="4" w:space="0" w:color="auto"/>
            </w:tcBorders>
            <w:noWrap/>
            <w:vAlign w:val="center"/>
            <w:hideMark/>
          </w:tcPr>
          <w:p w14:paraId="7489B054"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MAF</w:t>
            </w:r>
          </w:p>
        </w:tc>
        <w:tc>
          <w:tcPr>
            <w:tcW w:w="1103" w:type="pct"/>
            <w:tcBorders>
              <w:top w:val="single" w:sz="4" w:space="0" w:color="auto"/>
              <w:bottom w:val="single" w:sz="4" w:space="0" w:color="auto"/>
            </w:tcBorders>
            <w:vAlign w:val="center"/>
            <w:hideMark/>
          </w:tcPr>
          <w:p w14:paraId="613E6B84"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 xml:space="preserve">LOW </w:t>
            </w:r>
            <w:r w:rsidRPr="00AE1D54">
              <w:rPr>
                <w:rFonts w:asciiTheme="majorHAnsi" w:eastAsia="Times New Roman" w:hAnsiTheme="majorHAnsi" w:cstheme="majorHAnsi"/>
                <w:color w:val="000000"/>
                <w:sz w:val="20"/>
                <w:szCs w:val="20"/>
              </w:rPr>
              <w:br/>
              <w:t>(Synonymous, stop retained, 3′/5′ UTR)</w:t>
            </w:r>
          </w:p>
        </w:tc>
        <w:tc>
          <w:tcPr>
            <w:tcW w:w="823" w:type="pct"/>
            <w:tcBorders>
              <w:top w:val="single" w:sz="4" w:space="0" w:color="auto"/>
              <w:bottom w:val="single" w:sz="4" w:space="0" w:color="auto"/>
            </w:tcBorders>
            <w:vAlign w:val="center"/>
            <w:hideMark/>
          </w:tcPr>
          <w:p w14:paraId="32AFA176"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 xml:space="preserve">MODERATE </w:t>
            </w:r>
            <w:r w:rsidRPr="00AE1D54">
              <w:rPr>
                <w:rFonts w:asciiTheme="majorHAnsi" w:eastAsia="Times New Roman" w:hAnsiTheme="majorHAnsi" w:cstheme="majorHAnsi"/>
                <w:color w:val="000000"/>
                <w:sz w:val="20"/>
                <w:szCs w:val="20"/>
              </w:rPr>
              <w:br/>
              <w:t>(missense, splice region)</w:t>
            </w:r>
          </w:p>
        </w:tc>
        <w:tc>
          <w:tcPr>
            <w:tcW w:w="949" w:type="pct"/>
            <w:tcBorders>
              <w:top w:val="single" w:sz="4" w:space="0" w:color="auto"/>
              <w:bottom w:val="single" w:sz="4" w:space="0" w:color="auto"/>
            </w:tcBorders>
            <w:vAlign w:val="center"/>
            <w:hideMark/>
          </w:tcPr>
          <w:p w14:paraId="16D20509"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proofErr w:type="spellStart"/>
            <w:r w:rsidRPr="00AE1D54">
              <w:rPr>
                <w:rFonts w:asciiTheme="majorHAnsi" w:eastAsia="Times New Roman" w:hAnsiTheme="majorHAnsi" w:cstheme="majorHAnsi"/>
                <w:color w:val="000000"/>
                <w:sz w:val="20"/>
                <w:szCs w:val="20"/>
              </w:rPr>
              <w:t>LoF</w:t>
            </w:r>
            <w:proofErr w:type="spellEnd"/>
            <w:r w:rsidRPr="00AE1D54">
              <w:rPr>
                <w:rFonts w:asciiTheme="majorHAnsi" w:eastAsia="Times New Roman" w:hAnsiTheme="majorHAnsi" w:cstheme="majorHAnsi"/>
                <w:color w:val="000000"/>
                <w:sz w:val="20"/>
                <w:szCs w:val="20"/>
              </w:rPr>
              <w:t xml:space="preserve"> </w:t>
            </w:r>
            <w:r w:rsidRPr="00AE1D54">
              <w:rPr>
                <w:rFonts w:asciiTheme="majorHAnsi" w:eastAsia="Times New Roman" w:hAnsiTheme="majorHAnsi" w:cstheme="majorHAnsi"/>
                <w:color w:val="000000"/>
                <w:sz w:val="20"/>
                <w:szCs w:val="20"/>
              </w:rPr>
              <w:br/>
              <w:t xml:space="preserve"> (Frameshift, start/stop gained, </w:t>
            </w:r>
            <w:r w:rsidRPr="00AE1D54">
              <w:rPr>
                <w:rFonts w:asciiTheme="majorHAnsi" w:eastAsia="Times New Roman" w:hAnsiTheme="majorHAnsi" w:cstheme="majorHAnsi"/>
                <w:color w:val="000000"/>
                <w:sz w:val="20"/>
                <w:szCs w:val="20"/>
              </w:rPr>
              <w:br/>
              <w:t>splice acceptor/ donor, initiator codon)</w:t>
            </w:r>
          </w:p>
        </w:tc>
        <w:tc>
          <w:tcPr>
            <w:tcW w:w="942" w:type="pct"/>
            <w:tcBorders>
              <w:top w:val="single" w:sz="4" w:space="0" w:color="auto"/>
              <w:bottom w:val="single" w:sz="4" w:space="0" w:color="auto"/>
            </w:tcBorders>
            <w:vAlign w:val="center"/>
            <w:hideMark/>
          </w:tcPr>
          <w:p w14:paraId="1217E398"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 xml:space="preserve">Other </w:t>
            </w:r>
            <w:r w:rsidRPr="00AE1D54">
              <w:rPr>
                <w:rFonts w:asciiTheme="majorHAnsi" w:eastAsia="Times New Roman" w:hAnsiTheme="majorHAnsi" w:cstheme="majorHAnsi"/>
                <w:color w:val="000000"/>
                <w:sz w:val="20"/>
                <w:szCs w:val="20"/>
              </w:rPr>
              <w:br/>
              <w:t>(Intronic, intergenic)</w:t>
            </w:r>
          </w:p>
        </w:tc>
        <w:tc>
          <w:tcPr>
            <w:tcW w:w="441" w:type="pct"/>
            <w:tcBorders>
              <w:top w:val="single" w:sz="4" w:space="0" w:color="auto"/>
              <w:bottom w:val="single" w:sz="4" w:space="0" w:color="auto"/>
            </w:tcBorders>
            <w:noWrap/>
            <w:vAlign w:val="center"/>
            <w:hideMark/>
          </w:tcPr>
          <w:p w14:paraId="3982EFF9" w14:textId="77777777" w:rsidR="00E24790" w:rsidRPr="00AE1D54" w:rsidRDefault="00E24790" w:rsidP="00AC6BD6">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Total</w:t>
            </w:r>
          </w:p>
        </w:tc>
      </w:tr>
      <w:tr w:rsidR="00E24790" w:rsidRPr="00AE1D54" w14:paraId="0AA8D5D6" w14:textId="77777777" w:rsidTr="00AC6BD6">
        <w:trPr>
          <w:trHeight w:val="285"/>
        </w:trPr>
        <w:tc>
          <w:tcPr>
            <w:cnfStyle w:val="001000000000" w:firstRow="0" w:lastRow="0" w:firstColumn="1" w:lastColumn="0" w:oddVBand="0" w:evenVBand="0" w:oddHBand="0" w:evenHBand="0" w:firstRowFirstColumn="0" w:firstRowLastColumn="0" w:lastRowFirstColumn="0" w:lastRowLastColumn="0"/>
            <w:tcW w:w="742" w:type="pct"/>
            <w:tcBorders>
              <w:top w:val="single" w:sz="4" w:space="0" w:color="auto"/>
            </w:tcBorders>
            <w:noWrap/>
            <w:vAlign w:val="center"/>
            <w:hideMark/>
          </w:tcPr>
          <w:p w14:paraId="0F8F3826"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&lt;0.0001</w:t>
            </w:r>
          </w:p>
        </w:tc>
        <w:tc>
          <w:tcPr>
            <w:tcW w:w="1103" w:type="pct"/>
            <w:tcBorders>
              <w:top w:val="single" w:sz="4" w:space="0" w:color="auto"/>
            </w:tcBorders>
            <w:noWrap/>
            <w:vAlign w:val="center"/>
            <w:hideMark/>
          </w:tcPr>
          <w:p w14:paraId="0469CF91"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199 (2.265 %)</w:t>
            </w:r>
          </w:p>
        </w:tc>
        <w:tc>
          <w:tcPr>
            <w:tcW w:w="823" w:type="pct"/>
            <w:tcBorders>
              <w:top w:val="single" w:sz="4" w:space="0" w:color="auto"/>
            </w:tcBorders>
            <w:noWrap/>
            <w:vAlign w:val="center"/>
            <w:hideMark/>
          </w:tcPr>
          <w:p w14:paraId="6A4CA545"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304 (3.460 %)</w:t>
            </w:r>
          </w:p>
        </w:tc>
        <w:tc>
          <w:tcPr>
            <w:tcW w:w="949" w:type="pct"/>
            <w:tcBorders>
              <w:top w:val="single" w:sz="4" w:space="0" w:color="auto"/>
            </w:tcBorders>
            <w:noWrap/>
            <w:vAlign w:val="center"/>
            <w:hideMark/>
          </w:tcPr>
          <w:p w14:paraId="196D3FBB"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6(0.0683 %)</w:t>
            </w:r>
          </w:p>
        </w:tc>
        <w:tc>
          <w:tcPr>
            <w:tcW w:w="942" w:type="pct"/>
            <w:tcBorders>
              <w:top w:val="single" w:sz="4" w:space="0" w:color="auto"/>
            </w:tcBorders>
            <w:noWrap/>
            <w:vAlign w:val="center"/>
            <w:hideMark/>
          </w:tcPr>
          <w:p w14:paraId="0F329F7C"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8276(94.206 %)</w:t>
            </w:r>
          </w:p>
        </w:tc>
        <w:tc>
          <w:tcPr>
            <w:tcW w:w="441" w:type="pct"/>
            <w:tcBorders>
              <w:top w:val="single" w:sz="4" w:space="0" w:color="auto"/>
            </w:tcBorders>
            <w:noWrap/>
            <w:vAlign w:val="center"/>
            <w:hideMark/>
          </w:tcPr>
          <w:p w14:paraId="241D1484"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8785</w:t>
            </w:r>
          </w:p>
        </w:tc>
      </w:tr>
      <w:tr w:rsidR="00E24790" w:rsidRPr="00AE1D54" w14:paraId="4D2CAB4F" w14:textId="77777777" w:rsidTr="00AC6BD6">
        <w:trPr>
          <w:trHeight w:val="285"/>
        </w:trPr>
        <w:tc>
          <w:tcPr>
            <w:cnfStyle w:val="001000000000" w:firstRow="0" w:lastRow="0" w:firstColumn="1" w:lastColumn="0" w:oddVBand="0" w:evenVBand="0" w:oddHBand="0" w:evenHBand="0" w:firstRowFirstColumn="0" w:firstRowLastColumn="0" w:lastRowFirstColumn="0" w:lastRowLastColumn="0"/>
            <w:tcW w:w="742" w:type="pct"/>
            <w:noWrap/>
            <w:vAlign w:val="center"/>
            <w:hideMark/>
          </w:tcPr>
          <w:p w14:paraId="0A2029F8"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0.0001 - 0.001</w:t>
            </w:r>
          </w:p>
        </w:tc>
        <w:tc>
          <w:tcPr>
            <w:tcW w:w="1103" w:type="pct"/>
            <w:noWrap/>
            <w:vAlign w:val="center"/>
            <w:hideMark/>
          </w:tcPr>
          <w:p w14:paraId="0EF6BD8D"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518 (2.768 %)</w:t>
            </w:r>
          </w:p>
        </w:tc>
        <w:tc>
          <w:tcPr>
            <w:tcW w:w="823" w:type="pct"/>
            <w:noWrap/>
            <w:vAlign w:val="center"/>
            <w:hideMark/>
          </w:tcPr>
          <w:p w14:paraId="2AD29561"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651 (3.478 %)</w:t>
            </w:r>
          </w:p>
        </w:tc>
        <w:tc>
          <w:tcPr>
            <w:tcW w:w="949" w:type="pct"/>
            <w:noWrap/>
            <w:vAlign w:val="center"/>
            <w:hideMark/>
          </w:tcPr>
          <w:p w14:paraId="6BB964D4"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21(0.112 %)</w:t>
            </w:r>
          </w:p>
        </w:tc>
        <w:tc>
          <w:tcPr>
            <w:tcW w:w="942" w:type="pct"/>
            <w:noWrap/>
            <w:vAlign w:val="center"/>
            <w:hideMark/>
          </w:tcPr>
          <w:p w14:paraId="425E1ADE"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17524(93.641 %)</w:t>
            </w:r>
          </w:p>
        </w:tc>
        <w:tc>
          <w:tcPr>
            <w:tcW w:w="441" w:type="pct"/>
            <w:noWrap/>
            <w:vAlign w:val="center"/>
            <w:hideMark/>
          </w:tcPr>
          <w:p w14:paraId="2F39883F"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18714</w:t>
            </w:r>
          </w:p>
        </w:tc>
      </w:tr>
      <w:tr w:rsidR="00E24790" w:rsidRPr="00AE1D54" w14:paraId="19B25D47" w14:textId="77777777" w:rsidTr="00AC6BD6">
        <w:trPr>
          <w:trHeight w:val="285"/>
        </w:trPr>
        <w:tc>
          <w:tcPr>
            <w:cnfStyle w:val="001000000000" w:firstRow="0" w:lastRow="0" w:firstColumn="1" w:lastColumn="0" w:oddVBand="0" w:evenVBand="0" w:oddHBand="0" w:evenHBand="0" w:firstRowFirstColumn="0" w:firstRowLastColumn="0" w:lastRowFirstColumn="0" w:lastRowLastColumn="0"/>
            <w:tcW w:w="742" w:type="pct"/>
            <w:noWrap/>
            <w:vAlign w:val="center"/>
            <w:hideMark/>
          </w:tcPr>
          <w:p w14:paraId="45B4C80C"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0.001 - 0.01</w:t>
            </w:r>
          </w:p>
        </w:tc>
        <w:tc>
          <w:tcPr>
            <w:tcW w:w="1103" w:type="pct"/>
            <w:noWrap/>
            <w:vAlign w:val="center"/>
            <w:hideMark/>
          </w:tcPr>
          <w:p w14:paraId="436B3FBD"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1062 (2.249 %)</w:t>
            </w:r>
          </w:p>
        </w:tc>
        <w:tc>
          <w:tcPr>
            <w:tcW w:w="823" w:type="pct"/>
            <w:noWrap/>
            <w:vAlign w:val="center"/>
            <w:hideMark/>
          </w:tcPr>
          <w:p w14:paraId="0479052A"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1279 (2.7081 %)</w:t>
            </w:r>
          </w:p>
        </w:tc>
        <w:tc>
          <w:tcPr>
            <w:tcW w:w="949" w:type="pct"/>
            <w:noWrap/>
            <w:vAlign w:val="center"/>
            <w:hideMark/>
          </w:tcPr>
          <w:p w14:paraId="31C7C505"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28(0.059 %)</w:t>
            </w:r>
          </w:p>
        </w:tc>
        <w:tc>
          <w:tcPr>
            <w:tcW w:w="942" w:type="pct"/>
            <w:noWrap/>
            <w:vAlign w:val="center"/>
            <w:hideMark/>
          </w:tcPr>
          <w:p w14:paraId="57DE2376"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44860(94.984 %)</w:t>
            </w:r>
          </w:p>
        </w:tc>
        <w:tc>
          <w:tcPr>
            <w:tcW w:w="441" w:type="pct"/>
            <w:noWrap/>
            <w:vAlign w:val="center"/>
            <w:hideMark/>
          </w:tcPr>
          <w:p w14:paraId="00034D1F"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47229</w:t>
            </w:r>
          </w:p>
        </w:tc>
      </w:tr>
      <w:tr w:rsidR="00E24790" w:rsidRPr="00AE1D54" w14:paraId="721B079E" w14:textId="77777777" w:rsidTr="00AC6BD6">
        <w:trPr>
          <w:trHeight w:val="285"/>
        </w:trPr>
        <w:tc>
          <w:tcPr>
            <w:cnfStyle w:val="001000000000" w:firstRow="0" w:lastRow="0" w:firstColumn="1" w:lastColumn="0" w:oddVBand="0" w:evenVBand="0" w:oddHBand="0" w:evenHBand="0" w:firstRowFirstColumn="0" w:firstRowLastColumn="0" w:lastRowFirstColumn="0" w:lastRowLastColumn="0"/>
            <w:tcW w:w="742" w:type="pct"/>
            <w:noWrap/>
            <w:vAlign w:val="center"/>
            <w:hideMark/>
          </w:tcPr>
          <w:p w14:paraId="6AB13D6A"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0.01 - 0.05</w:t>
            </w:r>
          </w:p>
        </w:tc>
        <w:tc>
          <w:tcPr>
            <w:tcW w:w="1103" w:type="pct"/>
            <w:noWrap/>
            <w:vAlign w:val="center"/>
            <w:hideMark/>
          </w:tcPr>
          <w:p w14:paraId="2C8E0442"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1060 (1.538 %)</w:t>
            </w:r>
          </w:p>
        </w:tc>
        <w:tc>
          <w:tcPr>
            <w:tcW w:w="823" w:type="pct"/>
            <w:noWrap/>
            <w:vAlign w:val="center"/>
            <w:hideMark/>
          </w:tcPr>
          <w:p w14:paraId="5F46139E"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1201 (1.743 %)</w:t>
            </w:r>
          </w:p>
        </w:tc>
        <w:tc>
          <w:tcPr>
            <w:tcW w:w="949" w:type="pct"/>
            <w:noWrap/>
            <w:vAlign w:val="center"/>
            <w:hideMark/>
          </w:tcPr>
          <w:p w14:paraId="1E6B84B8"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39(0.056 %)</w:t>
            </w:r>
          </w:p>
        </w:tc>
        <w:tc>
          <w:tcPr>
            <w:tcW w:w="942" w:type="pct"/>
            <w:noWrap/>
            <w:vAlign w:val="center"/>
            <w:hideMark/>
          </w:tcPr>
          <w:p w14:paraId="1DCF4509"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66612(96.662 %)</w:t>
            </w:r>
          </w:p>
        </w:tc>
        <w:tc>
          <w:tcPr>
            <w:tcW w:w="441" w:type="pct"/>
            <w:noWrap/>
            <w:vAlign w:val="center"/>
            <w:hideMark/>
          </w:tcPr>
          <w:p w14:paraId="33983AF8"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68912</w:t>
            </w:r>
          </w:p>
        </w:tc>
      </w:tr>
      <w:tr w:rsidR="00E24790" w:rsidRPr="00AE1D54" w14:paraId="1821F9AF" w14:textId="77777777" w:rsidTr="00AC6BD6">
        <w:trPr>
          <w:trHeight w:val="285"/>
        </w:trPr>
        <w:tc>
          <w:tcPr>
            <w:cnfStyle w:val="001000000000" w:firstRow="0" w:lastRow="0" w:firstColumn="1" w:lastColumn="0" w:oddVBand="0" w:evenVBand="0" w:oddHBand="0" w:evenHBand="0" w:firstRowFirstColumn="0" w:firstRowLastColumn="0" w:lastRowFirstColumn="0" w:lastRowLastColumn="0"/>
            <w:tcW w:w="742" w:type="pct"/>
            <w:noWrap/>
            <w:vAlign w:val="center"/>
            <w:hideMark/>
          </w:tcPr>
          <w:p w14:paraId="12003C33"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0.05 - 0.1</w:t>
            </w:r>
          </w:p>
        </w:tc>
        <w:tc>
          <w:tcPr>
            <w:tcW w:w="1103" w:type="pct"/>
            <w:noWrap/>
            <w:vAlign w:val="center"/>
            <w:hideMark/>
          </w:tcPr>
          <w:p w14:paraId="2E12377C"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12 (1.993 %)</w:t>
            </w:r>
          </w:p>
        </w:tc>
        <w:tc>
          <w:tcPr>
            <w:tcW w:w="823" w:type="pct"/>
            <w:noWrap/>
            <w:vAlign w:val="center"/>
            <w:hideMark/>
          </w:tcPr>
          <w:p w14:paraId="0BE76A6A"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34 (5.648 %)</w:t>
            </w:r>
          </w:p>
        </w:tc>
        <w:tc>
          <w:tcPr>
            <w:tcW w:w="949" w:type="pct"/>
            <w:noWrap/>
            <w:vAlign w:val="center"/>
            <w:hideMark/>
          </w:tcPr>
          <w:p w14:paraId="47EA1A3B"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2(0.332 %)</w:t>
            </w:r>
          </w:p>
        </w:tc>
        <w:tc>
          <w:tcPr>
            <w:tcW w:w="942" w:type="pct"/>
            <w:noWrap/>
            <w:vAlign w:val="center"/>
            <w:hideMark/>
          </w:tcPr>
          <w:p w14:paraId="7AFD2C56"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554(92.026 %)</w:t>
            </w:r>
          </w:p>
        </w:tc>
        <w:tc>
          <w:tcPr>
            <w:tcW w:w="441" w:type="pct"/>
            <w:noWrap/>
            <w:vAlign w:val="center"/>
            <w:hideMark/>
          </w:tcPr>
          <w:p w14:paraId="5D9AD674"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602</w:t>
            </w:r>
          </w:p>
        </w:tc>
      </w:tr>
      <w:tr w:rsidR="00E24790" w:rsidRPr="00AE1D54" w14:paraId="551F704D" w14:textId="77777777" w:rsidTr="00AC6BD6">
        <w:trPr>
          <w:trHeight w:val="285"/>
        </w:trPr>
        <w:tc>
          <w:tcPr>
            <w:cnfStyle w:val="001000000000" w:firstRow="0" w:lastRow="0" w:firstColumn="1" w:lastColumn="0" w:oddVBand="0" w:evenVBand="0" w:oddHBand="0" w:evenHBand="0" w:firstRowFirstColumn="0" w:firstRowLastColumn="0" w:lastRowFirstColumn="0" w:lastRowLastColumn="0"/>
            <w:tcW w:w="742" w:type="pct"/>
            <w:noWrap/>
            <w:vAlign w:val="center"/>
            <w:hideMark/>
          </w:tcPr>
          <w:p w14:paraId="6A74645F"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&gt; 0.1</w:t>
            </w:r>
          </w:p>
        </w:tc>
        <w:tc>
          <w:tcPr>
            <w:tcW w:w="1103" w:type="pct"/>
            <w:noWrap/>
            <w:vAlign w:val="center"/>
            <w:hideMark/>
          </w:tcPr>
          <w:p w14:paraId="0E3B7A64"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6267 (1.233 %)</w:t>
            </w:r>
          </w:p>
        </w:tc>
        <w:tc>
          <w:tcPr>
            <w:tcW w:w="823" w:type="pct"/>
            <w:noWrap/>
            <w:vAlign w:val="center"/>
            <w:hideMark/>
          </w:tcPr>
          <w:p w14:paraId="1AD2F4B2"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5901 (1.161 %)</w:t>
            </w:r>
          </w:p>
        </w:tc>
        <w:tc>
          <w:tcPr>
            <w:tcW w:w="949" w:type="pct"/>
            <w:noWrap/>
            <w:vAlign w:val="center"/>
            <w:hideMark/>
          </w:tcPr>
          <w:p w14:paraId="2A020424"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222(0.043 %)</w:t>
            </w:r>
          </w:p>
        </w:tc>
        <w:tc>
          <w:tcPr>
            <w:tcW w:w="942" w:type="pct"/>
            <w:noWrap/>
            <w:vAlign w:val="center"/>
            <w:hideMark/>
          </w:tcPr>
          <w:p w14:paraId="2A65AAC0"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495686(97.561 %)</w:t>
            </w:r>
          </w:p>
        </w:tc>
        <w:tc>
          <w:tcPr>
            <w:tcW w:w="441" w:type="pct"/>
            <w:noWrap/>
            <w:vAlign w:val="center"/>
            <w:hideMark/>
          </w:tcPr>
          <w:p w14:paraId="19546124"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508076</w:t>
            </w:r>
          </w:p>
        </w:tc>
      </w:tr>
      <w:tr w:rsidR="00E24790" w:rsidRPr="00AE1D54" w14:paraId="32C5299A" w14:textId="77777777" w:rsidTr="00AC6BD6">
        <w:trPr>
          <w:trHeight w:val="300"/>
        </w:trPr>
        <w:tc>
          <w:tcPr>
            <w:cnfStyle w:val="001000000000" w:firstRow="0" w:lastRow="0" w:firstColumn="1" w:lastColumn="0" w:oddVBand="0" w:evenVBand="0" w:oddHBand="0" w:evenHBand="0" w:firstRowFirstColumn="0" w:firstRowLastColumn="0" w:lastRowFirstColumn="0" w:lastRowLastColumn="0"/>
            <w:tcW w:w="742" w:type="pct"/>
            <w:tcBorders>
              <w:bottom w:val="single" w:sz="4" w:space="0" w:color="auto"/>
            </w:tcBorders>
            <w:noWrap/>
            <w:vAlign w:val="center"/>
            <w:hideMark/>
          </w:tcPr>
          <w:p w14:paraId="32242C17" w14:textId="77777777" w:rsidR="00E24790" w:rsidRPr="00AE1D54" w:rsidRDefault="00E24790" w:rsidP="00AC6BD6">
            <w:pPr>
              <w:jc w:val="center"/>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Total</w:t>
            </w:r>
          </w:p>
        </w:tc>
        <w:tc>
          <w:tcPr>
            <w:tcW w:w="1103" w:type="pct"/>
            <w:tcBorders>
              <w:bottom w:val="single" w:sz="4" w:space="0" w:color="auto"/>
            </w:tcBorders>
            <w:noWrap/>
            <w:vAlign w:val="center"/>
            <w:hideMark/>
          </w:tcPr>
          <w:p w14:paraId="30BC3A56"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9118</w:t>
            </w:r>
          </w:p>
        </w:tc>
        <w:tc>
          <w:tcPr>
            <w:tcW w:w="823" w:type="pct"/>
            <w:tcBorders>
              <w:bottom w:val="single" w:sz="4" w:space="0" w:color="auto"/>
            </w:tcBorders>
            <w:noWrap/>
            <w:vAlign w:val="center"/>
            <w:hideMark/>
          </w:tcPr>
          <w:p w14:paraId="4016AFC3"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9370</w:t>
            </w:r>
          </w:p>
        </w:tc>
        <w:tc>
          <w:tcPr>
            <w:tcW w:w="949" w:type="pct"/>
            <w:tcBorders>
              <w:bottom w:val="single" w:sz="4" w:space="0" w:color="auto"/>
            </w:tcBorders>
            <w:noWrap/>
            <w:vAlign w:val="center"/>
            <w:hideMark/>
          </w:tcPr>
          <w:p w14:paraId="4161A05C"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318</w:t>
            </w:r>
          </w:p>
        </w:tc>
        <w:tc>
          <w:tcPr>
            <w:tcW w:w="942" w:type="pct"/>
            <w:tcBorders>
              <w:bottom w:val="single" w:sz="4" w:space="0" w:color="auto"/>
            </w:tcBorders>
            <w:noWrap/>
            <w:vAlign w:val="center"/>
            <w:hideMark/>
          </w:tcPr>
          <w:p w14:paraId="5951BF10"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633512</w:t>
            </w:r>
          </w:p>
        </w:tc>
        <w:tc>
          <w:tcPr>
            <w:tcW w:w="441" w:type="pct"/>
            <w:tcBorders>
              <w:bottom w:val="single" w:sz="4" w:space="0" w:color="auto"/>
            </w:tcBorders>
            <w:noWrap/>
            <w:vAlign w:val="center"/>
            <w:hideMark/>
          </w:tcPr>
          <w:p w14:paraId="301BBA41" w14:textId="77777777" w:rsidR="00E24790" w:rsidRPr="00AE1D54" w:rsidRDefault="00E24790" w:rsidP="00AC6BD6">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sz w:val="20"/>
                <w:szCs w:val="20"/>
              </w:rPr>
            </w:pPr>
            <w:r w:rsidRPr="00AE1D54">
              <w:rPr>
                <w:rFonts w:asciiTheme="majorHAnsi" w:eastAsia="Times New Roman" w:hAnsiTheme="majorHAnsi" w:cstheme="majorHAnsi"/>
                <w:color w:val="000000"/>
                <w:sz w:val="20"/>
                <w:szCs w:val="20"/>
              </w:rPr>
              <w:t>652318</w:t>
            </w:r>
          </w:p>
        </w:tc>
      </w:tr>
    </w:tbl>
    <w:p w14:paraId="50D9D88E" w14:textId="77777777" w:rsidR="00E24790" w:rsidRPr="00AE1D54" w:rsidRDefault="00E24790" w:rsidP="00136CD4">
      <w:pPr>
        <w:rPr>
          <w:rFonts w:asciiTheme="majorHAnsi" w:hAnsiTheme="majorHAnsi" w:cstheme="majorHAnsi"/>
        </w:rPr>
      </w:pPr>
    </w:p>
    <w:p w14:paraId="505590BC" w14:textId="77777777" w:rsidR="00E24790" w:rsidRPr="00AE1D54" w:rsidRDefault="00E24790" w:rsidP="00136CD4">
      <w:pPr>
        <w:widowControl w:val="0"/>
        <w:pBdr>
          <w:top w:val="nil"/>
          <w:left w:val="nil"/>
          <w:bottom w:val="nil"/>
          <w:right w:val="nil"/>
          <w:between w:val="nil"/>
        </w:pBdr>
        <w:spacing w:after="0" w:line="276" w:lineRule="auto"/>
        <w:rPr>
          <w:rFonts w:asciiTheme="majorHAnsi" w:hAnsiTheme="majorHAnsi" w:cstheme="majorHAnsi"/>
          <w:color w:val="000000" w:themeColor="text1"/>
          <w:sz w:val="24"/>
          <w:szCs w:val="24"/>
        </w:rPr>
      </w:pPr>
    </w:p>
    <w:p w14:paraId="777541A8" w14:textId="7998E09D" w:rsidR="0044541D" w:rsidRDefault="0044541D" w:rsidP="0044541D">
      <w:pPr>
        <w:pStyle w:val="Quote"/>
        <w:rPr>
          <w:noProof/>
        </w:rPr>
      </w:pPr>
      <w:r>
        <w:rPr>
          <w:rFonts w:asciiTheme="majorHAnsi" w:hAnsiTheme="majorHAnsi" w:cstheme="majorHAnsi"/>
        </w:rPr>
        <w:br w:type="page"/>
      </w:r>
      <w:bookmarkStart w:id="60" w:name="_Toc119834452"/>
      <w:r w:rsidRPr="001A5539">
        <w:lastRenderedPageBreak/>
        <w:t xml:space="preserve">Table </w:t>
      </w:r>
      <w:r>
        <w:t>6:</w:t>
      </w:r>
      <w:r w:rsidRPr="001A5539">
        <w:rPr>
          <w:noProof/>
        </w:rPr>
        <w:t xml:space="preserve"> Top five ICD-11 chapters with the most reported mortality and morbidity conditions in the TCGS cohort</w:t>
      </w:r>
      <w:bookmarkEnd w:id="60"/>
    </w:p>
    <w:p w14:paraId="3DC2417A" w14:textId="6864AEF5" w:rsidR="00E24790" w:rsidRPr="0044541D" w:rsidRDefault="00E24790" w:rsidP="0044541D">
      <w:pPr>
        <w:rPr>
          <w:rFonts w:asciiTheme="majorHAnsi" w:hAnsiTheme="majorHAnsi" w:cstheme="majorHAnsi"/>
        </w:rPr>
      </w:pPr>
    </w:p>
    <w:tbl>
      <w:tblPr>
        <w:tblStyle w:val="TableGrid"/>
        <w:tblW w:w="5000" w:type="pct"/>
        <w:jc w:val="center"/>
        <w:tblLook w:val="04A0" w:firstRow="1" w:lastRow="0" w:firstColumn="1" w:lastColumn="0" w:noHBand="0" w:noVBand="1"/>
      </w:tblPr>
      <w:tblGrid>
        <w:gridCol w:w="6545"/>
        <w:gridCol w:w="2805"/>
      </w:tblGrid>
      <w:tr w:rsidR="0044541D" w:rsidRPr="0044541D" w14:paraId="04CC4B61" w14:textId="77777777" w:rsidTr="0044541D">
        <w:trPr>
          <w:trHeight w:val="320"/>
          <w:jc w:val="center"/>
        </w:trPr>
        <w:tc>
          <w:tcPr>
            <w:tcW w:w="3500" w:type="pct"/>
          </w:tcPr>
          <w:p w14:paraId="58FD8807"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Diseases of the circulatory system </w:t>
            </w:r>
          </w:p>
        </w:tc>
        <w:tc>
          <w:tcPr>
            <w:tcW w:w="1500" w:type="pct"/>
          </w:tcPr>
          <w:p w14:paraId="11585547"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N=11190, 17.70%</w:t>
            </w:r>
          </w:p>
        </w:tc>
      </w:tr>
      <w:tr w:rsidR="0044541D" w:rsidRPr="0044541D" w14:paraId="600320A7" w14:textId="77777777" w:rsidTr="0044541D">
        <w:trPr>
          <w:trHeight w:val="320"/>
          <w:jc w:val="center"/>
        </w:trPr>
        <w:tc>
          <w:tcPr>
            <w:tcW w:w="3500" w:type="pct"/>
          </w:tcPr>
          <w:p w14:paraId="2C747FC3" w14:textId="77777777" w:rsidR="0044541D" w:rsidRPr="0044541D" w:rsidRDefault="0044541D" w:rsidP="00713A04">
            <w:pPr>
              <w:spacing w:line="259" w:lineRule="auto"/>
              <w:rPr>
                <w:rFonts w:asciiTheme="majorHAnsi" w:hAnsiTheme="majorHAnsi" w:cstheme="majorHAnsi"/>
                <w:color w:val="000000" w:themeColor="text1"/>
              </w:rPr>
            </w:pPr>
            <w:r w:rsidRPr="0044541D">
              <w:rPr>
                <w:rFonts w:asciiTheme="majorHAnsi" w:hAnsiTheme="majorHAnsi" w:cstheme="majorHAnsi"/>
                <w:color w:val="000000" w:themeColor="text1"/>
              </w:rPr>
              <w:t xml:space="preserve">          Hypertensive heart disease (BA01)</w:t>
            </w:r>
          </w:p>
        </w:tc>
        <w:tc>
          <w:tcPr>
            <w:tcW w:w="1500" w:type="pct"/>
          </w:tcPr>
          <w:p w14:paraId="0C56262C"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22.2%</w:t>
            </w:r>
          </w:p>
        </w:tc>
      </w:tr>
      <w:tr w:rsidR="0044541D" w:rsidRPr="0044541D" w14:paraId="6300FE72" w14:textId="77777777" w:rsidTr="0044541D">
        <w:trPr>
          <w:trHeight w:val="320"/>
          <w:jc w:val="center"/>
        </w:trPr>
        <w:tc>
          <w:tcPr>
            <w:tcW w:w="3500" w:type="pct"/>
          </w:tcPr>
          <w:p w14:paraId="7308891F"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Angina pectoris (BA40)</w:t>
            </w:r>
          </w:p>
        </w:tc>
        <w:tc>
          <w:tcPr>
            <w:tcW w:w="1500" w:type="pct"/>
          </w:tcPr>
          <w:p w14:paraId="29815E07"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17.9%</w:t>
            </w:r>
          </w:p>
        </w:tc>
      </w:tr>
      <w:tr w:rsidR="0044541D" w:rsidRPr="0044541D" w14:paraId="7E32C3CC" w14:textId="77777777" w:rsidTr="0044541D">
        <w:trPr>
          <w:trHeight w:val="320"/>
          <w:jc w:val="center"/>
        </w:trPr>
        <w:tc>
          <w:tcPr>
            <w:tcW w:w="3500" w:type="pct"/>
          </w:tcPr>
          <w:p w14:paraId="382E3554"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Diseases of the coronary artery (BA8Z)</w:t>
            </w:r>
          </w:p>
        </w:tc>
        <w:tc>
          <w:tcPr>
            <w:tcW w:w="1500" w:type="pct"/>
          </w:tcPr>
          <w:p w14:paraId="5FC0B027"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13.8%</w:t>
            </w:r>
          </w:p>
        </w:tc>
      </w:tr>
      <w:tr w:rsidR="0044541D" w:rsidRPr="0044541D" w14:paraId="4AD62108" w14:textId="77777777" w:rsidTr="0044541D">
        <w:trPr>
          <w:trHeight w:val="320"/>
          <w:jc w:val="center"/>
        </w:trPr>
        <w:tc>
          <w:tcPr>
            <w:tcW w:w="3500" w:type="pct"/>
          </w:tcPr>
          <w:p w14:paraId="7C8E5E12"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Pregnancy childbirth or the puerperium </w:t>
            </w:r>
          </w:p>
        </w:tc>
        <w:tc>
          <w:tcPr>
            <w:tcW w:w="1500" w:type="pct"/>
          </w:tcPr>
          <w:p w14:paraId="7CBBC734"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N=10194, 16.12%</w:t>
            </w:r>
          </w:p>
        </w:tc>
      </w:tr>
      <w:tr w:rsidR="0044541D" w:rsidRPr="0044541D" w14:paraId="33329191" w14:textId="77777777" w:rsidTr="0044541D">
        <w:trPr>
          <w:trHeight w:val="320"/>
          <w:jc w:val="center"/>
        </w:trPr>
        <w:tc>
          <w:tcPr>
            <w:tcW w:w="3500" w:type="pct"/>
          </w:tcPr>
          <w:p w14:paraId="13BE1596"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Delivery (JB22, JB2Z)</w:t>
            </w:r>
          </w:p>
        </w:tc>
        <w:tc>
          <w:tcPr>
            <w:tcW w:w="1500" w:type="pct"/>
          </w:tcPr>
          <w:p w14:paraId="7E4EE19F"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63.36%</w:t>
            </w:r>
          </w:p>
        </w:tc>
      </w:tr>
      <w:tr w:rsidR="0044541D" w:rsidRPr="0044541D" w14:paraId="6FA8F3EF" w14:textId="77777777" w:rsidTr="0044541D">
        <w:trPr>
          <w:trHeight w:val="320"/>
          <w:jc w:val="center"/>
        </w:trPr>
        <w:tc>
          <w:tcPr>
            <w:tcW w:w="3500" w:type="pct"/>
          </w:tcPr>
          <w:p w14:paraId="36072472"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Diabetes mellitus in pregnancy (JA63)</w:t>
            </w:r>
          </w:p>
        </w:tc>
        <w:tc>
          <w:tcPr>
            <w:tcW w:w="1500" w:type="pct"/>
          </w:tcPr>
          <w:p w14:paraId="4B0DE8CE"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25.95%</w:t>
            </w:r>
          </w:p>
        </w:tc>
      </w:tr>
      <w:tr w:rsidR="0044541D" w:rsidRPr="0044541D" w14:paraId="06EB2483" w14:textId="77777777" w:rsidTr="0044541D">
        <w:trPr>
          <w:trHeight w:val="320"/>
          <w:jc w:val="center"/>
        </w:trPr>
        <w:tc>
          <w:tcPr>
            <w:tcW w:w="3500" w:type="pct"/>
          </w:tcPr>
          <w:p w14:paraId="3FA31481"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Gestational hypertension (JA23)</w:t>
            </w:r>
          </w:p>
        </w:tc>
        <w:tc>
          <w:tcPr>
            <w:tcW w:w="1500" w:type="pct"/>
          </w:tcPr>
          <w:p w14:paraId="6E567C4A"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7.37%</w:t>
            </w:r>
          </w:p>
        </w:tc>
      </w:tr>
      <w:tr w:rsidR="0044541D" w:rsidRPr="0044541D" w14:paraId="3A86E2AA" w14:textId="77777777" w:rsidTr="0044541D">
        <w:trPr>
          <w:trHeight w:val="320"/>
          <w:jc w:val="center"/>
        </w:trPr>
        <w:tc>
          <w:tcPr>
            <w:tcW w:w="3500" w:type="pct"/>
          </w:tcPr>
          <w:p w14:paraId="05E4725C"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Endocrine nutritional or metabolic diseases </w:t>
            </w:r>
          </w:p>
        </w:tc>
        <w:tc>
          <w:tcPr>
            <w:tcW w:w="1500" w:type="pct"/>
          </w:tcPr>
          <w:p w14:paraId="2803F2D0"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N=10194, 15.36%</w:t>
            </w:r>
          </w:p>
        </w:tc>
      </w:tr>
      <w:tr w:rsidR="0044541D" w:rsidRPr="0044541D" w14:paraId="5B101E24" w14:textId="77777777" w:rsidTr="0044541D">
        <w:trPr>
          <w:trHeight w:val="320"/>
          <w:jc w:val="center"/>
        </w:trPr>
        <w:tc>
          <w:tcPr>
            <w:tcW w:w="3500" w:type="pct"/>
          </w:tcPr>
          <w:p w14:paraId="63B26A13"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Hyperlipoproteinemia (5C80.Z)</w:t>
            </w:r>
          </w:p>
        </w:tc>
        <w:tc>
          <w:tcPr>
            <w:tcW w:w="1500" w:type="pct"/>
          </w:tcPr>
          <w:p w14:paraId="4E9C3E55"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21.74%</w:t>
            </w:r>
          </w:p>
        </w:tc>
      </w:tr>
      <w:tr w:rsidR="0044541D" w:rsidRPr="0044541D" w14:paraId="3E3F7F0C" w14:textId="77777777" w:rsidTr="0044541D">
        <w:trPr>
          <w:trHeight w:val="320"/>
          <w:jc w:val="center"/>
        </w:trPr>
        <w:tc>
          <w:tcPr>
            <w:tcW w:w="3500" w:type="pct"/>
          </w:tcPr>
          <w:p w14:paraId="14612E10"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Nontoxic goiter (5A01)</w:t>
            </w:r>
          </w:p>
        </w:tc>
        <w:tc>
          <w:tcPr>
            <w:tcW w:w="1500" w:type="pct"/>
          </w:tcPr>
          <w:p w14:paraId="6F30CD43"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15.51%</w:t>
            </w:r>
          </w:p>
        </w:tc>
      </w:tr>
      <w:tr w:rsidR="0044541D" w:rsidRPr="0044541D" w14:paraId="4424030A" w14:textId="77777777" w:rsidTr="0044541D">
        <w:trPr>
          <w:trHeight w:val="320"/>
          <w:jc w:val="center"/>
        </w:trPr>
        <w:tc>
          <w:tcPr>
            <w:tcW w:w="3500" w:type="pct"/>
          </w:tcPr>
          <w:p w14:paraId="24F9C501"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Hypothyroidism (5A00)</w:t>
            </w:r>
          </w:p>
        </w:tc>
        <w:tc>
          <w:tcPr>
            <w:tcW w:w="1500" w:type="pct"/>
          </w:tcPr>
          <w:p w14:paraId="1D078272"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14.09%</w:t>
            </w:r>
          </w:p>
        </w:tc>
      </w:tr>
      <w:tr w:rsidR="0044541D" w:rsidRPr="0044541D" w14:paraId="65A80A75" w14:textId="77777777" w:rsidTr="0044541D">
        <w:trPr>
          <w:trHeight w:val="320"/>
          <w:jc w:val="center"/>
        </w:trPr>
        <w:tc>
          <w:tcPr>
            <w:tcW w:w="3500" w:type="pct"/>
          </w:tcPr>
          <w:p w14:paraId="3495763E"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Diseases of the digestive system</w:t>
            </w:r>
          </w:p>
        </w:tc>
        <w:tc>
          <w:tcPr>
            <w:tcW w:w="1500" w:type="pct"/>
          </w:tcPr>
          <w:p w14:paraId="64E5F9AB"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N=5209, 7.85%</w:t>
            </w:r>
          </w:p>
        </w:tc>
      </w:tr>
      <w:tr w:rsidR="0044541D" w:rsidRPr="0044541D" w14:paraId="3C4E10D2" w14:textId="77777777" w:rsidTr="0044541D">
        <w:trPr>
          <w:trHeight w:val="320"/>
          <w:jc w:val="center"/>
        </w:trPr>
        <w:tc>
          <w:tcPr>
            <w:tcW w:w="3500" w:type="pct"/>
          </w:tcPr>
          <w:p w14:paraId="7AA61593"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Appendicitis (DB10) </w:t>
            </w:r>
          </w:p>
        </w:tc>
        <w:tc>
          <w:tcPr>
            <w:tcW w:w="1500" w:type="pct"/>
          </w:tcPr>
          <w:p w14:paraId="509697E5"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18.0%</w:t>
            </w:r>
          </w:p>
        </w:tc>
      </w:tr>
      <w:tr w:rsidR="0044541D" w:rsidRPr="0044541D" w14:paraId="2BEEB6F5" w14:textId="77777777" w:rsidTr="0044541D">
        <w:trPr>
          <w:trHeight w:val="320"/>
          <w:jc w:val="center"/>
        </w:trPr>
        <w:tc>
          <w:tcPr>
            <w:tcW w:w="3500" w:type="pct"/>
          </w:tcPr>
          <w:p w14:paraId="19E81FF5"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Gastritis (DA42)</w:t>
            </w:r>
          </w:p>
        </w:tc>
        <w:tc>
          <w:tcPr>
            <w:tcW w:w="1500" w:type="pct"/>
          </w:tcPr>
          <w:p w14:paraId="791EC168"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13.7%</w:t>
            </w:r>
          </w:p>
        </w:tc>
      </w:tr>
      <w:tr w:rsidR="0044541D" w:rsidRPr="0044541D" w14:paraId="322C356B" w14:textId="77777777" w:rsidTr="0044541D">
        <w:trPr>
          <w:trHeight w:val="320"/>
          <w:jc w:val="center"/>
        </w:trPr>
        <w:tc>
          <w:tcPr>
            <w:tcW w:w="3500" w:type="pct"/>
          </w:tcPr>
          <w:p w14:paraId="7FED985C"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Hernias (DD5Z)</w:t>
            </w:r>
          </w:p>
        </w:tc>
        <w:tc>
          <w:tcPr>
            <w:tcW w:w="1500" w:type="pct"/>
          </w:tcPr>
          <w:p w14:paraId="58FB0CF0"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10.9%</w:t>
            </w:r>
          </w:p>
        </w:tc>
      </w:tr>
      <w:tr w:rsidR="0044541D" w:rsidRPr="0044541D" w14:paraId="365FAB73" w14:textId="77777777" w:rsidTr="0044541D">
        <w:trPr>
          <w:trHeight w:val="320"/>
          <w:jc w:val="center"/>
        </w:trPr>
        <w:tc>
          <w:tcPr>
            <w:tcW w:w="3500" w:type="pct"/>
          </w:tcPr>
          <w:p w14:paraId="650A28BA"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Genitourinary system </w:t>
            </w:r>
          </w:p>
        </w:tc>
        <w:tc>
          <w:tcPr>
            <w:tcW w:w="1500" w:type="pct"/>
          </w:tcPr>
          <w:p w14:paraId="51C96620" w14:textId="77777777" w:rsidR="0044541D" w:rsidRPr="0044541D" w:rsidRDefault="0044541D" w:rsidP="00713A04">
            <w:pPr>
              <w:spacing w:line="259" w:lineRule="auto"/>
              <w:rPr>
                <w:rFonts w:asciiTheme="majorHAnsi" w:hAnsiTheme="majorHAnsi" w:cstheme="majorHAnsi"/>
                <w:b/>
                <w:bCs/>
              </w:rPr>
            </w:pPr>
            <w:r w:rsidRPr="0044541D">
              <w:rPr>
                <w:rFonts w:asciiTheme="majorHAnsi" w:eastAsia="Times New Roman" w:hAnsiTheme="majorHAnsi" w:cstheme="majorHAnsi"/>
                <w:color w:val="000000" w:themeColor="text1"/>
              </w:rPr>
              <w:t>N=4794, 7.22</w:t>
            </w:r>
            <w:r w:rsidRPr="0044541D">
              <w:rPr>
                <w:rFonts w:asciiTheme="majorHAnsi" w:hAnsiTheme="majorHAnsi" w:cstheme="majorHAnsi"/>
                <w:color w:val="000000" w:themeColor="text1"/>
              </w:rPr>
              <w:t>%</w:t>
            </w:r>
          </w:p>
        </w:tc>
      </w:tr>
      <w:tr w:rsidR="0044541D" w:rsidRPr="0044541D" w14:paraId="48702F3A" w14:textId="77777777" w:rsidTr="0044541D">
        <w:trPr>
          <w:trHeight w:val="320"/>
          <w:jc w:val="center"/>
        </w:trPr>
        <w:tc>
          <w:tcPr>
            <w:tcW w:w="3500" w:type="pct"/>
          </w:tcPr>
          <w:p w14:paraId="0F411BBE"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w:t>
            </w:r>
            <w:r w:rsidRPr="0044541D">
              <w:rPr>
                <w:rFonts w:asciiTheme="majorHAnsi" w:eastAsia="Times New Roman" w:hAnsiTheme="majorHAnsi" w:cstheme="majorHAnsi"/>
                <w:color w:val="000000" w:themeColor="text1"/>
              </w:rPr>
              <w:t xml:space="preserve">Calculus of the kidney </w:t>
            </w:r>
            <w:r w:rsidRPr="0044541D">
              <w:rPr>
                <w:rFonts w:asciiTheme="majorHAnsi" w:hAnsiTheme="majorHAnsi" w:cstheme="majorHAnsi"/>
                <w:color w:val="000000" w:themeColor="text1"/>
              </w:rPr>
              <w:t>(</w:t>
            </w:r>
            <w:r w:rsidRPr="0044541D">
              <w:rPr>
                <w:rFonts w:asciiTheme="majorHAnsi" w:eastAsia="Times New Roman" w:hAnsiTheme="majorHAnsi" w:cstheme="majorHAnsi"/>
                <w:color w:val="000000" w:themeColor="text1"/>
              </w:rPr>
              <w:t>GB70.0Z</w:t>
            </w:r>
            <w:r w:rsidRPr="0044541D">
              <w:rPr>
                <w:rFonts w:asciiTheme="majorHAnsi" w:hAnsiTheme="majorHAnsi" w:cstheme="majorHAnsi"/>
                <w:color w:val="000000" w:themeColor="text1"/>
              </w:rPr>
              <w:t xml:space="preserve">) </w:t>
            </w:r>
          </w:p>
        </w:tc>
        <w:tc>
          <w:tcPr>
            <w:tcW w:w="1500" w:type="pct"/>
          </w:tcPr>
          <w:p w14:paraId="4FD20E01" w14:textId="77777777" w:rsidR="0044541D" w:rsidRPr="0044541D" w:rsidRDefault="0044541D" w:rsidP="00713A04">
            <w:pPr>
              <w:spacing w:line="259" w:lineRule="auto"/>
              <w:rPr>
                <w:rFonts w:asciiTheme="majorHAnsi" w:hAnsiTheme="majorHAnsi" w:cstheme="majorHAnsi"/>
                <w:b/>
                <w:bCs/>
              </w:rPr>
            </w:pPr>
            <w:r w:rsidRPr="0044541D">
              <w:rPr>
                <w:rFonts w:asciiTheme="majorHAnsi" w:eastAsia="Times New Roman" w:hAnsiTheme="majorHAnsi" w:cstheme="majorHAnsi"/>
                <w:color w:val="000000" w:themeColor="text1"/>
              </w:rPr>
              <w:t>17.10</w:t>
            </w:r>
            <w:r w:rsidRPr="0044541D">
              <w:rPr>
                <w:rFonts w:asciiTheme="majorHAnsi" w:hAnsiTheme="majorHAnsi" w:cstheme="majorHAnsi"/>
                <w:color w:val="000000" w:themeColor="text1"/>
              </w:rPr>
              <w:t>%</w:t>
            </w:r>
          </w:p>
        </w:tc>
      </w:tr>
      <w:tr w:rsidR="0044541D" w:rsidRPr="0044541D" w14:paraId="5C22EE57" w14:textId="77777777" w:rsidTr="0044541D">
        <w:trPr>
          <w:trHeight w:val="320"/>
          <w:jc w:val="center"/>
        </w:trPr>
        <w:tc>
          <w:tcPr>
            <w:tcW w:w="3500" w:type="pct"/>
          </w:tcPr>
          <w:p w14:paraId="12D0AF5F"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w:t>
            </w:r>
            <w:r w:rsidRPr="0044541D">
              <w:rPr>
                <w:rFonts w:asciiTheme="majorHAnsi" w:eastAsia="Times New Roman" w:hAnsiTheme="majorHAnsi" w:cstheme="majorHAnsi"/>
                <w:color w:val="000000" w:themeColor="text1"/>
              </w:rPr>
              <w:t>Hyperplasia of the prostate</w:t>
            </w:r>
            <w:r w:rsidRPr="0044541D">
              <w:rPr>
                <w:rFonts w:asciiTheme="majorHAnsi" w:hAnsiTheme="majorHAnsi" w:cstheme="majorHAnsi"/>
                <w:color w:val="000000" w:themeColor="text1"/>
              </w:rPr>
              <w:t xml:space="preserve"> (</w:t>
            </w:r>
            <w:r w:rsidRPr="0044541D">
              <w:rPr>
                <w:rFonts w:asciiTheme="majorHAnsi" w:eastAsia="Times New Roman" w:hAnsiTheme="majorHAnsi" w:cstheme="majorHAnsi"/>
                <w:color w:val="000000" w:themeColor="text1"/>
              </w:rPr>
              <w:t>GA90</w:t>
            </w:r>
            <w:r w:rsidRPr="0044541D">
              <w:rPr>
                <w:rFonts w:asciiTheme="majorHAnsi" w:hAnsiTheme="majorHAnsi" w:cstheme="majorHAnsi"/>
                <w:color w:val="000000" w:themeColor="text1"/>
              </w:rPr>
              <w:t>)</w:t>
            </w:r>
          </w:p>
        </w:tc>
        <w:tc>
          <w:tcPr>
            <w:tcW w:w="1500" w:type="pct"/>
          </w:tcPr>
          <w:p w14:paraId="6AE4872E" w14:textId="77777777" w:rsidR="0044541D" w:rsidRPr="0044541D" w:rsidRDefault="0044541D" w:rsidP="00713A04">
            <w:pPr>
              <w:spacing w:line="259" w:lineRule="auto"/>
              <w:rPr>
                <w:rFonts w:asciiTheme="majorHAnsi" w:hAnsiTheme="majorHAnsi" w:cstheme="majorHAnsi"/>
                <w:b/>
                <w:bCs/>
              </w:rPr>
            </w:pPr>
            <w:r w:rsidRPr="0044541D">
              <w:rPr>
                <w:rFonts w:asciiTheme="majorHAnsi" w:eastAsia="Times New Roman" w:hAnsiTheme="majorHAnsi" w:cstheme="majorHAnsi"/>
                <w:color w:val="000000" w:themeColor="text1"/>
              </w:rPr>
              <w:t>10.20%</w:t>
            </w:r>
          </w:p>
        </w:tc>
      </w:tr>
      <w:tr w:rsidR="0044541D" w:rsidRPr="0044541D" w14:paraId="3B72FAB2" w14:textId="77777777" w:rsidTr="0044541D">
        <w:trPr>
          <w:trHeight w:val="320"/>
          <w:jc w:val="center"/>
        </w:trPr>
        <w:tc>
          <w:tcPr>
            <w:tcW w:w="3500" w:type="pct"/>
          </w:tcPr>
          <w:p w14:paraId="431E588C" w14:textId="77777777" w:rsidR="0044541D" w:rsidRPr="0044541D" w:rsidRDefault="0044541D" w:rsidP="00713A04">
            <w:pPr>
              <w:spacing w:line="259" w:lineRule="auto"/>
              <w:rPr>
                <w:rFonts w:asciiTheme="majorHAnsi" w:hAnsiTheme="majorHAnsi" w:cstheme="majorHAnsi"/>
                <w:b/>
                <w:bCs/>
              </w:rPr>
            </w:pPr>
            <w:r w:rsidRPr="0044541D">
              <w:rPr>
                <w:rFonts w:asciiTheme="majorHAnsi" w:hAnsiTheme="majorHAnsi" w:cstheme="majorHAnsi"/>
                <w:color w:val="000000" w:themeColor="text1"/>
              </w:rPr>
              <w:t xml:space="preserve">          </w:t>
            </w:r>
            <w:r w:rsidRPr="0044541D">
              <w:rPr>
                <w:rFonts w:asciiTheme="majorHAnsi" w:eastAsia="Times New Roman" w:hAnsiTheme="majorHAnsi" w:cstheme="majorHAnsi"/>
                <w:color w:val="000000" w:themeColor="text1"/>
              </w:rPr>
              <w:t>Unspecified ovarian cysts</w:t>
            </w:r>
            <w:r w:rsidRPr="0044541D">
              <w:rPr>
                <w:rFonts w:asciiTheme="majorHAnsi" w:hAnsiTheme="majorHAnsi" w:cstheme="majorHAnsi"/>
                <w:color w:val="000000" w:themeColor="text1"/>
              </w:rPr>
              <w:t xml:space="preserve"> (</w:t>
            </w:r>
            <w:r w:rsidRPr="0044541D">
              <w:rPr>
                <w:rFonts w:asciiTheme="majorHAnsi" w:eastAsia="Times New Roman" w:hAnsiTheme="majorHAnsi" w:cstheme="majorHAnsi"/>
                <w:color w:val="000000" w:themeColor="text1"/>
              </w:rPr>
              <w:t>GA18.6</w:t>
            </w:r>
            <w:r w:rsidRPr="0044541D">
              <w:rPr>
                <w:rFonts w:asciiTheme="majorHAnsi" w:hAnsiTheme="majorHAnsi" w:cstheme="majorHAnsi"/>
                <w:color w:val="000000" w:themeColor="text1"/>
              </w:rPr>
              <w:t>)</w:t>
            </w:r>
          </w:p>
        </w:tc>
        <w:tc>
          <w:tcPr>
            <w:tcW w:w="1500" w:type="pct"/>
          </w:tcPr>
          <w:p w14:paraId="7E37BDA2" w14:textId="77777777" w:rsidR="0044541D" w:rsidRPr="0044541D" w:rsidRDefault="0044541D" w:rsidP="00713A04">
            <w:pPr>
              <w:keepNext/>
              <w:spacing w:line="259" w:lineRule="auto"/>
              <w:rPr>
                <w:rFonts w:asciiTheme="majorHAnsi" w:hAnsiTheme="majorHAnsi" w:cstheme="majorHAnsi"/>
                <w:b/>
                <w:bCs/>
              </w:rPr>
            </w:pPr>
            <w:r w:rsidRPr="0044541D">
              <w:rPr>
                <w:rFonts w:asciiTheme="majorHAnsi" w:eastAsia="Times New Roman" w:hAnsiTheme="majorHAnsi" w:cstheme="majorHAnsi"/>
                <w:color w:val="000000" w:themeColor="text1"/>
              </w:rPr>
              <w:t>8.74</w:t>
            </w:r>
            <w:r w:rsidRPr="0044541D">
              <w:rPr>
                <w:rFonts w:asciiTheme="majorHAnsi" w:hAnsiTheme="majorHAnsi" w:cstheme="majorHAnsi"/>
                <w:color w:val="000000" w:themeColor="text1"/>
              </w:rPr>
              <w:t>%</w:t>
            </w:r>
          </w:p>
        </w:tc>
      </w:tr>
    </w:tbl>
    <w:p w14:paraId="45084878" w14:textId="77777777" w:rsidR="0044541D" w:rsidRDefault="0044541D" w:rsidP="0044541D">
      <w:pPr>
        <w:pStyle w:val="Caption"/>
        <w:rPr>
          <w:color w:val="000000" w:themeColor="text1"/>
        </w:rPr>
      </w:pPr>
      <w:r>
        <w:rPr>
          <w:color w:val="000000" w:themeColor="text1"/>
        </w:rPr>
        <w:t xml:space="preserve">              </w:t>
      </w:r>
    </w:p>
    <w:p w14:paraId="29F1D80F" w14:textId="77777777" w:rsidR="0044541D" w:rsidRDefault="0044541D">
      <w:pPr>
        <w:rPr>
          <w:b/>
          <w:iCs/>
          <w:sz w:val="20"/>
        </w:rPr>
      </w:pPr>
      <w:r>
        <w:br w:type="page"/>
      </w:r>
    </w:p>
    <w:p w14:paraId="3CBA8124" w14:textId="5EF4C8D8" w:rsidR="00E24790" w:rsidRPr="00AE1D54" w:rsidRDefault="00E24790" w:rsidP="00E24790">
      <w:pPr>
        <w:pStyle w:val="Quote"/>
      </w:pPr>
      <w:bookmarkStart w:id="61" w:name="_Toc119834453"/>
      <w:r w:rsidRPr="00AE1D54">
        <w:lastRenderedPageBreak/>
        <w:t xml:space="preserve">Table </w:t>
      </w:r>
      <w:r w:rsidR="0044541D">
        <w:t>7</w:t>
      </w:r>
      <w:r w:rsidRPr="00AE1D54">
        <w:t>: Characteristics of traits included in ROH analysis</w:t>
      </w:r>
      <w:bookmarkEnd w:id="61"/>
    </w:p>
    <w:p w14:paraId="59F90B48" w14:textId="77777777" w:rsidR="00E24790" w:rsidRPr="00AE1D54" w:rsidRDefault="00E24790" w:rsidP="00136CD4">
      <w:pPr>
        <w:widowControl w:val="0"/>
        <w:pBdr>
          <w:top w:val="nil"/>
          <w:left w:val="nil"/>
          <w:bottom w:val="nil"/>
          <w:right w:val="nil"/>
          <w:between w:val="nil"/>
        </w:pBdr>
        <w:spacing w:after="0" w:line="276" w:lineRule="auto"/>
        <w:rPr>
          <w:rFonts w:asciiTheme="majorHAnsi" w:hAnsiTheme="majorHAnsi" w:cstheme="majorHAnsi"/>
          <w:color w:val="000000" w:themeColor="text1"/>
          <w:sz w:val="24"/>
          <w:szCs w:val="24"/>
        </w:rPr>
      </w:pPr>
    </w:p>
    <w:tbl>
      <w:tblPr>
        <w:tblStyle w:val="1"/>
        <w:tblW w:w="5000" w:type="pct"/>
        <w:tblLook w:val="0400" w:firstRow="0" w:lastRow="0" w:firstColumn="0" w:lastColumn="0" w:noHBand="0" w:noVBand="1"/>
      </w:tblPr>
      <w:tblGrid>
        <w:gridCol w:w="1540"/>
        <w:gridCol w:w="1511"/>
        <w:gridCol w:w="1428"/>
        <w:gridCol w:w="1326"/>
        <w:gridCol w:w="2919"/>
        <w:gridCol w:w="636"/>
      </w:tblGrid>
      <w:tr w:rsidR="00E24790" w:rsidRPr="00AE1D54" w14:paraId="1BE507D5" w14:textId="77777777" w:rsidTr="00AC6BD6">
        <w:trPr>
          <w:trHeight w:val="300"/>
        </w:trPr>
        <w:tc>
          <w:tcPr>
            <w:tcW w:w="762" w:type="pct"/>
            <w:tcBorders>
              <w:top w:val="single" w:sz="4" w:space="0" w:color="000000"/>
              <w:left w:val="nil"/>
              <w:bottom w:val="single" w:sz="4" w:space="0" w:color="000000"/>
              <w:right w:val="nil"/>
            </w:tcBorders>
            <w:shd w:val="clear" w:color="auto" w:fill="auto"/>
            <w:vAlign w:val="bottom"/>
          </w:tcPr>
          <w:p w14:paraId="4232B4C1" w14:textId="77777777" w:rsidR="00E24790" w:rsidRPr="00AE1D54" w:rsidRDefault="00E24790" w:rsidP="00AC6BD6">
            <w:pPr>
              <w:spacing w:after="0" w:line="240" w:lineRule="auto"/>
              <w:rPr>
                <w:rFonts w:asciiTheme="majorHAnsi" w:hAnsiTheme="majorHAnsi" w:cstheme="majorHAnsi"/>
                <w:b/>
                <w:color w:val="000000" w:themeColor="text1"/>
                <w:sz w:val="16"/>
                <w:szCs w:val="16"/>
              </w:rPr>
            </w:pPr>
            <w:r w:rsidRPr="00AE1D54">
              <w:rPr>
                <w:rFonts w:asciiTheme="majorHAnsi" w:hAnsiTheme="majorHAnsi" w:cstheme="majorHAnsi"/>
                <w:b/>
                <w:color w:val="000000" w:themeColor="text1"/>
                <w:sz w:val="16"/>
                <w:szCs w:val="16"/>
              </w:rPr>
              <w:t>Trait Group</w:t>
            </w:r>
          </w:p>
        </w:tc>
        <w:tc>
          <w:tcPr>
            <w:tcW w:w="870" w:type="pct"/>
            <w:tcBorders>
              <w:top w:val="single" w:sz="4" w:space="0" w:color="000000"/>
              <w:left w:val="nil"/>
              <w:bottom w:val="single" w:sz="4" w:space="0" w:color="000000"/>
              <w:right w:val="nil"/>
            </w:tcBorders>
            <w:shd w:val="clear" w:color="auto" w:fill="auto"/>
            <w:vAlign w:val="bottom"/>
          </w:tcPr>
          <w:p w14:paraId="2E4D23A9" w14:textId="77777777" w:rsidR="00E24790" w:rsidRPr="00AE1D54" w:rsidRDefault="00E24790" w:rsidP="00AC6BD6">
            <w:pPr>
              <w:spacing w:after="0" w:line="240" w:lineRule="auto"/>
              <w:rPr>
                <w:rFonts w:asciiTheme="majorHAnsi" w:hAnsiTheme="majorHAnsi" w:cstheme="majorHAnsi"/>
                <w:b/>
                <w:color w:val="000000" w:themeColor="text1"/>
                <w:sz w:val="16"/>
                <w:szCs w:val="16"/>
              </w:rPr>
            </w:pPr>
            <w:r w:rsidRPr="00AE1D54">
              <w:rPr>
                <w:rFonts w:asciiTheme="majorHAnsi" w:hAnsiTheme="majorHAnsi" w:cstheme="majorHAnsi"/>
                <w:b/>
                <w:color w:val="000000" w:themeColor="text1"/>
                <w:sz w:val="16"/>
                <w:szCs w:val="16"/>
              </w:rPr>
              <w:t>Full trait name</w:t>
            </w:r>
          </w:p>
        </w:tc>
        <w:tc>
          <w:tcPr>
            <w:tcW w:w="687" w:type="pct"/>
            <w:tcBorders>
              <w:top w:val="single" w:sz="4" w:space="0" w:color="000000"/>
              <w:left w:val="nil"/>
              <w:bottom w:val="single" w:sz="4" w:space="0" w:color="000000"/>
              <w:right w:val="nil"/>
            </w:tcBorders>
            <w:shd w:val="clear" w:color="auto" w:fill="auto"/>
            <w:vAlign w:val="bottom"/>
          </w:tcPr>
          <w:p w14:paraId="605DD22D" w14:textId="77777777" w:rsidR="00E24790" w:rsidRPr="00AE1D54" w:rsidRDefault="00E24790" w:rsidP="00AC6BD6">
            <w:pPr>
              <w:spacing w:after="0" w:line="240" w:lineRule="auto"/>
              <w:rPr>
                <w:rFonts w:asciiTheme="majorHAnsi" w:hAnsiTheme="majorHAnsi" w:cstheme="majorHAnsi"/>
                <w:b/>
                <w:color w:val="000000" w:themeColor="text1"/>
                <w:sz w:val="16"/>
                <w:szCs w:val="16"/>
              </w:rPr>
            </w:pPr>
            <w:r w:rsidRPr="00AE1D54">
              <w:rPr>
                <w:rFonts w:asciiTheme="majorHAnsi" w:hAnsiTheme="majorHAnsi" w:cstheme="majorHAnsi"/>
                <w:b/>
                <w:color w:val="000000" w:themeColor="text1"/>
                <w:sz w:val="16"/>
                <w:szCs w:val="16"/>
              </w:rPr>
              <w:t>Trait</w:t>
            </w:r>
          </w:p>
        </w:tc>
        <w:tc>
          <w:tcPr>
            <w:tcW w:w="742" w:type="pct"/>
            <w:tcBorders>
              <w:top w:val="single" w:sz="4" w:space="0" w:color="000000"/>
              <w:left w:val="nil"/>
              <w:bottom w:val="single" w:sz="4" w:space="0" w:color="000000"/>
              <w:right w:val="nil"/>
            </w:tcBorders>
            <w:shd w:val="clear" w:color="auto" w:fill="auto"/>
            <w:vAlign w:val="bottom"/>
          </w:tcPr>
          <w:p w14:paraId="0A54E2A4" w14:textId="77777777" w:rsidR="00E24790" w:rsidRPr="00AE1D54" w:rsidRDefault="00E24790" w:rsidP="00AC6BD6">
            <w:pPr>
              <w:spacing w:after="0" w:line="240" w:lineRule="auto"/>
              <w:rPr>
                <w:rFonts w:asciiTheme="majorHAnsi" w:hAnsiTheme="majorHAnsi" w:cstheme="majorHAnsi"/>
                <w:b/>
                <w:color w:val="000000" w:themeColor="text1"/>
                <w:sz w:val="16"/>
                <w:szCs w:val="16"/>
              </w:rPr>
            </w:pPr>
            <w:r w:rsidRPr="00AE1D54">
              <w:rPr>
                <w:rFonts w:asciiTheme="majorHAnsi" w:hAnsiTheme="majorHAnsi" w:cstheme="majorHAnsi"/>
                <w:b/>
                <w:color w:val="000000" w:themeColor="text1"/>
                <w:sz w:val="16"/>
                <w:szCs w:val="16"/>
              </w:rPr>
              <w:t>Units</w:t>
            </w:r>
          </w:p>
        </w:tc>
        <w:tc>
          <w:tcPr>
            <w:tcW w:w="1651" w:type="pct"/>
            <w:tcBorders>
              <w:top w:val="single" w:sz="4" w:space="0" w:color="000000"/>
              <w:left w:val="nil"/>
              <w:bottom w:val="single" w:sz="4" w:space="0" w:color="000000"/>
              <w:right w:val="nil"/>
            </w:tcBorders>
            <w:shd w:val="clear" w:color="auto" w:fill="auto"/>
            <w:vAlign w:val="bottom"/>
          </w:tcPr>
          <w:p w14:paraId="75875C55" w14:textId="77777777" w:rsidR="00E24790" w:rsidRPr="00AE1D54" w:rsidRDefault="00E24790" w:rsidP="00AC6BD6">
            <w:pPr>
              <w:spacing w:after="0" w:line="240" w:lineRule="auto"/>
              <w:rPr>
                <w:rFonts w:asciiTheme="majorHAnsi" w:hAnsiTheme="majorHAnsi" w:cstheme="majorHAnsi"/>
                <w:b/>
                <w:color w:val="000000" w:themeColor="text1"/>
                <w:sz w:val="16"/>
                <w:szCs w:val="16"/>
              </w:rPr>
            </w:pPr>
            <w:r w:rsidRPr="00AE1D54">
              <w:rPr>
                <w:rFonts w:asciiTheme="majorHAnsi" w:hAnsiTheme="majorHAnsi" w:cstheme="majorHAnsi"/>
                <w:b/>
                <w:color w:val="000000" w:themeColor="text1"/>
                <w:sz w:val="16"/>
                <w:szCs w:val="16"/>
              </w:rPr>
              <w:t>Required covariates</w:t>
            </w:r>
          </w:p>
        </w:tc>
        <w:tc>
          <w:tcPr>
            <w:tcW w:w="288" w:type="pct"/>
            <w:tcBorders>
              <w:top w:val="single" w:sz="4" w:space="0" w:color="000000"/>
              <w:left w:val="nil"/>
              <w:bottom w:val="single" w:sz="4" w:space="0" w:color="000000"/>
              <w:right w:val="nil"/>
            </w:tcBorders>
            <w:shd w:val="clear" w:color="auto" w:fill="auto"/>
            <w:vAlign w:val="bottom"/>
          </w:tcPr>
          <w:p w14:paraId="64EE0FE7" w14:textId="77777777" w:rsidR="00E24790" w:rsidRPr="00AE1D54" w:rsidRDefault="00E24790" w:rsidP="00AC6BD6">
            <w:pPr>
              <w:spacing w:after="0" w:line="240" w:lineRule="auto"/>
              <w:jc w:val="center"/>
              <w:rPr>
                <w:rFonts w:asciiTheme="majorHAnsi" w:hAnsiTheme="majorHAnsi" w:cstheme="majorHAnsi"/>
                <w:b/>
                <w:color w:val="000000" w:themeColor="text1"/>
                <w:sz w:val="16"/>
                <w:szCs w:val="16"/>
              </w:rPr>
            </w:pPr>
            <w:r w:rsidRPr="00AE1D54">
              <w:rPr>
                <w:rFonts w:asciiTheme="majorHAnsi" w:hAnsiTheme="majorHAnsi" w:cstheme="majorHAnsi"/>
                <w:b/>
                <w:color w:val="000000" w:themeColor="text1"/>
                <w:sz w:val="16"/>
                <w:szCs w:val="16"/>
              </w:rPr>
              <w:t>N</w:t>
            </w:r>
          </w:p>
        </w:tc>
      </w:tr>
      <w:tr w:rsidR="00E24790" w:rsidRPr="00AE1D54" w14:paraId="7EF12339" w14:textId="77777777" w:rsidTr="00AC6BD6">
        <w:trPr>
          <w:trHeight w:val="300"/>
        </w:trPr>
        <w:tc>
          <w:tcPr>
            <w:tcW w:w="762" w:type="pct"/>
            <w:tcBorders>
              <w:top w:val="single" w:sz="4" w:space="0" w:color="000000"/>
              <w:left w:val="nil"/>
              <w:bottom w:val="nil"/>
              <w:right w:val="nil"/>
            </w:tcBorders>
            <w:shd w:val="clear" w:color="auto" w:fill="auto"/>
            <w:vAlign w:val="bottom"/>
          </w:tcPr>
          <w:p w14:paraId="3C6A33F8"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Anthropometric</w:t>
            </w:r>
          </w:p>
        </w:tc>
        <w:tc>
          <w:tcPr>
            <w:tcW w:w="870" w:type="pct"/>
            <w:tcBorders>
              <w:top w:val="single" w:sz="4" w:space="0" w:color="000000"/>
              <w:left w:val="nil"/>
              <w:bottom w:val="nil"/>
              <w:right w:val="nil"/>
            </w:tcBorders>
            <w:shd w:val="clear" w:color="auto" w:fill="auto"/>
            <w:vAlign w:val="bottom"/>
          </w:tcPr>
          <w:p w14:paraId="515896C5"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Waist-Hip ratio</w:t>
            </w:r>
          </w:p>
        </w:tc>
        <w:tc>
          <w:tcPr>
            <w:tcW w:w="687" w:type="pct"/>
            <w:tcBorders>
              <w:top w:val="single" w:sz="4" w:space="0" w:color="000000"/>
              <w:left w:val="nil"/>
              <w:bottom w:val="nil"/>
              <w:right w:val="nil"/>
            </w:tcBorders>
            <w:shd w:val="clear" w:color="auto" w:fill="auto"/>
            <w:vAlign w:val="bottom"/>
          </w:tcPr>
          <w:p w14:paraId="4E9CF010"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whr</w:t>
            </w:r>
            <w:proofErr w:type="spellEnd"/>
          </w:p>
        </w:tc>
        <w:tc>
          <w:tcPr>
            <w:tcW w:w="742" w:type="pct"/>
            <w:tcBorders>
              <w:top w:val="single" w:sz="4" w:space="0" w:color="000000"/>
              <w:left w:val="nil"/>
              <w:bottom w:val="nil"/>
              <w:right w:val="nil"/>
            </w:tcBorders>
            <w:shd w:val="clear" w:color="auto" w:fill="auto"/>
            <w:vAlign w:val="bottom"/>
          </w:tcPr>
          <w:p w14:paraId="75B2703F"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w:t>
            </w:r>
          </w:p>
        </w:tc>
        <w:tc>
          <w:tcPr>
            <w:tcW w:w="1651" w:type="pct"/>
            <w:tcBorders>
              <w:top w:val="single" w:sz="4" w:space="0" w:color="000000"/>
              <w:left w:val="nil"/>
              <w:bottom w:val="nil"/>
              <w:right w:val="nil"/>
            </w:tcBorders>
            <w:shd w:val="clear" w:color="auto" w:fill="auto"/>
            <w:vAlign w:val="bottom"/>
          </w:tcPr>
          <w:p w14:paraId="59892A4E"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 xml:space="preserve">sex + age + age^2 + </w:t>
            </w:r>
            <w:proofErr w:type="spellStart"/>
            <w:r w:rsidRPr="00AE1D54">
              <w:rPr>
                <w:rFonts w:asciiTheme="majorHAnsi" w:hAnsiTheme="majorHAnsi" w:cstheme="majorHAnsi"/>
                <w:color w:val="000000" w:themeColor="text1"/>
                <w:sz w:val="16"/>
                <w:szCs w:val="16"/>
              </w:rPr>
              <w:t>bmi</w:t>
            </w:r>
            <w:proofErr w:type="spellEnd"/>
          </w:p>
        </w:tc>
        <w:tc>
          <w:tcPr>
            <w:tcW w:w="288" w:type="pct"/>
            <w:tcBorders>
              <w:top w:val="single" w:sz="4" w:space="0" w:color="000000"/>
              <w:left w:val="nil"/>
              <w:bottom w:val="nil"/>
              <w:right w:val="nil"/>
            </w:tcBorders>
            <w:shd w:val="clear" w:color="auto" w:fill="auto"/>
            <w:vAlign w:val="bottom"/>
          </w:tcPr>
          <w:p w14:paraId="7E28D144"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11710</w:t>
            </w:r>
          </w:p>
        </w:tc>
      </w:tr>
      <w:tr w:rsidR="00E24790" w:rsidRPr="00AE1D54" w14:paraId="4CBA137E" w14:textId="77777777" w:rsidTr="00AC6BD6">
        <w:trPr>
          <w:trHeight w:val="300"/>
        </w:trPr>
        <w:tc>
          <w:tcPr>
            <w:tcW w:w="762" w:type="pct"/>
            <w:tcBorders>
              <w:top w:val="nil"/>
              <w:left w:val="nil"/>
              <w:bottom w:val="nil"/>
              <w:right w:val="nil"/>
            </w:tcBorders>
            <w:shd w:val="clear" w:color="auto" w:fill="auto"/>
            <w:vAlign w:val="bottom"/>
          </w:tcPr>
          <w:p w14:paraId="03E135ED"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Anthropometric</w:t>
            </w:r>
          </w:p>
        </w:tc>
        <w:tc>
          <w:tcPr>
            <w:tcW w:w="870" w:type="pct"/>
            <w:tcBorders>
              <w:top w:val="nil"/>
              <w:left w:val="nil"/>
              <w:bottom w:val="nil"/>
              <w:right w:val="nil"/>
            </w:tcBorders>
            <w:shd w:val="clear" w:color="auto" w:fill="auto"/>
            <w:vAlign w:val="bottom"/>
          </w:tcPr>
          <w:p w14:paraId="71DE6E15"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Body mass index</w:t>
            </w:r>
          </w:p>
        </w:tc>
        <w:tc>
          <w:tcPr>
            <w:tcW w:w="687" w:type="pct"/>
            <w:tcBorders>
              <w:top w:val="nil"/>
              <w:left w:val="nil"/>
              <w:bottom w:val="nil"/>
              <w:right w:val="nil"/>
            </w:tcBorders>
            <w:shd w:val="clear" w:color="auto" w:fill="auto"/>
            <w:vAlign w:val="bottom"/>
          </w:tcPr>
          <w:p w14:paraId="7D32032D"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bmi</w:t>
            </w:r>
            <w:proofErr w:type="spellEnd"/>
          </w:p>
        </w:tc>
        <w:tc>
          <w:tcPr>
            <w:tcW w:w="742" w:type="pct"/>
            <w:tcBorders>
              <w:top w:val="nil"/>
              <w:left w:val="nil"/>
              <w:bottom w:val="nil"/>
              <w:right w:val="nil"/>
            </w:tcBorders>
            <w:shd w:val="clear" w:color="auto" w:fill="auto"/>
            <w:vAlign w:val="bottom"/>
          </w:tcPr>
          <w:p w14:paraId="02B0D6C1"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kg / m2</w:t>
            </w:r>
          </w:p>
        </w:tc>
        <w:tc>
          <w:tcPr>
            <w:tcW w:w="1651" w:type="pct"/>
            <w:tcBorders>
              <w:top w:val="nil"/>
              <w:left w:val="nil"/>
              <w:bottom w:val="nil"/>
              <w:right w:val="nil"/>
            </w:tcBorders>
            <w:shd w:val="clear" w:color="auto" w:fill="auto"/>
            <w:vAlign w:val="bottom"/>
          </w:tcPr>
          <w:p w14:paraId="552B51E6"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age + age^2</w:t>
            </w:r>
          </w:p>
        </w:tc>
        <w:tc>
          <w:tcPr>
            <w:tcW w:w="288" w:type="pct"/>
            <w:tcBorders>
              <w:top w:val="nil"/>
              <w:left w:val="nil"/>
              <w:bottom w:val="nil"/>
              <w:right w:val="nil"/>
            </w:tcBorders>
            <w:shd w:val="clear" w:color="auto" w:fill="auto"/>
            <w:vAlign w:val="bottom"/>
          </w:tcPr>
          <w:p w14:paraId="79F1CFB4"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11716</w:t>
            </w:r>
          </w:p>
        </w:tc>
      </w:tr>
      <w:tr w:rsidR="00E24790" w:rsidRPr="00AE1D54" w14:paraId="06C1C4D7" w14:textId="77777777" w:rsidTr="00AC6BD6">
        <w:trPr>
          <w:trHeight w:val="300"/>
        </w:trPr>
        <w:tc>
          <w:tcPr>
            <w:tcW w:w="762" w:type="pct"/>
            <w:tcBorders>
              <w:top w:val="nil"/>
              <w:left w:val="nil"/>
              <w:bottom w:val="nil"/>
              <w:right w:val="nil"/>
            </w:tcBorders>
            <w:shd w:val="clear" w:color="auto" w:fill="auto"/>
            <w:vAlign w:val="bottom"/>
          </w:tcPr>
          <w:p w14:paraId="198AA038"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Anthropometric</w:t>
            </w:r>
          </w:p>
        </w:tc>
        <w:tc>
          <w:tcPr>
            <w:tcW w:w="870" w:type="pct"/>
            <w:tcBorders>
              <w:top w:val="nil"/>
              <w:left w:val="nil"/>
              <w:bottom w:val="nil"/>
              <w:right w:val="nil"/>
            </w:tcBorders>
            <w:shd w:val="clear" w:color="auto" w:fill="auto"/>
            <w:vAlign w:val="bottom"/>
          </w:tcPr>
          <w:p w14:paraId="763136D8"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Weight</w:t>
            </w:r>
          </w:p>
        </w:tc>
        <w:tc>
          <w:tcPr>
            <w:tcW w:w="687" w:type="pct"/>
            <w:tcBorders>
              <w:top w:val="nil"/>
              <w:left w:val="nil"/>
              <w:bottom w:val="nil"/>
              <w:right w:val="nil"/>
            </w:tcBorders>
            <w:shd w:val="clear" w:color="auto" w:fill="auto"/>
            <w:vAlign w:val="bottom"/>
          </w:tcPr>
          <w:p w14:paraId="5911E6A4"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weight</w:t>
            </w:r>
          </w:p>
        </w:tc>
        <w:tc>
          <w:tcPr>
            <w:tcW w:w="742" w:type="pct"/>
            <w:tcBorders>
              <w:top w:val="nil"/>
              <w:left w:val="nil"/>
              <w:bottom w:val="nil"/>
              <w:right w:val="nil"/>
            </w:tcBorders>
            <w:shd w:val="clear" w:color="auto" w:fill="auto"/>
            <w:vAlign w:val="bottom"/>
          </w:tcPr>
          <w:p w14:paraId="1ECA0A41"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kg</w:t>
            </w:r>
          </w:p>
        </w:tc>
        <w:tc>
          <w:tcPr>
            <w:tcW w:w="1651" w:type="pct"/>
            <w:tcBorders>
              <w:top w:val="nil"/>
              <w:left w:val="nil"/>
              <w:bottom w:val="nil"/>
              <w:right w:val="nil"/>
            </w:tcBorders>
            <w:shd w:val="clear" w:color="auto" w:fill="auto"/>
            <w:vAlign w:val="bottom"/>
          </w:tcPr>
          <w:p w14:paraId="47F82FF0"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age</w:t>
            </w:r>
          </w:p>
        </w:tc>
        <w:tc>
          <w:tcPr>
            <w:tcW w:w="288" w:type="pct"/>
            <w:tcBorders>
              <w:top w:val="nil"/>
              <w:left w:val="nil"/>
              <w:bottom w:val="nil"/>
              <w:right w:val="nil"/>
            </w:tcBorders>
            <w:shd w:val="clear" w:color="auto" w:fill="auto"/>
            <w:vAlign w:val="bottom"/>
          </w:tcPr>
          <w:p w14:paraId="1753D93D"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11724</w:t>
            </w:r>
          </w:p>
        </w:tc>
      </w:tr>
      <w:tr w:rsidR="00E24790" w:rsidRPr="00AE1D54" w14:paraId="4D60D1F0" w14:textId="77777777" w:rsidTr="00AC6BD6">
        <w:trPr>
          <w:trHeight w:val="300"/>
        </w:trPr>
        <w:tc>
          <w:tcPr>
            <w:tcW w:w="762" w:type="pct"/>
            <w:tcBorders>
              <w:top w:val="nil"/>
              <w:left w:val="nil"/>
              <w:bottom w:val="nil"/>
              <w:right w:val="nil"/>
            </w:tcBorders>
            <w:shd w:val="clear" w:color="auto" w:fill="auto"/>
            <w:vAlign w:val="bottom"/>
          </w:tcPr>
          <w:p w14:paraId="52A9311D"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Anthropometric</w:t>
            </w:r>
          </w:p>
        </w:tc>
        <w:tc>
          <w:tcPr>
            <w:tcW w:w="870" w:type="pct"/>
            <w:tcBorders>
              <w:top w:val="nil"/>
              <w:left w:val="nil"/>
              <w:bottom w:val="nil"/>
              <w:right w:val="nil"/>
            </w:tcBorders>
            <w:shd w:val="clear" w:color="auto" w:fill="auto"/>
            <w:vAlign w:val="bottom"/>
          </w:tcPr>
          <w:p w14:paraId="3FCE0A8A"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Height</w:t>
            </w:r>
          </w:p>
        </w:tc>
        <w:tc>
          <w:tcPr>
            <w:tcW w:w="687" w:type="pct"/>
            <w:tcBorders>
              <w:top w:val="nil"/>
              <w:left w:val="nil"/>
              <w:bottom w:val="nil"/>
              <w:right w:val="nil"/>
            </w:tcBorders>
            <w:shd w:val="clear" w:color="auto" w:fill="auto"/>
            <w:vAlign w:val="bottom"/>
          </w:tcPr>
          <w:p w14:paraId="5E772447"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height</w:t>
            </w:r>
          </w:p>
        </w:tc>
        <w:tc>
          <w:tcPr>
            <w:tcW w:w="742" w:type="pct"/>
            <w:tcBorders>
              <w:top w:val="nil"/>
              <w:left w:val="nil"/>
              <w:bottom w:val="nil"/>
              <w:right w:val="nil"/>
            </w:tcBorders>
            <w:shd w:val="clear" w:color="auto" w:fill="auto"/>
            <w:vAlign w:val="bottom"/>
          </w:tcPr>
          <w:p w14:paraId="1BB790F6"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m</w:t>
            </w:r>
          </w:p>
        </w:tc>
        <w:tc>
          <w:tcPr>
            <w:tcW w:w="1651" w:type="pct"/>
            <w:tcBorders>
              <w:top w:val="nil"/>
              <w:left w:val="nil"/>
              <w:bottom w:val="nil"/>
              <w:right w:val="nil"/>
            </w:tcBorders>
            <w:shd w:val="clear" w:color="auto" w:fill="auto"/>
            <w:vAlign w:val="bottom"/>
          </w:tcPr>
          <w:p w14:paraId="6C40E6AF"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age</w:t>
            </w:r>
          </w:p>
        </w:tc>
        <w:tc>
          <w:tcPr>
            <w:tcW w:w="288" w:type="pct"/>
            <w:tcBorders>
              <w:top w:val="nil"/>
              <w:left w:val="nil"/>
              <w:bottom w:val="nil"/>
              <w:right w:val="nil"/>
            </w:tcBorders>
            <w:shd w:val="clear" w:color="auto" w:fill="auto"/>
            <w:vAlign w:val="bottom"/>
          </w:tcPr>
          <w:p w14:paraId="10DEC60E"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11731</w:t>
            </w:r>
          </w:p>
        </w:tc>
      </w:tr>
      <w:tr w:rsidR="00E24790" w:rsidRPr="00AE1D54" w14:paraId="4DD3151E" w14:textId="77777777" w:rsidTr="00AC6BD6">
        <w:trPr>
          <w:trHeight w:val="300"/>
        </w:trPr>
        <w:tc>
          <w:tcPr>
            <w:tcW w:w="762" w:type="pct"/>
            <w:tcBorders>
              <w:top w:val="nil"/>
              <w:left w:val="nil"/>
              <w:bottom w:val="nil"/>
              <w:right w:val="nil"/>
            </w:tcBorders>
            <w:shd w:val="clear" w:color="auto" w:fill="auto"/>
            <w:vAlign w:val="bottom"/>
          </w:tcPr>
          <w:p w14:paraId="1662CFA3"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Behavioural</w:t>
            </w:r>
            <w:proofErr w:type="spellEnd"/>
          </w:p>
        </w:tc>
        <w:tc>
          <w:tcPr>
            <w:tcW w:w="870" w:type="pct"/>
            <w:tcBorders>
              <w:top w:val="nil"/>
              <w:left w:val="nil"/>
              <w:bottom w:val="nil"/>
              <w:right w:val="nil"/>
            </w:tcBorders>
            <w:shd w:val="clear" w:color="auto" w:fill="auto"/>
            <w:vAlign w:val="bottom"/>
          </w:tcPr>
          <w:p w14:paraId="67C465D2"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Ever smoked</w:t>
            </w:r>
          </w:p>
        </w:tc>
        <w:tc>
          <w:tcPr>
            <w:tcW w:w="687" w:type="pct"/>
            <w:tcBorders>
              <w:top w:val="nil"/>
              <w:left w:val="nil"/>
              <w:bottom w:val="nil"/>
              <w:right w:val="nil"/>
            </w:tcBorders>
            <w:shd w:val="clear" w:color="auto" w:fill="auto"/>
            <w:vAlign w:val="bottom"/>
          </w:tcPr>
          <w:p w14:paraId="74831FAC"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ever_smoked_glm</w:t>
            </w:r>
            <w:proofErr w:type="spellEnd"/>
          </w:p>
        </w:tc>
        <w:tc>
          <w:tcPr>
            <w:tcW w:w="742" w:type="pct"/>
            <w:tcBorders>
              <w:top w:val="nil"/>
              <w:left w:val="nil"/>
              <w:bottom w:val="nil"/>
              <w:right w:val="nil"/>
            </w:tcBorders>
            <w:shd w:val="clear" w:color="auto" w:fill="auto"/>
            <w:vAlign w:val="bottom"/>
          </w:tcPr>
          <w:p w14:paraId="65630963"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TRUE / FALSE</w:t>
            </w:r>
          </w:p>
        </w:tc>
        <w:tc>
          <w:tcPr>
            <w:tcW w:w="1651" w:type="pct"/>
            <w:tcBorders>
              <w:top w:val="nil"/>
              <w:left w:val="nil"/>
              <w:bottom w:val="nil"/>
              <w:right w:val="nil"/>
            </w:tcBorders>
            <w:shd w:val="clear" w:color="auto" w:fill="auto"/>
            <w:vAlign w:val="bottom"/>
          </w:tcPr>
          <w:p w14:paraId="236BF734"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(yob-1950) + (yob-</w:t>
            </w:r>
            <w:proofErr w:type="gramStart"/>
            <w:r w:rsidRPr="00AE1D54">
              <w:rPr>
                <w:rFonts w:asciiTheme="majorHAnsi" w:hAnsiTheme="majorHAnsi" w:cstheme="majorHAnsi"/>
                <w:color w:val="000000" w:themeColor="text1"/>
                <w:sz w:val="16"/>
                <w:szCs w:val="16"/>
              </w:rPr>
              <w:t>1950)^</w:t>
            </w:r>
            <w:proofErr w:type="gramEnd"/>
            <w:r w:rsidRPr="00AE1D54">
              <w:rPr>
                <w:rFonts w:asciiTheme="majorHAnsi" w:hAnsiTheme="majorHAnsi" w:cstheme="majorHAnsi"/>
                <w:color w:val="000000" w:themeColor="text1"/>
                <w:sz w:val="16"/>
                <w:szCs w:val="16"/>
              </w:rPr>
              <w:t>2 + (yob-1950)^3</w:t>
            </w:r>
          </w:p>
        </w:tc>
        <w:tc>
          <w:tcPr>
            <w:tcW w:w="288" w:type="pct"/>
            <w:tcBorders>
              <w:top w:val="nil"/>
              <w:left w:val="nil"/>
              <w:bottom w:val="nil"/>
              <w:right w:val="nil"/>
            </w:tcBorders>
            <w:shd w:val="clear" w:color="auto" w:fill="auto"/>
            <w:vAlign w:val="bottom"/>
          </w:tcPr>
          <w:p w14:paraId="7FF7505E"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11678</w:t>
            </w:r>
          </w:p>
        </w:tc>
      </w:tr>
      <w:tr w:rsidR="00E24790" w:rsidRPr="00AE1D54" w14:paraId="07177CA2" w14:textId="77777777" w:rsidTr="00AC6BD6">
        <w:trPr>
          <w:trHeight w:val="300"/>
        </w:trPr>
        <w:tc>
          <w:tcPr>
            <w:tcW w:w="762" w:type="pct"/>
            <w:tcBorders>
              <w:top w:val="nil"/>
              <w:left w:val="nil"/>
              <w:bottom w:val="nil"/>
              <w:right w:val="nil"/>
            </w:tcBorders>
            <w:shd w:val="clear" w:color="auto" w:fill="auto"/>
            <w:vAlign w:val="bottom"/>
          </w:tcPr>
          <w:p w14:paraId="35DDFA30"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Blood Lipids</w:t>
            </w:r>
          </w:p>
        </w:tc>
        <w:tc>
          <w:tcPr>
            <w:tcW w:w="870" w:type="pct"/>
            <w:tcBorders>
              <w:top w:val="nil"/>
              <w:left w:val="nil"/>
              <w:bottom w:val="nil"/>
              <w:right w:val="nil"/>
            </w:tcBorders>
            <w:shd w:val="clear" w:color="auto" w:fill="auto"/>
            <w:vAlign w:val="bottom"/>
          </w:tcPr>
          <w:p w14:paraId="1FD3D88F"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LDL cholesterol</w:t>
            </w:r>
          </w:p>
        </w:tc>
        <w:tc>
          <w:tcPr>
            <w:tcW w:w="687" w:type="pct"/>
            <w:tcBorders>
              <w:top w:val="nil"/>
              <w:left w:val="nil"/>
              <w:bottom w:val="nil"/>
              <w:right w:val="nil"/>
            </w:tcBorders>
            <w:shd w:val="clear" w:color="auto" w:fill="auto"/>
            <w:vAlign w:val="bottom"/>
          </w:tcPr>
          <w:p w14:paraId="1D27A69D"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ldl</w:t>
            </w:r>
            <w:proofErr w:type="spellEnd"/>
          </w:p>
        </w:tc>
        <w:tc>
          <w:tcPr>
            <w:tcW w:w="742" w:type="pct"/>
            <w:tcBorders>
              <w:top w:val="nil"/>
              <w:left w:val="nil"/>
              <w:bottom w:val="nil"/>
              <w:right w:val="nil"/>
            </w:tcBorders>
            <w:shd w:val="clear" w:color="auto" w:fill="auto"/>
            <w:vAlign w:val="bottom"/>
          </w:tcPr>
          <w:p w14:paraId="152FA583"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mmol/L</w:t>
            </w:r>
          </w:p>
        </w:tc>
        <w:tc>
          <w:tcPr>
            <w:tcW w:w="1651" w:type="pct"/>
            <w:tcBorders>
              <w:top w:val="nil"/>
              <w:left w:val="nil"/>
              <w:bottom w:val="nil"/>
              <w:right w:val="nil"/>
            </w:tcBorders>
            <w:shd w:val="clear" w:color="auto" w:fill="auto"/>
            <w:vAlign w:val="bottom"/>
          </w:tcPr>
          <w:p w14:paraId="5FED4936"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age + age^2</w:t>
            </w:r>
          </w:p>
        </w:tc>
        <w:tc>
          <w:tcPr>
            <w:tcW w:w="288" w:type="pct"/>
            <w:tcBorders>
              <w:top w:val="nil"/>
              <w:left w:val="nil"/>
              <w:bottom w:val="nil"/>
              <w:right w:val="nil"/>
            </w:tcBorders>
            <w:shd w:val="clear" w:color="auto" w:fill="auto"/>
            <w:vAlign w:val="bottom"/>
          </w:tcPr>
          <w:p w14:paraId="2D1E866B"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11459</w:t>
            </w:r>
          </w:p>
        </w:tc>
      </w:tr>
      <w:tr w:rsidR="00E24790" w:rsidRPr="00AE1D54" w14:paraId="2123EEB1" w14:textId="77777777" w:rsidTr="00AC6BD6">
        <w:trPr>
          <w:trHeight w:val="300"/>
        </w:trPr>
        <w:tc>
          <w:tcPr>
            <w:tcW w:w="762" w:type="pct"/>
            <w:tcBorders>
              <w:top w:val="nil"/>
              <w:left w:val="nil"/>
              <w:bottom w:val="nil"/>
              <w:right w:val="nil"/>
            </w:tcBorders>
            <w:shd w:val="clear" w:color="auto" w:fill="auto"/>
            <w:vAlign w:val="bottom"/>
          </w:tcPr>
          <w:p w14:paraId="2B150A73"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Blood Lipids</w:t>
            </w:r>
          </w:p>
        </w:tc>
        <w:tc>
          <w:tcPr>
            <w:tcW w:w="870" w:type="pct"/>
            <w:tcBorders>
              <w:top w:val="nil"/>
              <w:left w:val="nil"/>
              <w:bottom w:val="nil"/>
              <w:right w:val="nil"/>
            </w:tcBorders>
            <w:shd w:val="clear" w:color="auto" w:fill="auto"/>
            <w:vAlign w:val="bottom"/>
          </w:tcPr>
          <w:p w14:paraId="613EAF13"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Triglycerides</w:t>
            </w:r>
          </w:p>
        </w:tc>
        <w:tc>
          <w:tcPr>
            <w:tcW w:w="687" w:type="pct"/>
            <w:tcBorders>
              <w:top w:val="nil"/>
              <w:left w:val="nil"/>
              <w:bottom w:val="nil"/>
              <w:right w:val="nil"/>
            </w:tcBorders>
            <w:shd w:val="clear" w:color="auto" w:fill="auto"/>
            <w:vAlign w:val="bottom"/>
          </w:tcPr>
          <w:p w14:paraId="3CCF48D0"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proofErr w:type="gramStart"/>
            <w:r w:rsidRPr="00AE1D54">
              <w:rPr>
                <w:rFonts w:asciiTheme="majorHAnsi" w:hAnsiTheme="majorHAnsi" w:cstheme="majorHAnsi"/>
                <w:color w:val="000000" w:themeColor="text1"/>
                <w:sz w:val="16"/>
                <w:szCs w:val="16"/>
              </w:rPr>
              <w:t>log.triglyc</w:t>
            </w:r>
            <w:proofErr w:type="spellEnd"/>
            <w:proofErr w:type="gramEnd"/>
          </w:p>
        </w:tc>
        <w:tc>
          <w:tcPr>
            <w:tcW w:w="742" w:type="pct"/>
            <w:tcBorders>
              <w:top w:val="nil"/>
              <w:left w:val="nil"/>
              <w:bottom w:val="nil"/>
              <w:right w:val="nil"/>
            </w:tcBorders>
            <w:shd w:val="clear" w:color="auto" w:fill="auto"/>
            <w:vAlign w:val="bottom"/>
          </w:tcPr>
          <w:p w14:paraId="77293664"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log(mmol/L)</w:t>
            </w:r>
          </w:p>
        </w:tc>
        <w:tc>
          <w:tcPr>
            <w:tcW w:w="1651" w:type="pct"/>
            <w:tcBorders>
              <w:top w:val="nil"/>
              <w:left w:val="nil"/>
              <w:bottom w:val="nil"/>
              <w:right w:val="nil"/>
            </w:tcBorders>
            <w:shd w:val="clear" w:color="auto" w:fill="auto"/>
            <w:vAlign w:val="bottom"/>
          </w:tcPr>
          <w:p w14:paraId="03188A93"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age + age^2</w:t>
            </w:r>
          </w:p>
        </w:tc>
        <w:tc>
          <w:tcPr>
            <w:tcW w:w="288" w:type="pct"/>
            <w:tcBorders>
              <w:top w:val="nil"/>
              <w:left w:val="nil"/>
              <w:bottom w:val="nil"/>
              <w:right w:val="nil"/>
            </w:tcBorders>
            <w:shd w:val="clear" w:color="auto" w:fill="auto"/>
            <w:vAlign w:val="bottom"/>
          </w:tcPr>
          <w:p w14:paraId="5F88E0C6"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11678</w:t>
            </w:r>
          </w:p>
        </w:tc>
      </w:tr>
      <w:tr w:rsidR="00E24790" w:rsidRPr="00AE1D54" w14:paraId="76A34DFB" w14:textId="77777777" w:rsidTr="00AC6BD6">
        <w:trPr>
          <w:trHeight w:val="300"/>
        </w:trPr>
        <w:tc>
          <w:tcPr>
            <w:tcW w:w="762" w:type="pct"/>
            <w:tcBorders>
              <w:top w:val="nil"/>
              <w:left w:val="nil"/>
              <w:bottom w:val="nil"/>
              <w:right w:val="nil"/>
            </w:tcBorders>
            <w:shd w:val="clear" w:color="auto" w:fill="auto"/>
            <w:vAlign w:val="bottom"/>
          </w:tcPr>
          <w:p w14:paraId="7A88AFD9"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Blood Lipids</w:t>
            </w:r>
          </w:p>
        </w:tc>
        <w:tc>
          <w:tcPr>
            <w:tcW w:w="870" w:type="pct"/>
            <w:tcBorders>
              <w:top w:val="nil"/>
              <w:left w:val="nil"/>
              <w:bottom w:val="nil"/>
              <w:right w:val="nil"/>
            </w:tcBorders>
            <w:shd w:val="clear" w:color="auto" w:fill="auto"/>
            <w:vAlign w:val="bottom"/>
          </w:tcPr>
          <w:p w14:paraId="68CF16D5"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Total cholesterol</w:t>
            </w:r>
          </w:p>
        </w:tc>
        <w:tc>
          <w:tcPr>
            <w:tcW w:w="687" w:type="pct"/>
            <w:tcBorders>
              <w:top w:val="nil"/>
              <w:left w:val="nil"/>
              <w:bottom w:val="nil"/>
              <w:right w:val="nil"/>
            </w:tcBorders>
            <w:shd w:val="clear" w:color="auto" w:fill="auto"/>
            <w:vAlign w:val="bottom"/>
          </w:tcPr>
          <w:p w14:paraId="6BABE515"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tot_chol</w:t>
            </w:r>
            <w:proofErr w:type="spellEnd"/>
          </w:p>
        </w:tc>
        <w:tc>
          <w:tcPr>
            <w:tcW w:w="742" w:type="pct"/>
            <w:tcBorders>
              <w:top w:val="nil"/>
              <w:left w:val="nil"/>
              <w:bottom w:val="nil"/>
              <w:right w:val="nil"/>
            </w:tcBorders>
            <w:shd w:val="clear" w:color="auto" w:fill="auto"/>
            <w:vAlign w:val="bottom"/>
          </w:tcPr>
          <w:p w14:paraId="3C805290"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mmol/L</w:t>
            </w:r>
          </w:p>
        </w:tc>
        <w:tc>
          <w:tcPr>
            <w:tcW w:w="1651" w:type="pct"/>
            <w:tcBorders>
              <w:top w:val="nil"/>
              <w:left w:val="nil"/>
              <w:bottom w:val="nil"/>
              <w:right w:val="nil"/>
            </w:tcBorders>
            <w:shd w:val="clear" w:color="auto" w:fill="auto"/>
            <w:vAlign w:val="bottom"/>
          </w:tcPr>
          <w:p w14:paraId="21EC2293"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age + age^2</w:t>
            </w:r>
          </w:p>
        </w:tc>
        <w:tc>
          <w:tcPr>
            <w:tcW w:w="288" w:type="pct"/>
            <w:tcBorders>
              <w:top w:val="nil"/>
              <w:left w:val="nil"/>
              <w:bottom w:val="nil"/>
              <w:right w:val="nil"/>
            </w:tcBorders>
            <w:shd w:val="clear" w:color="auto" w:fill="auto"/>
            <w:vAlign w:val="bottom"/>
          </w:tcPr>
          <w:p w14:paraId="7AF72715"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11690</w:t>
            </w:r>
          </w:p>
        </w:tc>
      </w:tr>
      <w:tr w:rsidR="00E24790" w:rsidRPr="00AE1D54" w14:paraId="288FB93B" w14:textId="77777777" w:rsidTr="00AC6BD6">
        <w:trPr>
          <w:trHeight w:val="300"/>
        </w:trPr>
        <w:tc>
          <w:tcPr>
            <w:tcW w:w="762" w:type="pct"/>
            <w:tcBorders>
              <w:top w:val="nil"/>
              <w:left w:val="nil"/>
              <w:bottom w:val="nil"/>
              <w:right w:val="nil"/>
            </w:tcBorders>
            <w:shd w:val="clear" w:color="auto" w:fill="auto"/>
            <w:vAlign w:val="bottom"/>
          </w:tcPr>
          <w:p w14:paraId="71F3920A"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Blood Lipids</w:t>
            </w:r>
          </w:p>
        </w:tc>
        <w:tc>
          <w:tcPr>
            <w:tcW w:w="870" w:type="pct"/>
            <w:tcBorders>
              <w:top w:val="nil"/>
              <w:left w:val="nil"/>
              <w:bottom w:val="nil"/>
              <w:right w:val="nil"/>
            </w:tcBorders>
            <w:shd w:val="clear" w:color="auto" w:fill="auto"/>
            <w:vAlign w:val="bottom"/>
          </w:tcPr>
          <w:p w14:paraId="28366D37"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HDL cholesterol</w:t>
            </w:r>
          </w:p>
        </w:tc>
        <w:tc>
          <w:tcPr>
            <w:tcW w:w="687" w:type="pct"/>
            <w:tcBorders>
              <w:top w:val="nil"/>
              <w:left w:val="nil"/>
              <w:bottom w:val="nil"/>
              <w:right w:val="nil"/>
            </w:tcBorders>
            <w:shd w:val="clear" w:color="auto" w:fill="auto"/>
            <w:vAlign w:val="bottom"/>
          </w:tcPr>
          <w:p w14:paraId="4B0899E4"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hdl</w:t>
            </w:r>
            <w:proofErr w:type="spellEnd"/>
          </w:p>
        </w:tc>
        <w:tc>
          <w:tcPr>
            <w:tcW w:w="742" w:type="pct"/>
            <w:tcBorders>
              <w:top w:val="nil"/>
              <w:left w:val="nil"/>
              <w:bottom w:val="nil"/>
              <w:right w:val="nil"/>
            </w:tcBorders>
            <w:shd w:val="clear" w:color="auto" w:fill="auto"/>
            <w:vAlign w:val="bottom"/>
          </w:tcPr>
          <w:p w14:paraId="2404A189"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mmol/L</w:t>
            </w:r>
          </w:p>
        </w:tc>
        <w:tc>
          <w:tcPr>
            <w:tcW w:w="1651" w:type="pct"/>
            <w:tcBorders>
              <w:top w:val="nil"/>
              <w:left w:val="nil"/>
              <w:bottom w:val="nil"/>
              <w:right w:val="nil"/>
            </w:tcBorders>
            <w:shd w:val="clear" w:color="auto" w:fill="auto"/>
            <w:vAlign w:val="bottom"/>
          </w:tcPr>
          <w:p w14:paraId="60B5D936"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age + age^2</w:t>
            </w:r>
          </w:p>
        </w:tc>
        <w:tc>
          <w:tcPr>
            <w:tcW w:w="288" w:type="pct"/>
            <w:tcBorders>
              <w:top w:val="nil"/>
              <w:left w:val="nil"/>
              <w:bottom w:val="nil"/>
              <w:right w:val="nil"/>
            </w:tcBorders>
            <w:shd w:val="clear" w:color="auto" w:fill="auto"/>
            <w:vAlign w:val="bottom"/>
          </w:tcPr>
          <w:p w14:paraId="3B5AE1A8"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11760</w:t>
            </w:r>
          </w:p>
        </w:tc>
      </w:tr>
      <w:tr w:rsidR="00E24790" w:rsidRPr="00AE1D54" w14:paraId="126D9CEB" w14:textId="77777777" w:rsidTr="00AC6BD6">
        <w:trPr>
          <w:trHeight w:val="300"/>
        </w:trPr>
        <w:tc>
          <w:tcPr>
            <w:tcW w:w="762" w:type="pct"/>
            <w:tcBorders>
              <w:top w:val="nil"/>
              <w:left w:val="nil"/>
              <w:bottom w:val="nil"/>
              <w:right w:val="nil"/>
            </w:tcBorders>
            <w:shd w:val="clear" w:color="auto" w:fill="auto"/>
            <w:vAlign w:val="bottom"/>
          </w:tcPr>
          <w:p w14:paraId="2CC1E60D"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Blood pressure</w:t>
            </w:r>
          </w:p>
        </w:tc>
        <w:tc>
          <w:tcPr>
            <w:tcW w:w="870" w:type="pct"/>
            <w:tcBorders>
              <w:top w:val="nil"/>
              <w:left w:val="nil"/>
              <w:bottom w:val="nil"/>
              <w:right w:val="nil"/>
            </w:tcBorders>
            <w:shd w:val="clear" w:color="auto" w:fill="auto"/>
            <w:vAlign w:val="bottom"/>
          </w:tcPr>
          <w:p w14:paraId="25A33D7E"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Diastolic blood pressure</w:t>
            </w:r>
          </w:p>
        </w:tc>
        <w:tc>
          <w:tcPr>
            <w:tcW w:w="687" w:type="pct"/>
            <w:tcBorders>
              <w:top w:val="nil"/>
              <w:left w:val="nil"/>
              <w:bottom w:val="nil"/>
              <w:right w:val="nil"/>
            </w:tcBorders>
            <w:shd w:val="clear" w:color="auto" w:fill="auto"/>
            <w:vAlign w:val="bottom"/>
          </w:tcPr>
          <w:p w14:paraId="027ACA2B"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bp_dia</w:t>
            </w:r>
            <w:proofErr w:type="spellEnd"/>
          </w:p>
        </w:tc>
        <w:tc>
          <w:tcPr>
            <w:tcW w:w="742" w:type="pct"/>
            <w:tcBorders>
              <w:top w:val="nil"/>
              <w:left w:val="nil"/>
              <w:bottom w:val="nil"/>
              <w:right w:val="nil"/>
            </w:tcBorders>
            <w:shd w:val="clear" w:color="auto" w:fill="auto"/>
            <w:vAlign w:val="bottom"/>
          </w:tcPr>
          <w:p w14:paraId="3BAA7A5C"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mmHg</w:t>
            </w:r>
          </w:p>
        </w:tc>
        <w:tc>
          <w:tcPr>
            <w:tcW w:w="1651" w:type="pct"/>
            <w:tcBorders>
              <w:top w:val="nil"/>
              <w:left w:val="nil"/>
              <w:bottom w:val="nil"/>
              <w:right w:val="nil"/>
            </w:tcBorders>
            <w:shd w:val="clear" w:color="auto" w:fill="auto"/>
            <w:vAlign w:val="bottom"/>
          </w:tcPr>
          <w:p w14:paraId="1624F1BF"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 xml:space="preserve">sex + age + age^2 + </w:t>
            </w:r>
            <w:proofErr w:type="spellStart"/>
            <w:r w:rsidRPr="00AE1D54">
              <w:rPr>
                <w:rFonts w:asciiTheme="majorHAnsi" w:hAnsiTheme="majorHAnsi" w:cstheme="majorHAnsi"/>
                <w:color w:val="000000" w:themeColor="text1"/>
                <w:sz w:val="16"/>
                <w:szCs w:val="16"/>
              </w:rPr>
              <w:t>bmi</w:t>
            </w:r>
            <w:proofErr w:type="spellEnd"/>
          </w:p>
        </w:tc>
        <w:tc>
          <w:tcPr>
            <w:tcW w:w="288" w:type="pct"/>
            <w:tcBorders>
              <w:top w:val="nil"/>
              <w:left w:val="nil"/>
              <w:bottom w:val="nil"/>
              <w:right w:val="nil"/>
            </w:tcBorders>
            <w:shd w:val="clear" w:color="auto" w:fill="auto"/>
            <w:vAlign w:val="bottom"/>
          </w:tcPr>
          <w:p w14:paraId="225ADA18"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11655</w:t>
            </w:r>
          </w:p>
        </w:tc>
      </w:tr>
      <w:tr w:rsidR="00E24790" w:rsidRPr="00AE1D54" w14:paraId="78F7E7FA" w14:textId="77777777" w:rsidTr="00AC6BD6">
        <w:trPr>
          <w:trHeight w:val="300"/>
        </w:trPr>
        <w:tc>
          <w:tcPr>
            <w:tcW w:w="762" w:type="pct"/>
            <w:tcBorders>
              <w:top w:val="nil"/>
              <w:left w:val="nil"/>
              <w:bottom w:val="nil"/>
              <w:right w:val="nil"/>
            </w:tcBorders>
            <w:shd w:val="clear" w:color="auto" w:fill="auto"/>
            <w:vAlign w:val="bottom"/>
          </w:tcPr>
          <w:p w14:paraId="1229A0D1"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Blood pressure</w:t>
            </w:r>
          </w:p>
        </w:tc>
        <w:tc>
          <w:tcPr>
            <w:tcW w:w="870" w:type="pct"/>
            <w:tcBorders>
              <w:top w:val="nil"/>
              <w:left w:val="nil"/>
              <w:bottom w:val="nil"/>
              <w:right w:val="nil"/>
            </w:tcBorders>
            <w:shd w:val="clear" w:color="auto" w:fill="auto"/>
            <w:vAlign w:val="bottom"/>
          </w:tcPr>
          <w:p w14:paraId="620B234D"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Systolic blood pressure</w:t>
            </w:r>
          </w:p>
        </w:tc>
        <w:tc>
          <w:tcPr>
            <w:tcW w:w="687" w:type="pct"/>
            <w:tcBorders>
              <w:top w:val="nil"/>
              <w:left w:val="nil"/>
              <w:bottom w:val="nil"/>
              <w:right w:val="nil"/>
            </w:tcBorders>
            <w:shd w:val="clear" w:color="auto" w:fill="auto"/>
            <w:vAlign w:val="bottom"/>
          </w:tcPr>
          <w:p w14:paraId="605635B6"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bp_sys</w:t>
            </w:r>
            <w:proofErr w:type="spellEnd"/>
          </w:p>
        </w:tc>
        <w:tc>
          <w:tcPr>
            <w:tcW w:w="742" w:type="pct"/>
            <w:tcBorders>
              <w:top w:val="nil"/>
              <w:left w:val="nil"/>
              <w:bottom w:val="nil"/>
              <w:right w:val="nil"/>
            </w:tcBorders>
            <w:shd w:val="clear" w:color="auto" w:fill="auto"/>
            <w:vAlign w:val="bottom"/>
          </w:tcPr>
          <w:p w14:paraId="665760CE"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mmHg</w:t>
            </w:r>
          </w:p>
        </w:tc>
        <w:tc>
          <w:tcPr>
            <w:tcW w:w="1651" w:type="pct"/>
            <w:tcBorders>
              <w:top w:val="nil"/>
              <w:left w:val="nil"/>
              <w:bottom w:val="nil"/>
              <w:right w:val="nil"/>
            </w:tcBorders>
            <w:shd w:val="clear" w:color="auto" w:fill="auto"/>
            <w:vAlign w:val="bottom"/>
          </w:tcPr>
          <w:p w14:paraId="4129A8EF"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 xml:space="preserve">sex + age + age^2 + </w:t>
            </w:r>
            <w:proofErr w:type="spellStart"/>
            <w:r w:rsidRPr="00AE1D54">
              <w:rPr>
                <w:rFonts w:asciiTheme="majorHAnsi" w:hAnsiTheme="majorHAnsi" w:cstheme="majorHAnsi"/>
                <w:color w:val="000000" w:themeColor="text1"/>
                <w:sz w:val="16"/>
                <w:szCs w:val="16"/>
              </w:rPr>
              <w:t>bmi</w:t>
            </w:r>
            <w:proofErr w:type="spellEnd"/>
          </w:p>
        </w:tc>
        <w:tc>
          <w:tcPr>
            <w:tcW w:w="288" w:type="pct"/>
            <w:tcBorders>
              <w:top w:val="nil"/>
              <w:left w:val="nil"/>
              <w:bottom w:val="nil"/>
              <w:right w:val="nil"/>
            </w:tcBorders>
            <w:shd w:val="clear" w:color="auto" w:fill="auto"/>
            <w:vAlign w:val="bottom"/>
          </w:tcPr>
          <w:p w14:paraId="7642BA74"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11657</w:t>
            </w:r>
          </w:p>
        </w:tc>
      </w:tr>
      <w:tr w:rsidR="00E24790" w:rsidRPr="00AE1D54" w14:paraId="6C23AF87" w14:textId="77777777" w:rsidTr="00AC6BD6">
        <w:trPr>
          <w:trHeight w:val="300"/>
        </w:trPr>
        <w:tc>
          <w:tcPr>
            <w:tcW w:w="762" w:type="pct"/>
            <w:tcBorders>
              <w:top w:val="nil"/>
              <w:left w:val="nil"/>
              <w:bottom w:val="nil"/>
              <w:right w:val="nil"/>
            </w:tcBorders>
            <w:shd w:val="clear" w:color="auto" w:fill="auto"/>
            <w:vAlign w:val="bottom"/>
          </w:tcPr>
          <w:p w14:paraId="598B5B21"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Cognition</w:t>
            </w:r>
          </w:p>
        </w:tc>
        <w:tc>
          <w:tcPr>
            <w:tcW w:w="870" w:type="pct"/>
            <w:tcBorders>
              <w:top w:val="nil"/>
              <w:left w:val="nil"/>
              <w:bottom w:val="nil"/>
              <w:right w:val="nil"/>
            </w:tcBorders>
            <w:shd w:val="clear" w:color="auto" w:fill="auto"/>
            <w:vAlign w:val="bottom"/>
          </w:tcPr>
          <w:p w14:paraId="5233DDD3"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Education attained</w:t>
            </w:r>
          </w:p>
        </w:tc>
        <w:tc>
          <w:tcPr>
            <w:tcW w:w="687" w:type="pct"/>
            <w:tcBorders>
              <w:top w:val="nil"/>
              <w:left w:val="nil"/>
              <w:bottom w:val="nil"/>
              <w:right w:val="nil"/>
            </w:tcBorders>
            <w:shd w:val="clear" w:color="auto" w:fill="auto"/>
            <w:vAlign w:val="bottom"/>
          </w:tcPr>
          <w:p w14:paraId="2AD1C384"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edu</w:t>
            </w:r>
            <w:proofErr w:type="spellEnd"/>
          </w:p>
        </w:tc>
        <w:tc>
          <w:tcPr>
            <w:tcW w:w="742" w:type="pct"/>
            <w:tcBorders>
              <w:top w:val="nil"/>
              <w:left w:val="nil"/>
              <w:bottom w:val="nil"/>
              <w:right w:val="nil"/>
            </w:tcBorders>
            <w:shd w:val="clear" w:color="auto" w:fill="auto"/>
            <w:vAlign w:val="bottom"/>
          </w:tcPr>
          <w:p w14:paraId="4C466CF4"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years</w:t>
            </w:r>
          </w:p>
        </w:tc>
        <w:tc>
          <w:tcPr>
            <w:tcW w:w="1651" w:type="pct"/>
            <w:tcBorders>
              <w:top w:val="nil"/>
              <w:left w:val="nil"/>
              <w:bottom w:val="nil"/>
              <w:right w:val="nil"/>
            </w:tcBorders>
            <w:shd w:val="clear" w:color="auto" w:fill="auto"/>
            <w:vAlign w:val="bottom"/>
          </w:tcPr>
          <w:p w14:paraId="44CEA9DA"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(yob-1950) + (yob-</w:t>
            </w:r>
            <w:proofErr w:type="gramStart"/>
            <w:r w:rsidRPr="00AE1D54">
              <w:rPr>
                <w:rFonts w:asciiTheme="majorHAnsi" w:hAnsiTheme="majorHAnsi" w:cstheme="majorHAnsi"/>
                <w:color w:val="000000" w:themeColor="text1"/>
                <w:sz w:val="16"/>
                <w:szCs w:val="16"/>
              </w:rPr>
              <w:t>1950)^</w:t>
            </w:r>
            <w:proofErr w:type="gramEnd"/>
            <w:r w:rsidRPr="00AE1D54">
              <w:rPr>
                <w:rFonts w:asciiTheme="majorHAnsi" w:hAnsiTheme="majorHAnsi" w:cstheme="majorHAnsi"/>
                <w:color w:val="000000" w:themeColor="text1"/>
                <w:sz w:val="16"/>
                <w:szCs w:val="16"/>
              </w:rPr>
              <w:t>2 + (yob-1950)^3</w:t>
            </w:r>
          </w:p>
        </w:tc>
        <w:tc>
          <w:tcPr>
            <w:tcW w:w="288" w:type="pct"/>
            <w:tcBorders>
              <w:top w:val="nil"/>
              <w:left w:val="nil"/>
              <w:bottom w:val="nil"/>
              <w:right w:val="nil"/>
            </w:tcBorders>
            <w:shd w:val="clear" w:color="auto" w:fill="auto"/>
            <w:vAlign w:val="bottom"/>
          </w:tcPr>
          <w:p w14:paraId="4756E889"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7251</w:t>
            </w:r>
          </w:p>
        </w:tc>
      </w:tr>
      <w:tr w:rsidR="00E24790" w:rsidRPr="00AE1D54" w14:paraId="64B744EC" w14:textId="77777777" w:rsidTr="00AC6BD6">
        <w:trPr>
          <w:trHeight w:val="300"/>
        </w:trPr>
        <w:tc>
          <w:tcPr>
            <w:tcW w:w="762" w:type="pct"/>
            <w:tcBorders>
              <w:top w:val="nil"/>
              <w:left w:val="nil"/>
              <w:bottom w:val="nil"/>
              <w:right w:val="nil"/>
            </w:tcBorders>
            <w:shd w:val="clear" w:color="auto" w:fill="auto"/>
            <w:vAlign w:val="bottom"/>
          </w:tcPr>
          <w:p w14:paraId="3011AD21"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Electrocardiography</w:t>
            </w:r>
          </w:p>
        </w:tc>
        <w:tc>
          <w:tcPr>
            <w:tcW w:w="870" w:type="pct"/>
            <w:tcBorders>
              <w:top w:val="nil"/>
              <w:left w:val="nil"/>
              <w:bottom w:val="nil"/>
              <w:right w:val="nil"/>
            </w:tcBorders>
            <w:shd w:val="clear" w:color="auto" w:fill="auto"/>
            <w:vAlign w:val="bottom"/>
          </w:tcPr>
          <w:p w14:paraId="312B91CC"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Heart rate</w:t>
            </w:r>
          </w:p>
        </w:tc>
        <w:tc>
          <w:tcPr>
            <w:tcW w:w="687" w:type="pct"/>
            <w:tcBorders>
              <w:top w:val="nil"/>
              <w:left w:val="nil"/>
              <w:bottom w:val="nil"/>
              <w:right w:val="nil"/>
            </w:tcBorders>
            <w:shd w:val="clear" w:color="auto" w:fill="auto"/>
            <w:vAlign w:val="bottom"/>
          </w:tcPr>
          <w:p w14:paraId="6F850B89"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hr</w:t>
            </w:r>
            <w:proofErr w:type="spellEnd"/>
          </w:p>
        </w:tc>
        <w:tc>
          <w:tcPr>
            <w:tcW w:w="742" w:type="pct"/>
            <w:tcBorders>
              <w:top w:val="nil"/>
              <w:left w:val="nil"/>
              <w:bottom w:val="nil"/>
              <w:right w:val="nil"/>
            </w:tcBorders>
            <w:shd w:val="clear" w:color="auto" w:fill="auto"/>
            <w:vAlign w:val="bottom"/>
          </w:tcPr>
          <w:p w14:paraId="5E186B19"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bpm</w:t>
            </w:r>
          </w:p>
        </w:tc>
        <w:tc>
          <w:tcPr>
            <w:tcW w:w="1651" w:type="pct"/>
            <w:tcBorders>
              <w:top w:val="nil"/>
              <w:left w:val="nil"/>
              <w:bottom w:val="nil"/>
              <w:right w:val="nil"/>
            </w:tcBorders>
            <w:shd w:val="clear" w:color="auto" w:fill="auto"/>
            <w:vAlign w:val="bottom"/>
          </w:tcPr>
          <w:p w14:paraId="69D18050"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age + age^2</w:t>
            </w:r>
          </w:p>
        </w:tc>
        <w:tc>
          <w:tcPr>
            <w:tcW w:w="288" w:type="pct"/>
            <w:tcBorders>
              <w:top w:val="nil"/>
              <w:left w:val="nil"/>
              <w:bottom w:val="nil"/>
              <w:right w:val="nil"/>
            </w:tcBorders>
            <w:shd w:val="clear" w:color="auto" w:fill="auto"/>
            <w:vAlign w:val="bottom"/>
          </w:tcPr>
          <w:p w14:paraId="25345BEC"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9735</w:t>
            </w:r>
          </w:p>
        </w:tc>
      </w:tr>
      <w:tr w:rsidR="00E24790" w:rsidRPr="00AE1D54" w14:paraId="0CE77829" w14:textId="77777777" w:rsidTr="00AC6BD6">
        <w:trPr>
          <w:trHeight w:val="300"/>
        </w:trPr>
        <w:tc>
          <w:tcPr>
            <w:tcW w:w="762" w:type="pct"/>
            <w:tcBorders>
              <w:top w:val="nil"/>
              <w:left w:val="nil"/>
              <w:bottom w:val="nil"/>
              <w:right w:val="nil"/>
            </w:tcBorders>
            <w:shd w:val="clear" w:color="auto" w:fill="auto"/>
            <w:vAlign w:val="bottom"/>
          </w:tcPr>
          <w:p w14:paraId="65DC09EB"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Female reproductive</w:t>
            </w:r>
          </w:p>
        </w:tc>
        <w:tc>
          <w:tcPr>
            <w:tcW w:w="870" w:type="pct"/>
            <w:tcBorders>
              <w:top w:val="nil"/>
              <w:left w:val="nil"/>
              <w:bottom w:val="nil"/>
              <w:right w:val="nil"/>
            </w:tcBorders>
            <w:shd w:val="clear" w:color="auto" w:fill="auto"/>
            <w:vAlign w:val="bottom"/>
          </w:tcPr>
          <w:p w14:paraId="457563B2"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Age at menarche</w:t>
            </w:r>
          </w:p>
        </w:tc>
        <w:tc>
          <w:tcPr>
            <w:tcW w:w="687" w:type="pct"/>
            <w:tcBorders>
              <w:top w:val="nil"/>
              <w:left w:val="nil"/>
              <w:bottom w:val="nil"/>
              <w:right w:val="nil"/>
            </w:tcBorders>
            <w:shd w:val="clear" w:color="auto" w:fill="auto"/>
            <w:vAlign w:val="bottom"/>
          </w:tcPr>
          <w:p w14:paraId="437E9003"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age_menarche</w:t>
            </w:r>
            <w:proofErr w:type="spellEnd"/>
          </w:p>
        </w:tc>
        <w:tc>
          <w:tcPr>
            <w:tcW w:w="742" w:type="pct"/>
            <w:tcBorders>
              <w:top w:val="nil"/>
              <w:left w:val="nil"/>
              <w:bottom w:val="nil"/>
              <w:right w:val="nil"/>
            </w:tcBorders>
            <w:shd w:val="clear" w:color="auto" w:fill="auto"/>
            <w:vAlign w:val="bottom"/>
          </w:tcPr>
          <w:p w14:paraId="69678F97"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years</w:t>
            </w:r>
          </w:p>
        </w:tc>
        <w:tc>
          <w:tcPr>
            <w:tcW w:w="1651" w:type="pct"/>
            <w:tcBorders>
              <w:top w:val="nil"/>
              <w:left w:val="nil"/>
              <w:bottom w:val="nil"/>
              <w:right w:val="nil"/>
            </w:tcBorders>
            <w:shd w:val="clear" w:color="auto" w:fill="auto"/>
            <w:vAlign w:val="bottom"/>
          </w:tcPr>
          <w:p w14:paraId="44FC7F27"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(yob-1950) + (yob-</w:t>
            </w:r>
            <w:proofErr w:type="gramStart"/>
            <w:r w:rsidRPr="00AE1D54">
              <w:rPr>
                <w:rFonts w:asciiTheme="majorHAnsi" w:hAnsiTheme="majorHAnsi" w:cstheme="majorHAnsi"/>
                <w:color w:val="000000" w:themeColor="text1"/>
                <w:sz w:val="16"/>
                <w:szCs w:val="16"/>
              </w:rPr>
              <w:t>1950)^</w:t>
            </w:r>
            <w:proofErr w:type="gramEnd"/>
            <w:r w:rsidRPr="00AE1D54">
              <w:rPr>
                <w:rFonts w:asciiTheme="majorHAnsi" w:hAnsiTheme="majorHAnsi" w:cstheme="majorHAnsi"/>
                <w:color w:val="000000" w:themeColor="text1"/>
                <w:sz w:val="16"/>
                <w:szCs w:val="16"/>
              </w:rPr>
              <w:t>2 + (yob-1950)^3</w:t>
            </w:r>
          </w:p>
        </w:tc>
        <w:tc>
          <w:tcPr>
            <w:tcW w:w="288" w:type="pct"/>
            <w:tcBorders>
              <w:top w:val="nil"/>
              <w:left w:val="nil"/>
              <w:bottom w:val="nil"/>
              <w:right w:val="nil"/>
            </w:tcBorders>
            <w:shd w:val="clear" w:color="auto" w:fill="auto"/>
            <w:vAlign w:val="bottom"/>
          </w:tcPr>
          <w:p w14:paraId="25A6D934"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4158</w:t>
            </w:r>
          </w:p>
        </w:tc>
      </w:tr>
      <w:tr w:rsidR="00E24790" w:rsidRPr="00AE1D54" w14:paraId="7FB4AF5B" w14:textId="77777777" w:rsidTr="00AC6BD6">
        <w:trPr>
          <w:trHeight w:val="300"/>
        </w:trPr>
        <w:tc>
          <w:tcPr>
            <w:tcW w:w="762" w:type="pct"/>
            <w:tcBorders>
              <w:top w:val="nil"/>
              <w:left w:val="nil"/>
              <w:bottom w:val="nil"/>
              <w:right w:val="nil"/>
            </w:tcBorders>
            <w:shd w:val="clear" w:color="auto" w:fill="auto"/>
            <w:vAlign w:val="bottom"/>
          </w:tcPr>
          <w:p w14:paraId="26F96F53"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Glycaemic</w:t>
            </w:r>
            <w:proofErr w:type="spellEnd"/>
          </w:p>
        </w:tc>
        <w:tc>
          <w:tcPr>
            <w:tcW w:w="870" w:type="pct"/>
            <w:tcBorders>
              <w:top w:val="nil"/>
              <w:left w:val="nil"/>
              <w:bottom w:val="nil"/>
              <w:right w:val="nil"/>
            </w:tcBorders>
            <w:shd w:val="clear" w:color="auto" w:fill="auto"/>
            <w:vAlign w:val="bottom"/>
          </w:tcPr>
          <w:p w14:paraId="4A307FFE"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Fasting plasma glucose</w:t>
            </w:r>
          </w:p>
        </w:tc>
        <w:tc>
          <w:tcPr>
            <w:tcW w:w="687" w:type="pct"/>
            <w:tcBorders>
              <w:top w:val="nil"/>
              <w:left w:val="nil"/>
              <w:bottom w:val="nil"/>
              <w:right w:val="nil"/>
            </w:tcBorders>
            <w:shd w:val="clear" w:color="auto" w:fill="auto"/>
            <w:vAlign w:val="bottom"/>
          </w:tcPr>
          <w:p w14:paraId="41AB1FFF"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r w:rsidRPr="00AE1D54">
              <w:rPr>
                <w:rFonts w:asciiTheme="majorHAnsi" w:hAnsiTheme="majorHAnsi" w:cstheme="majorHAnsi"/>
                <w:color w:val="000000" w:themeColor="text1"/>
                <w:sz w:val="16"/>
                <w:szCs w:val="16"/>
              </w:rPr>
              <w:t>fpg</w:t>
            </w:r>
            <w:proofErr w:type="spellEnd"/>
          </w:p>
        </w:tc>
        <w:tc>
          <w:tcPr>
            <w:tcW w:w="742" w:type="pct"/>
            <w:tcBorders>
              <w:top w:val="nil"/>
              <w:left w:val="nil"/>
              <w:bottom w:val="nil"/>
              <w:right w:val="nil"/>
            </w:tcBorders>
            <w:shd w:val="clear" w:color="auto" w:fill="auto"/>
            <w:vAlign w:val="bottom"/>
          </w:tcPr>
          <w:p w14:paraId="5CF7429E"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mmol/L</w:t>
            </w:r>
          </w:p>
        </w:tc>
        <w:tc>
          <w:tcPr>
            <w:tcW w:w="1651" w:type="pct"/>
            <w:tcBorders>
              <w:top w:val="nil"/>
              <w:left w:val="nil"/>
              <w:bottom w:val="nil"/>
              <w:right w:val="nil"/>
            </w:tcBorders>
            <w:shd w:val="clear" w:color="auto" w:fill="auto"/>
            <w:vAlign w:val="bottom"/>
          </w:tcPr>
          <w:p w14:paraId="14C37E18"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 xml:space="preserve">sex + age + age^2 + </w:t>
            </w:r>
            <w:proofErr w:type="spellStart"/>
            <w:r w:rsidRPr="00AE1D54">
              <w:rPr>
                <w:rFonts w:asciiTheme="majorHAnsi" w:hAnsiTheme="majorHAnsi" w:cstheme="majorHAnsi"/>
                <w:color w:val="000000" w:themeColor="text1"/>
                <w:sz w:val="16"/>
                <w:szCs w:val="16"/>
              </w:rPr>
              <w:t>bmi</w:t>
            </w:r>
            <w:proofErr w:type="spellEnd"/>
          </w:p>
        </w:tc>
        <w:tc>
          <w:tcPr>
            <w:tcW w:w="288" w:type="pct"/>
            <w:tcBorders>
              <w:top w:val="nil"/>
              <w:left w:val="nil"/>
              <w:bottom w:val="nil"/>
              <w:right w:val="nil"/>
            </w:tcBorders>
            <w:shd w:val="clear" w:color="auto" w:fill="auto"/>
            <w:vAlign w:val="bottom"/>
          </w:tcPr>
          <w:p w14:paraId="2AC91844"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9873</w:t>
            </w:r>
          </w:p>
        </w:tc>
      </w:tr>
      <w:tr w:rsidR="00E24790" w:rsidRPr="00AE1D54" w14:paraId="256CA162" w14:textId="77777777" w:rsidTr="00AC6BD6">
        <w:trPr>
          <w:trHeight w:val="300"/>
        </w:trPr>
        <w:tc>
          <w:tcPr>
            <w:tcW w:w="762" w:type="pct"/>
            <w:tcBorders>
              <w:top w:val="nil"/>
              <w:left w:val="nil"/>
              <w:bottom w:val="nil"/>
              <w:right w:val="nil"/>
            </w:tcBorders>
            <w:shd w:val="clear" w:color="auto" w:fill="auto"/>
            <w:vAlign w:val="bottom"/>
          </w:tcPr>
          <w:p w14:paraId="51B84146"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Inflammatory</w:t>
            </w:r>
          </w:p>
        </w:tc>
        <w:tc>
          <w:tcPr>
            <w:tcW w:w="870" w:type="pct"/>
            <w:tcBorders>
              <w:top w:val="nil"/>
              <w:left w:val="nil"/>
              <w:bottom w:val="nil"/>
              <w:right w:val="nil"/>
            </w:tcBorders>
            <w:shd w:val="clear" w:color="auto" w:fill="auto"/>
            <w:vAlign w:val="bottom"/>
          </w:tcPr>
          <w:p w14:paraId="24AD0727"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Interleukin-6</w:t>
            </w:r>
          </w:p>
        </w:tc>
        <w:tc>
          <w:tcPr>
            <w:tcW w:w="687" w:type="pct"/>
            <w:tcBorders>
              <w:top w:val="nil"/>
              <w:left w:val="nil"/>
              <w:bottom w:val="nil"/>
              <w:right w:val="nil"/>
            </w:tcBorders>
            <w:shd w:val="clear" w:color="auto" w:fill="auto"/>
            <w:vAlign w:val="bottom"/>
          </w:tcPr>
          <w:p w14:paraId="1CF82C27"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log.il6</w:t>
            </w:r>
          </w:p>
        </w:tc>
        <w:tc>
          <w:tcPr>
            <w:tcW w:w="742" w:type="pct"/>
            <w:tcBorders>
              <w:top w:val="nil"/>
              <w:left w:val="nil"/>
              <w:bottom w:val="nil"/>
              <w:right w:val="nil"/>
            </w:tcBorders>
            <w:shd w:val="clear" w:color="auto" w:fill="auto"/>
            <w:vAlign w:val="bottom"/>
          </w:tcPr>
          <w:p w14:paraId="77C2847E"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log(</w:t>
            </w:r>
            <w:proofErr w:type="spellStart"/>
            <w:r w:rsidRPr="00AE1D54">
              <w:rPr>
                <w:rFonts w:asciiTheme="majorHAnsi" w:hAnsiTheme="majorHAnsi" w:cstheme="majorHAnsi"/>
                <w:color w:val="000000" w:themeColor="text1"/>
                <w:sz w:val="16"/>
                <w:szCs w:val="16"/>
              </w:rPr>
              <w:t>pg</w:t>
            </w:r>
            <w:proofErr w:type="spellEnd"/>
            <w:r w:rsidRPr="00AE1D54">
              <w:rPr>
                <w:rFonts w:asciiTheme="majorHAnsi" w:hAnsiTheme="majorHAnsi" w:cstheme="majorHAnsi"/>
                <w:color w:val="000000" w:themeColor="text1"/>
                <w:sz w:val="16"/>
                <w:szCs w:val="16"/>
              </w:rPr>
              <w:t>/mL)</w:t>
            </w:r>
          </w:p>
        </w:tc>
        <w:tc>
          <w:tcPr>
            <w:tcW w:w="1651" w:type="pct"/>
            <w:tcBorders>
              <w:top w:val="nil"/>
              <w:left w:val="nil"/>
              <w:bottom w:val="nil"/>
              <w:right w:val="nil"/>
            </w:tcBorders>
            <w:shd w:val="clear" w:color="auto" w:fill="auto"/>
            <w:vAlign w:val="bottom"/>
          </w:tcPr>
          <w:p w14:paraId="7C61DC0B"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 xml:space="preserve">sex + age + age^2 + </w:t>
            </w:r>
            <w:proofErr w:type="spellStart"/>
            <w:r w:rsidRPr="00AE1D54">
              <w:rPr>
                <w:rFonts w:asciiTheme="majorHAnsi" w:hAnsiTheme="majorHAnsi" w:cstheme="majorHAnsi"/>
                <w:color w:val="000000" w:themeColor="text1"/>
                <w:sz w:val="16"/>
                <w:szCs w:val="16"/>
              </w:rPr>
              <w:t>bmi</w:t>
            </w:r>
            <w:proofErr w:type="spellEnd"/>
          </w:p>
        </w:tc>
        <w:tc>
          <w:tcPr>
            <w:tcW w:w="288" w:type="pct"/>
            <w:tcBorders>
              <w:top w:val="nil"/>
              <w:left w:val="nil"/>
              <w:bottom w:val="nil"/>
              <w:right w:val="nil"/>
            </w:tcBorders>
            <w:shd w:val="clear" w:color="auto" w:fill="auto"/>
            <w:vAlign w:val="bottom"/>
          </w:tcPr>
          <w:p w14:paraId="51437F04"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320</w:t>
            </w:r>
          </w:p>
        </w:tc>
      </w:tr>
      <w:tr w:rsidR="00E24790" w:rsidRPr="00AE1D54" w14:paraId="7BC99F2D" w14:textId="77777777" w:rsidTr="00AC6BD6">
        <w:trPr>
          <w:trHeight w:val="300"/>
        </w:trPr>
        <w:tc>
          <w:tcPr>
            <w:tcW w:w="762" w:type="pct"/>
            <w:tcBorders>
              <w:top w:val="nil"/>
              <w:left w:val="nil"/>
              <w:right w:val="nil"/>
            </w:tcBorders>
            <w:shd w:val="clear" w:color="auto" w:fill="auto"/>
            <w:vAlign w:val="bottom"/>
          </w:tcPr>
          <w:p w14:paraId="5377F9C7"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Inflammatory</w:t>
            </w:r>
          </w:p>
        </w:tc>
        <w:tc>
          <w:tcPr>
            <w:tcW w:w="870" w:type="pct"/>
            <w:tcBorders>
              <w:top w:val="nil"/>
              <w:left w:val="nil"/>
              <w:right w:val="nil"/>
            </w:tcBorders>
            <w:shd w:val="clear" w:color="auto" w:fill="auto"/>
            <w:vAlign w:val="bottom"/>
          </w:tcPr>
          <w:p w14:paraId="3CB62494"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Hs-CRP</w:t>
            </w:r>
          </w:p>
        </w:tc>
        <w:tc>
          <w:tcPr>
            <w:tcW w:w="687" w:type="pct"/>
            <w:tcBorders>
              <w:top w:val="nil"/>
              <w:left w:val="nil"/>
              <w:right w:val="nil"/>
            </w:tcBorders>
            <w:shd w:val="clear" w:color="auto" w:fill="auto"/>
            <w:vAlign w:val="bottom"/>
          </w:tcPr>
          <w:p w14:paraId="32A62113"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proofErr w:type="gramStart"/>
            <w:r w:rsidRPr="00AE1D54">
              <w:rPr>
                <w:rFonts w:asciiTheme="majorHAnsi" w:hAnsiTheme="majorHAnsi" w:cstheme="majorHAnsi"/>
                <w:color w:val="000000" w:themeColor="text1"/>
                <w:sz w:val="16"/>
                <w:szCs w:val="16"/>
              </w:rPr>
              <w:t>log.hscrp</w:t>
            </w:r>
            <w:proofErr w:type="spellEnd"/>
            <w:proofErr w:type="gramEnd"/>
          </w:p>
        </w:tc>
        <w:tc>
          <w:tcPr>
            <w:tcW w:w="742" w:type="pct"/>
            <w:tcBorders>
              <w:top w:val="nil"/>
              <w:left w:val="nil"/>
              <w:right w:val="nil"/>
            </w:tcBorders>
            <w:shd w:val="clear" w:color="auto" w:fill="auto"/>
            <w:vAlign w:val="bottom"/>
          </w:tcPr>
          <w:p w14:paraId="2A4FB18B"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log(nmol/L)</w:t>
            </w:r>
          </w:p>
        </w:tc>
        <w:tc>
          <w:tcPr>
            <w:tcW w:w="1651" w:type="pct"/>
            <w:tcBorders>
              <w:top w:val="nil"/>
              <w:left w:val="nil"/>
              <w:right w:val="nil"/>
            </w:tcBorders>
            <w:shd w:val="clear" w:color="auto" w:fill="auto"/>
            <w:vAlign w:val="bottom"/>
          </w:tcPr>
          <w:p w14:paraId="4E5ADA97"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age</w:t>
            </w:r>
          </w:p>
        </w:tc>
        <w:tc>
          <w:tcPr>
            <w:tcW w:w="288" w:type="pct"/>
            <w:tcBorders>
              <w:top w:val="nil"/>
              <w:left w:val="nil"/>
              <w:right w:val="nil"/>
            </w:tcBorders>
            <w:shd w:val="clear" w:color="auto" w:fill="auto"/>
            <w:vAlign w:val="bottom"/>
          </w:tcPr>
          <w:p w14:paraId="0E80BC6F"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653</w:t>
            </w:r>
          </w:p>
        </w:tc>
      </w:tr>
      <w:tr w:rsidR="00E24790" w:rsidRPr="00AE1D54" w14:paraId="6C8FA0E3" w14:textId="77777777" w:rsidTr="00AC6BD6">
        <w:trPr>
          <w:trHeight w:val="300"/>
        </w:trPr>
        <w:tc>
          <w:tcPr>
            <w:tcW w:w="762" w:type="pct"/>
            <w:tcBorders>
              <w:top w:val="nil"/>
              <w:left w:val="nil"/>
              <w:bottom w:val="single" w:sz="4" w:space="0" w:color="000000"/>
              <w:right w:val="nil"/>
            </w:tcBorders>
            <w:shd w:val="clear" w:color="auto" w:fill="auto"/>
            <w:vAlign w:val="bottom"/>
          </w:tcPr>
          <w:p w14:paraId="00EC6BAD"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Renal function</w:t>
            </w:r>
          </w:p>
        </w:tc>
        <w:tc>
          <w:tcPr>
            <w:tcW w:w="870" w:type="pct"/>
            <w:tcBorders>
              <w:top w:val="nil"/>
              <w:left w:val="nil"/>
              <w:bottom w:val="single" w:sz="4" w:space="0" w:color="000000"/>
              <w:right w:val="nil"/>
            </w:tcBorders>
            <w:shd w:val="clear" w:color="auto" w:fill="auto"/>
            <w:vAlign w:val="bottom"/>
          </w:tcPr>
          <w:p w14:paraId="08EB75BC"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eGFR</w:t>
            </w:r>
          </w:p>
        </w:tc>
        <w:tc>
          <w:tcPr>
            <w:tcW w:w="687" w:type="pct"/>
            <w:tcBorders>
              <w:top w:val="nil"/>
              <w:left w:val="nil"/>
              <w:bottom w:val="single" w:sz="4" w:space="0" w:color="000000"/>
              <w:right w:val="nil"/>
            </w:tcBorders>
            <w:shd w:val="clear" w:color="auto" w:fill="auto"/>
            <w:vAlign w:val="bottom"/>
          </w:tcPr>
          <w:p w14:paraId="4C107561"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spellStart"/>
            <w:proofErr w:type="gramStart"/>
            <w:r w:rsidRPr="00AE1D54">
              <w:rPr>
                <w:rFonts w:asciiTheme="majorHAnsi" w:hAnsiTheme="majorHAnsi" w:cstheme="majorHAnsi"/>
                <w:color w:val="000000" w:themeColor="text1"/>
                <w:sz w:val="16"/>
                <w:szCs w:val="16"/>
              </w:rPr>
              <w:t>log.egfr</w:t>
            </w:r>
            <w:proofErr w:type="spellEnd"/>
            <w:proofErr w:type="gramEnd"/>
          </w:p>
        </w:tc>
        <w:tc>
          <w:tcPr>
            <w:tcW w:w="742" w:type="pct"/>
            <w:tcBorders>
              <w:top w:val="nil"/>
              <w:left w:val="nil"/>
              <w:bottom w:val="single" w:sz="4" w:space="0" w:color="000000"/>
              <w:right w:val="nil"/>
            </w:tcBorders>
            <w:shd w:val="clear" w:color="auto" w:fill="auto"/>
            <w:vAlign w:val="bottom"/>
          </w:tcPr>
          <w:p w14:paraId="2E73E58A" w14:textId="77777777" w:rsidR="00E24790" w:rsidRPr="00AE1D54" w:rsidRDefault="00E24790" w:rsidP="00AC6BD6">
            <w:pPr>
              <w:spacing w:after="0" w:line="240" w:lineRule="auto"/>
              <w:rPr>
                <w:rFonts w:asciiTheme="majorHAnsi" w:hAnsiTheme="majorHAnsi" w:cstheme="majorHAnsi"/>
                <w:color w:val="000000" w:themeColor="text1"/>
                <w:sz w:val="16"/>
                <w:szCs w:val="16"/>
              </w:rPr>
            </w:pPr>
            <w:proofErr w:type="gramStart"/>
            <w:r w:rsidRPr="00AE1D54">
              <w:rPr>
                <w:rFonts w:asciiTheme="majorHAnsi" w:hAnsiTheme="majorHAnsi" w:cstheme="majorHAnsi"/>
                <w:color w:val="000000" w:themeColor="text1"/>
                <w:sz w:val="16"/>
                <w:szCs w:val="16"/>
              </w:rPr>
              <w:t>log(</w:t>
            </w:r>
            <w:proofErr w:type="gramEnd"/>
            <w:r w:rsidRPr="00AE1D54">
              <w:rPr>
                <w:rFonts w:asciiTheme="majorHAnsi" w:hAnsiTheme="majorHAnsi" w:cstheme="majorHAnsi"/>
                <w:color w:val="000000" w:themeColor="text1"/>
                <w:sz w:val="16"/>
                <w:szCs w:val="16"/>
              </w:rPr>
              <w:t>mL/min/1.73 m)</w:t>
            </w:r>
          </w:p>
        </w:tc>
        <w:tc>
          <w:tcPr>
            <w:tcW w:w="1651" w:type="pct"/>
            <w:tcBorders>
              <w:top w:val="nil"/>
              <w:left w:val="nil"/>
              <w:bottom w:val="single" w:sz="4" w:space="0" w:color="000000"/>
              <w:right w:val="nil"/>
            </w:tcBorders>
            <w:shd w:val="clear" w:color="auto" w:fill="auto"/>
            <w:vAlign w:val="bottom"/>
          </w:tcPr>
          <w:p w14:paraId="2F39B274" w14:textId="77777777" w:rsidR="00E24790" w:rsidRPr="00AE1D54" w:rsidRDefault="00E24790" w:rsidP="00AC6BD6">
            <w:pPr>
              <w:spacing w:after="0" w:line="240" w:lineRule="auto"/>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sex + age + age^2</w:t>
            </w:r>
          </w:p>
        </w:tc>
        <w:tc>
          <w:tcPr>
            <w:tcW w:w="288" w:type="pct"/>
            <w:tcBorders>
              <w:top w:val="nil"/>
              <w:left w:val="nil"/>
              <w:bottom w:val="single" w:sz="4" w:space="0" w:color="000000"/>
              <w:right w:val="nil"/>
            </w:tcBorders>
            <w:shd w:val="clear" w:color="auto" w:fill="auto"/>
            <w:vAlign w:val="bottom"/>
          </w:tcPr>
          <w:p w14:paraId="537FE561" w14:textId="77777777" w:rsidR="00E24790" w:rsidRPr="00AE1D54" w:rsidRDefault="00E24790" w:rsidP="00AC6BD6">
            <w:pPr>
              <w:spacing w:after="0" w:line="240" w:lineRule="auto"/>
              <w:jc w:val="center"/>
              <w:rPr>
                <w:rFonts w:asciiTheme="majorHAnsi" w:hAnsiTheme="majorHAnsi" w:cstheme="majorHAnsi"/>
                <w:color w:val="000000" w:themeColor="text1"/>
                <w:sz w:val="16"/>
                <w:szCs w:val="16"/>
              </w:rPr>
            </w:pPr>
            <w:r w:rsidRPr="00AE1D54">
              <w:rPr>
                <w:rFonts w:asciiTheme="majorHAnsi" w:hAnsiTheme="majorHAnsi" w:cstheme="majorHAnsi"/>
                <w:color w:val="000000" w:themeColor="text1"/>
                <w:sz w:val="16"/>
                <w:szCs w:val="16"/>
              </w:rPr>
              <w:t>11077</w:t>
            </w:r>
          </w:p>
        </w:tc>
      </w:tr>
    </w:tbl>
    <w:p w14:paraId="5D1C1ED2" w14:textId="77777777" w:rsidR="00E24790" w:rsidRPr="00AE1D54" w:rsidRDefault="00E24790" w:rsidP="00136CD4">
      <w:pPr>
        <w:rPr>
          <w:rFonts w:asciiTheme="majorHAnsi" w:hAnsiTheme="majorHAnsi" w:cstheme="majorHAnsi"/>
          <w:color w:val="000000" w:themeColor="text1"/>
          <w:sz w:val="24"/>
          <w:szCs w:val="24"/>
        </w:rPr>
      </w:pPr>
    </w:p>
    <w:p w14:paraId="1AD74FF5" w14:textId="77777777" w:rsidR="00E24790" w:rsidRPr="00AE1D54" w:rsidRDefault="00E24790" w:rsidP="00136CD4">
      <w:pPr>
        <w:rPr>
          <w:rFonts w:asciiTheme="majorHAnsi" w:hAnsiTheme="majorHAnsi" w:cstheme="majorHAnsi"/>
          <w:color w:val="000000" w:themeColor="text1"/>
          <w:sz w:val="24"/>
          <w:szCs w:val="24"/>
        </w:rPr>
      </w:pPr>
    </w:p>
    <w:p w14:paraId="51233289" w14:textId="77777777" w:rsidR="00E24790" w:rsidRPr="00AE1D54" w:rsidRDefault="00E24790" w:rsidP="00DC1B54">
      <w:pPr>
        <w:rPr>
          <w:rFonts w:asciiTheme="majorHAnsi" w:hAnsiTheme="majorHAnsi" w:cstheme="majorHAnsi"/>
          <w:b/>
          <w:bCs/>
        </w:rPr>
      </w:pPr>
      <w:r w:rsidRPr="00AE1D54">
        <w:rPr>
          <w:rFonts w:asciiTheme="majorHAnsi" w:hAnsiTheme="majorHAnsi" w:cstheme="majorHAnsi"/>
          <w:b/>
          <w:bCs/>
          <w:noProof/>
        </w:rPr>
        <w:lastRenderedPageBreak/>
        <w:drawing>
          <wp:inline distT="0" distB="0" distL="0" distR="0" wp14:anchorId="513D67CF" wp14:editId="3BC44099">
            <wp:extent cx="5966765" cy="2989332"/>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71933" cy="2991921"/>
                    </a:xfrm>
                    <a:prstGeom prst="rect">
                      <a:avLst/>
                    </a:prstGeom>
                  </pic:spPr>
                </pic:pic>
              </a:graphicData>
            </a:graphic>
          </wp:inline>
        </w:drawing>
      </w:r>
    </w:p>
    <w:p w14:paraId="4E568504" w14:textId="77777777" w:rsidR="00E24790" w:rsidRPr="00AE1D54" w:rsidRDefault="00E24790" w:rsidP="00E24790">
      <w:pPr>
        <w:pStyle w:val="Quote"/>
        <w:rPr>
          <w:rtl/>
        </w:rPr>
      </w:pPr>
      <w:bookmarkStart w:id="62" w:name="_Toc119834454"/>
      <w:r w:rsidRPr="00AE1D54">
        <w:t>Figure 1: Relationship between MAF and MAC in TCGS genotyped data</w:t>
      </w:r>
      <w:bookmarkEnd w:id="62"/>
    </w:p>
    <w:p w14:paraId="6839BCB9" w14:textId="77777777" w:rsidR="00E24790" w:rsidRPr="00AE1D54" w:rsidRDefault="00E24790">
      <w:pPr>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br w:type="page"/>
      </w:r>
    </w:p>
    <w:p w14:paraId="0A09EFFC" w14:textId="77777777" w:rsidR="00E24790" w:rsidRPr="00AE1D54" w:rsidRDefault="00E24790" w:rsidP="00064CCD">
      <w:pPr>
        <w:rPr>
          <w:rFonts w:asciiTheme="majorHAnsi" w:hAnsiTheme="majorHAnsi" w:cstheme="majorHAnsi"/>
        </w:rPr>
      </w:pPr>
      <w:r w:rsidRPr="00AE1D54">
        <w:rPr>
          <w:rFonts w:asciiTheme="majorHAnsi" w:hAnsiTheme="majorHAnsi" w:cstheme="majorHAnsi"/>
          <w:noProof/>
        </w:rPr>
        <w:lastRenderedPageBreak/>
        <w:drawing>
          <wp:inline distT="0" distB="0" distL="0" distR="0" wp14:anchorId="72EF0399" wp14:editId="5669F280">
            <wp:extent cx="5731510" cy="2871470"/>
            <wp:effectExtent l="0" t="0" r="254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2871470"/>
                    </a:xfrm>
                    <a:prstGeom prst="rect">
                      <a:avLst/>
                    </a:prstGeom>
                  </pic:spPr>
                </pic:pic>
              </a:graphicData>
            </a:graphic>
          </wp:inline>
        </w:drawing>
      </w:r>
      <w:r w:rsidRPr="00AE1D54">
        <w:rPr>
          <w:rFonts w:asciiTheme="majorHAnsi" w:hAnsiTheme="majorHAnsi" w:cstheme="majorHAnsi"/>
        </w:rPr>
        <w:t xml:space="preserve"> </w:t>
      </w:r>
    </w:p>
    <w:p w14:paraId="3A4843CE" w14:textId="77777777" w:rsidR="00E24790" w:rsidRPr="00AE1D54" w:rsidRDefault="00E24790" w:rsidP="00E24790">
      <w:pPr>
        <w:pStyle w:val="Quote"/>
      </w:pPr>
      <w:bookmarkStart w:id="63" w:name="_Toc119834455"/>
      <w:r w:rsidRPr="00AE1D54">
        <w:t>Figure 2: Hardy-Weinberg Equilibrium assumption in TCGS</w:t>
      </w:r>
      <w:bookmarkEnd w:id="63"/>
      <w:r w:rsidRPr="00AE1D54">
        <w:t xml:space="preserve"> </w:t>
      </w:r>
    </w:p>
    <w:p w14:paraId="015E0497" w14:textId="77777777" w:rsidR="00E24790" w:rsidRPr="00AE1D54" w:rsidRDefault="00E24790" w:rsidP="00064CCD">
      <w:pPr>
        <w:jc w:val="center"/>
        <w:rPr>
          <w:rFonts w:asciiTheme="majorHAnsi" w:hAnsiTheme="majorHAnsi" w:cstheme="majorHAnsi"/>
        </w:rPr>
      </w:pPr>
    </w:p>
    <w:p w14:paraId="0EE2C4AA" w14:textId="77777777" w:rsidR="00E24790" w:rsidRPr="00AE1D54" w:rsidRDefault="00E24790">
      <w:pPr>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br w:type="page"/>
      </w:r>
    </w:p>
    <w:p w14:paraId="2C9F5CE4" w14:textId="77777777" w:rsidR="00E24790" w:rsidRPr="00AE1D54" w:rsidRDefault="00E24790" w:rsidP="00064CCD">
      <w:pPr>
        <w:rPr>
          <w:rFonts w:asciiTheme="majorHAnsi" w:hAnsiTheme="majorHAnsi" w:cstheme="majorHAnsi"/>
          <w:rtl/>
        </w:rPr>
      </w:pPr>
      <w:r w:rsidRPr="00AE1D54">
        <w:rPr>
          <w:rFonts w:asciiTheme="majorHAnsi" w:hAnsiTheme="majorHAnsi" w:cstheme="majorHAnsi"/>
          <w:noProof/>
          <w:rtl/>
        </w:rPr>
        <w:lastRenderedPageBreak/>
        <w:drawing>
          <wp:inline distT="0" distB="0" distL="0" distR="0" wp14:anchorId="39890453" wp14:editId="5877A63D">
            <wp:extent cx="5731510" cy="2871470"/>
            <wp:effectExtent l="0" t="0" r="254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2871470"/>
                    </a:xfrm>
                    <a:prstGeom prst="rect">
                      <a:avLst/>
                    </a:prstGeom>
                  </pic:spPr>
                </pic:pic>
              </a:graphicData>
            </a:graphic>
          </wp:inline>
        </w:drawing>
      </w:r>
    </w:p>
    <w:p w14:paraId="78BB5F78" w14:textId="77777777" w:rsidR="00E24790" w:rsidRPr="00AE1D54" w:rsidRDefault="00E24790" w:rsidP="00E24790">
      <w:pPr>
        <w:pStyle w:val="Quote"/>
      </w:pPr>
      <w:bookmarkStart w:id="64" w:name="_Toc119834456"/>
      <w:r w:rsidRPr="00AE1D54">
        <w:t>Figure 3: Missingness and Minor Allele Frequency (MAF)</w:t>
      </w:r>
      <w:bookmarkEnd w:id="64"/>
    </w:p>
    <w:p w14:paraId="474A6F79" w14:textId="77777777" w:rsidR="00E24790" w:rsidRPr="00AE1D54" w:rsidRDefault="00E24790" w:rsidP="00A61D1D">
      <w:pPr>
        <w:rPr>
          <w:rFonts w:asciiTheme="majorHAnsi" w:hAnsiTheme="majorHAnsi" w:cstheme="majorHAnsi"/>
        </w:rPr>
      </w:pPr>
    </w:p>
    <w:p w14:paraId="0DA35458" w14:textId="77777777" w:rsidR="00E24790" w:rsidRPr="00AE1D54" w:rsidRDefault="00E24790" w:rsidP="00A61D1D">
      <w:pPr>
        <w:rPr>
          <w:rFonts w:asciiTheme="majorHAnsi" w:hAnsiTheme="majorHAnsi" w:cstheme="majorHAnsi"/>
        </w:rPr>
      </w:pPr>
    </w:p>
    <w:p w14:paraId="4DE77036" w14:textId="77777777" w:rsidR="00E24790" w:rsidRPr="00AE1D54" w:rsidRDefault="00E24790" w:rsidP="00A61D1D">
      <w:pPr>
        <w:rPr>
          <w:rFonts w:asciiTheme="majorHAnsi" w:hAnsiTheme="majorHAnsi" w:cstheme="majorHAnsi"/>
        </w:rPr>
      </w:pPr>
    </w:p>
    <w:p w14:paraId="42C8A2F4" w14:textId="77777777" w:rsidR="00E24790" w:rsidRPr="00AE1D54" w:rsidRDefault="00E24790" w:rsidP="00A61D1D">
      <w:pPr>
        <w:rPr>
          <w:rFonts w:asciiTheme="majorHAnsi" w:hAnsiTheme="majorHAnsi" w:cstheme="majorHAnsi"/>
        </w:rPr>
      </w:pPr>
    </w:p>
    <w:p w14:paraId="26205497" w14:textId="77777777" w:rsidR="00E24790" w:rsidRPr="00AE1D54" w:rsidRDefault="00E24790">
      <w:pPr>
        <w:rPr>
          <w:rFonts w:asciiTheme="majorHAnsi" w:hAnsiTheme="majorHAnsi" w:cstheme="majorHAnsi"/>
        </w:rPr>
      </w:pPr>
      <w:r w:rsidRPr="00AE1D54">
        <w:rPr>
          <w:rFonts w:asciiTheme="majorHAnsi" w:hAnsiTheme="majorHAnsi" w:cstheme="majorHAnsi"/>
        </w:rPr>
        <w:br w:type="page"/>
      </w:r>
    </w:p>
    <w:p w14:paraId="4159F88D" w14:textId="77777777" w:rsidR="00E24790" w:rsidRPr="00AE1D54" w:rsidRDefault="00E24790" w:rsidP="0074361E">
      <w:pPr>
        <w:spacing w:after="0"/>
        <w:jc w:val="center"/>
        <w:rPr>
          <w:rFonts w:asciiTheme="majorHAnsi" w:hAnsiTheme="majorHAnsi" w:cstheme="majorHAnsi"/>
          <w:b/>
          <w:bCs/>
        </w:rPr>
      </w:pPr>
      <w:r w:rsidRPr="00AE1D54">
        <w:rPr>
          <w:rFonts w:asciiTheme="majorHAnsi" w:hAnsiTheme="majorHAnsi" w:cstheme="majorHAnsi"/>
          <w:noProof/>
          <w:sz w:val="24"/>
          <w:szCs w:val="24"/>
        </w:rPr>
        <w:lastRenderedPageBreak/>
        <w:drawing>
          <wp:inline distT="0" distB="0" distL="0" distR="0" wp14:anchorId="013153F2" wp14:editId="5C6E1FF6">
            <wp:extent cx="4869317" cy="2439514"/>
            <wp:effectExtent l="0" t="0" r="762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878648" cy="2444189"/>
                    </a:xfrm>
                    <a:prstGeom prst="rect">
                      <a:avLst/>
                    </a:prstGeom>
                  </pic:spPr>
                </pic:pic>
              </a:graphicData>
            </a:graphic>
          </wp:inline>
        </w:drawing>
      </w:r>
      <w:r w:rsidRPr="00AE1D54">
        <w:rPr>
          <w:rFonts w:asciiTheme="majorHAnsi" w:hAnsiTheme="majorHAnsi" w:cstheme="majorHAnsi"/>
          <w:b/>
          <w:bCs/>
        </w:rPr>
        <w:t xml:space="preserve"> </w:t>
      </w:r>
    </w:p>
    <w:p w14:paraId="33A10EF1" w14:textId="77777777" w:rsidR="00E24790" w:rsidRPr="00AE1D54" w:rsidRDefault="00E24790" w:rsidP="00E24790">
      <w:pPr>
        <w:pStyle w:val="Quote"/>
      </w:pPr>
      <w:bookmarkStart w:id="65" w:name="_Toc119834457"/>
      <w:r w:rsidRPr="00AE1D54">
        <w:t>Figure 4: Distribution of MAF through the different impact of the variants</w:t>
      </w:r>
      <w:bookmarkEnd w:id="65"/>
    </w:p>
    <w:p w14:paraId="44C70599"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24"/>
          <w:szCs w:val="24"/>
        </w:rPr>
      </w:pPr>
    </w:p>
    <w:p w14:paraId="222E9474"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24"/>
          <w:szCs w:val="24"/>
        </w:rPr>
      </w:pPr>
    </w:p>
    <w:p w14:paraId="7001DFC2" w14:textId="77777777" w:rsidR="00E24790" w:rsidRPr="00AE1D54" w:rsidRDefault="00E24790">
      <w:pPr>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br w:type="page"/>
      </w:r>
    </w:p>
    <w:p w14:paraId="12F20978" w14:textId="77777777" w:rsidR="00E24790" w:rsidRDefault="00E24790" w:rsidP="002712E6">
      <w:r w:rsidRPr="00AE1D54">
        <w:rPr>
          <w:noProof/>
        </w:rPr>
        <w:lastRenderedPageBreak/>
        <w:drawing>
          <wp:inline distT="0" distB="0" distL="0" distR="0" wp14:anchorId="07CD114A" wp14:editId="611CF88E">
            <wp:extent cx="5943600" cy="3204614"/>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A61FAF6" w14:textId="77777777" w:rsidR="00E24790" w:rsidRPr="00AE1D54" w:rsidRDefault="00E24790" w:rsidP="00E24790">
      <w:pPr>
        <w:pStyle w:val="Quote"/>
      </w:pPr>
      <w:bookmarkStart w:id="66" w:name="_Toc119834458"/>
      <w:r w:rsidRPr="00AE1D54">
        <w:t>Figure 5: Comparison between family identification numbers and clusters</w:t>
      </w:r>
      <w:bookmarkEnd w:id="66"/>
    </w:p>
    <w:p w14:paraId="4BE59C50"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24"/>
          <w:szCs w:val="24"/>
        </w:rPr>
      </w:pPr>
    </w:p>
    <w:p w14:paraId="42AA86F3" w14:textId="77777777" w:rsidR="00E24790" w:rsidRPr="00AE1D54" w:rsidRDefault="00E24790">
      <w:pPr>
        <w:widowControl w:val="0"/>
        <w:pBdr>
          <w:top w:val="nil"/>
          <w:left w:val="nil"/>
          <w:bottom w:val="nil"/>
          <w:right w:val="nil"/>
          <w:between w:val="nil"/>
        </w:pBdr>
        <w:spacing w:after="0" w:line="276" w:lineRule="auto"/>
        <w:rPr>
          <w:rFonts w:asciiTheme="majorHAnsi" w:hAnsiTheme="majorHAnsi" w:cstheme="majorHAnsi"/>
          <w:color w:val="000000" w:themeColor="text1"/>
          <w:sz w:val="24"/>
          <w:szCs w:val="24"/>
        </w:rPr>
      </w:pPr>
    </w:p>
    <w:p w14:paraId="2307E29C" w14:textId="77777777" w:rsidR="00E24790" w:rsidRPr="00AE1D54" w:rsidRDefault="00E24790">
      <w:pPr>
        <w:rPr>
          <w:rFonts w:asciiTheme="majorHAnsi" w:hAnsiTheme="majorHAnsi" w:cstheme="majorHAnsi"/>
          <w:color w:val="000000" w:themeColor="text1"/>
          <w:sz w:val="24"/>
          <w:szCs w:val="24"/>
        </w:rPr>
      </w:pPr>
      <w:r w:rsidRPr="00AE1D54">
        <w:rPr>
          <w:rFonts w:asciiTheme="majorHAnsi" w:hAnsiTheme="majorHAnsi" w:cstheme="majorHAnsi"/>
          <w:color w:val="000000" w:themeColor="text1"/>
          <w:sz w:val="24"/>
          <w:szCs w:val="24"/>
        </w:rPr>
        <w:br w:type="page"/>
      </w:r>
    </w:p>
    <w:p w14:paraId="008D3558" w14:textId="7E197E60" w:rsidR="00E24790" w:rsidRDefault="00E24790" w:rsidP="002712E6"/>
    <w:p w14:paraId="1933581E" w14:textId="77777777" w:rsidR="00650817" w:rsidRDefault="00AD2873" w:rsidP="00650817">
      <w:r>
        <w:rPr>
          <w:noProof/>
        </w:rPr>
        <w:drawing>
          <wp:inline distT="0" distB="0" distL="0" distR="0" wp14:anchorId="0B40C672" wp14:editId="4C94DD00">
            <wp:extent cx="5943600" cy="25679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567940"/>
                    </a:xfrm>
                    <a:prstGeom prst="rect">
                      <a:avLst/>
                    </a:prstGeom>
                  </pic:spPr>
                </pic:pic>
              </a:graphicData>
            </a:graphic>
          </wp:inline>
        </w:drawing>
      </w:r>
    </w:p>
    <w:p w14:paraId="44442D10" w14:textId="2A38E42B" w:rsidR="00E24790" w:rsidRPr="00AE1D54" w:rsidRDefault="00E24790" w:rsidP="00E24790">
      <w:pPr>
        <w:pStyle w:val="Quote"/>
      </w:pPr>
      <w:bookmarkStart w:id="67" w:name="_Toc119834459"/>
      <w:r w:rsidRPr="00172FA4">
        <w:t xml:space="preserve">Figure 6: </w:t>
      </w:r>
      <w:bookmarkStart w:id="68" w:name="_Hlk119744139"/>
      <w:r w:rsidRPr="00172FA4">
        <w:t xml:space="preserve">The </w:t>
      </w:r>
      <w:r w:rsidR="00172FA4" w:rsidRPr="00172FA4">
        <w:t>relationship distribution</w:t>
      </w:r>
      <w:r w:rsidR="00172FA4">
        <w:t xml:space="preserve"> in TCGS families</w:t>
      </w:r>
      <w:bookmarkEnd w:id="67"/>
      <w:bookmarkEnd w:id="68"/>
    </w:p>
    <w:p w14:paraId="3A5F40E5" w14:textId="05EF39B2" w:rsidR="00AD2873" w:rsidRDefault="00E24790" w:rsidP="00AD2873">
      <w:r w:rsidRPr="00AE1D54">
        <w:rPr>
          <w:rFonts w:asciiTheme="majorHAnsi" w:hAnsiTheme="majorHAnsi" w:cstheme="majorHAnsi"/>
        </w:rPr>
        <w:br w:type="page"/>
      </w:r>
    </w:p>
    <w:p w14:paraId="06818C38" w14:textId="73497538" w:rsidR="00E24790" w:rsidRPr="00AE1D54" w:rsidRDefault="00E24790">
      <w:pPr>
        <w:rPr>
          <w:rFonts w:asciiTheme="majorHAnsi" w:hAnsiTheme="majorHAnsi" w:cstheme="majorHAnsi"/>
          <w:b/>
          <w:iCs/>
          <w:sz w:val="20"/>
        </w:rPr>
      </w:pPr>
    </w:p>
    <w:p w14:paraId="32ECF146" w14:textId="77777777" w:rsidR="00E24790" w:rsidRDefault="00E24790" w:rsidP="002712E6">
      <w:r w:rsidRPr="00AE1D54">
        <w:rPr>
          <w:noProof/>
        </w:rPr>
        <w:drawing>
          <wp:inline distT="0" distB="0" distL="0" distR="0" wp14:anchorId="4296F3A4" wp14:editId="340DBAB6">
            <wp:extent cx="5943600" cy="3641978"/>
            <wp:effectExtent l="0" t="0" r="0" b="15875"/>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2CB8429" w14:textId="77777777" w:rsidR="00650817" w:rsidRDefault="00650817" w:rsidP="00E24790">
      <w:pPr>
        <w:pStyle w:val="Quote"/>
      </w:pPr>
    </w:p>
    <w:p w14:paraId="46F0D55C" w14:textId="294F5062" w:rsidR="00E24790" w:rsidRDefault="00E24790" w:rsidP="00E24790">
      <w:pPr>
        <w:pStyle w:val="Quote"/>
      </w:pPr>
      <w:bookmarkStart w:id="69" w:name="_Toc119834460"/>
      <w:r w:rsidRPr="00AE1D54">
        <w:t>Figure 7. The genomic relationship matrix of spouses</w:t>
      </w:r>
      <w:bookmarkStart w:id="70" w:name="_heading=h.19c6y18" w:colFirst="0" w:colLast="0"/>
      <w:bookmarkEnd w:id="69"/>
      <w:bookmarkEnd w:id="70"/>
    </w:p>
    <w:p w14:paraId="2035F67A" w14:textId="77777777" w:rsidR="00E24790" w:rsidRPr="00B35F9A" w:rsidRDefault="00E24790" w:rsidP="00AB1FAE"/>
    <w:sectPr w:rsidR="00E24790" w:rsidRPr="00B35F9A" w:rsidSect="002712E6">
      <w:headerReference w:type="default" r:id="rId16"/>
      <w:footerReference w:type="default" r:id="rId1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61B2B" w14:textId="77777777" w:rsidR="005A3E6B" w:rsidRDefault="005A3E6B">
      <w:pPr>
        <w:spacing w:after="0" w:line="240" w:lineRule="auto"/>
      </w:pPr>
      <w:r>
        <w:separator/>
      </w:r>
    </w:p>
  </w:endnote>
  <w:endnote w:type="continuationSeparator" w:id="0">
    <w:p w14:paraId="2165A6F5" w14:textId="77777777" w:rsidR="005A3E6B" w:rsidRDefault="005A3E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52" w14:textId="630AF998" w:rsidR="00A65888" w:rsidRDefault="00A65888">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510C42">
      <w:rPr>
        <w:noProof/>
        <w:color w:val="000000"/>
      </w:rPr>
      <w:t>22</w:t>
    </w:r>
    <w:r>
      <w:rPr>
        <w:color w:val="000000"/>
      </w:rPr>
      <w:fldChar w:fldCharType="end"/>
    </w:r>
  </w:p>
  <w:p w14:paraId="00000253" w14:textId="77777777" w:rsidR="00A65888" w:rsidRDefault="00A65888">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A7CBE" w14:textId="77777777" w:rsidR="005A3E6B" w:rsidRDefault="005A3E6B">
      <w:pPr>
        <w:spacing w:after="0" w:line="240" w:lineRule="auto"/>
      </w:pPr>
      <w:r>
        <w:separator/>
      </w:r>
    </w:p>
  </w:footnote>
  <w:footnote w:type="continuationSeparator" w:id="0">
    <w:p w14:paraId="322B44AF" w14:textId="77777777" w:rsidR="005A3E6B" w:rsidRDefault="005A3E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4E" w14:textId="77777777" w:rsidR="00A65888" w:rsidRDefault="00A65888"/>
  <w:p w14:paraId="0000024F" w14:textId="77777777" w:rsidR="00A65888" w:rsidRDefault="00A65888"/>
  <w:p w14:paraId="00000250" w14:textId="77777777" w:rsidR="00A65888" w:rsidRDefault="00A65888"/>
  <w:p w14:paraId="00000251" w14:textId="77777777" w:rsidR="00A65888" w:rsidRDefault="00A6588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F43B6"/>
    <w:multiLevelType w:val="hybridMultilevel"/>
    <w:tmpl w:val="A8C62184"/>
    <w:lvl w:ilvl="0" w:tplc="FBFEEE46">
      <w:start w:val="2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IyMzEzt7AwMrCwMDFW0lEKTi0uzszPAykwMq8FADESl0st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tr9de50wgxw2tkezvpoxrvdg0p9wsew5f5fw&quot;&gt;ref 1.5.01&lt;record-ids&gt;&lt;item&gt;59&lt;/item&gt;&lt;item&gt;92&lt;/item&gt;&lt;item&gt;93&lt;/item&gt;&lt;item&gt;134&lt;/item&gt;&lt;item&gt;138&lt;/item&gt;&lt;item&gt;139&lt;/item&gt;&lt;item&gt;150&lt;/item&gt;&lt;/record-ids&gt;&lt;/item&gt;&lt;/Libraries&gt;"/>
  </w:docVars>
  <w:rsids>
    <w:rsidRoot w:val="00517228"/>
    <w:rsid w:val="000048A8"/>
    <w:rsid w:val="00005E11"/>
    <w:rsid w:val="000104D6"/>
    <w:rsid w:val="00023C40"/>
    <w:rsid w:val="00023D5A"/>
    <w:rsid w:val="00044073"/>
    <w:rsid w:val="0005062C"/>
    <w:rsid w:val="000526BD"/>
    <w:rsid w:val="00055262"/>
    <w:rsid w:val="00064CCD"/>
    <w:rsid w:val="0008605D"/>
    <w:rsid w:val="00086C96"/>
    <w:rsid w:val="000A144B"/>
    <w:rsid w:val="000A3697"/>
    <w:rsid w:val="000E188B"/>
    <w:rsid w:val="000E3647"/>
    <w:rsid w:val="000E75D6"/>
    <w:rsid w:val="000F2B26"/>
    <w:rsid w:val="00123F34"/>
    <w:rsid w:val="0013003D"/>
    <w:rsid w:val="00130C95"/>
    <w:rsid w:val="00136CD4"/>
    <w:rsid w:val="00141084"/>
    <w:rsid w:val="00142F20"/>
    <w:rsid w:val="00151B8A"/>
    <w:rsid w:val="00154F0D"/>
    <w:rsid w:val="00161C75"/>
    <w:rsid w:val="00172E6A"/>
    <w:rsid w:val="00172FA4"/>
    <w:rsid w:val="001855B9"/>
    <w:rsid w:val="001872D1"/>
    <w:rsid w:val="00192D3B"/>
    <w:rsid w:val="001D1D14"/>
    <w:rsid w:val="002145C6"/>
    <w:rsid w:val="00234990"/>
    <w:rsid w:val="00235F2B"/>
    <w:rsid w:val="00242215"/>
    <w:rsid w:val="002712E6"/>
    <w:rsid w:val="00287DA0"/>
    <w:rsid w:val="002B09EB"/>
    <w:rsid w:val="002B0A45"/>
    <w:rsid w:val="002B1226"/>
    <w:rsid w:val="002C3FD6"/>
    <w:rsid w:val="002C5F19"/>
    <w:rsid w:val="002F1D7C"/>
    <w:rsid w:val="002F5481"/>
    <w:rsid w:val="002F7FBF"/>
    <w:rsid w:val="00302184"/>
    <w:rsid w:val="0030647D"/>
    <w:rsid w:val="00310C7A"/>
    <w:rsid w:val="00312F4E"/>
    <w:rsid w:val="00327515"/>
    <w:rsid w:val="00337475"/>
    <w:rsid w:val="00345180"/>
    <w:rsid w:val="00350C48"/>
    <w:rsid w:val="00372955"/>
    <w:rsid w:val="003A4122"/>
    <w:rsid w:val="003F0AF7"/>
    <w:rsid w:val="004042C9"/>
    <w:rsid w:val="004268E4"/>
    <w:rsid w:val="0044389A"/>
    <w:rsid w:val="0044541D"/>
    <w:rsid w:val="0047044B"/>
    <w:rsid w:val="00492008"/>
    <w:rsid w:val="004B564D"/>
    <w:rsid w:val="004D422F"/>
    <w:rsid w:val="004D5EB2"/>
    <w:rsid w:val="004E70E1"/>
    <w:rsid w:val="004E76CD"/>
    <w:rsid w:val="004F0D59"/>
    <w:rsid w:val="004F4FAF"/>
    <w:rsid w:val="00510C42"/>
    <w:rsid w:val="0051509B"/>
    <w:rsid w:val="00517228"/>
    <w:rsid w:val="00517408"/>
    <w:rsid w:val="005357D4"/>
    <w:rsid w:val="0056681B"/>
    <w:rsid w:val="0057122E"/>
    <w:rsid w:val="00585B16"/>
    <w:rsid w:val="005938D4"/>
    <w:rsid w:val="005A1F7B"/>
    <w:rsid w:val="005A2409"/>
    <w:rsid w:val="005A3E6B"/>
    <w:rsid w:val="005C04BC"/>
    <w:rsid w:val="005F7DFF"/>
    <w:rsid w:val="00610112"/>
    <w:rsid w:val="00625414"/>
    <w:rsid w:val="00635907"/>
    <w:rsid w:val="00650817"/>
    <w:rsid w:val="006849E1"/>
    <w:rsid w:val="006958B7"/>
    <w:rsid w:val="0069593E"/>
    <w:rsid w:val="006D5ABA"/>
    <w:rsid w:val="006E1D18"/>
    <w:rsid w:val="006E3BBC"/>
    <w:rsid w:val="006F6325"/>
    <w:rsid w:val="007058A6"/>
    <w:rsid w:val="00720627"/>
    <w:rsid w:val="00730EE4"/>
    <w:rsid w:val="0074361E"/>
    <w:rsid w:val="00745E70"/>
    <w:rsid w:val="00785E40"/>
    <w:rsid w:val="007A7B37"/>
    <w:rsid w:val="007B0597"/>
    <w:rsid w:val="007C5A5C"/>
    <w:rsid w:val="007E58EC"/>
    <w:rsid w:val="007F22B2"/>
    <w:rsid w:val="00804943"/>
    <w:rsid w:val="00830C38"/>
    <w:rsid w:val="00832B36"/>
    <w:rsid w:val="00844DB0"/>
    <w:rsid w:val="00883E5F"/>
    <w:rsid w:val="00890650"/>
    <w:rsid w:val="0089281A"/>
    <w:rsid w:val="00892C66"/>
    <w:rsid w:val="008B1BE6"/>
    <w:rsid w:val="008C47A4"/>
    <w:rsid w:val="0090229E"/>
    <w:rsid w:val="0090484B"/>
    <w:rsid w:val="00922D9D"/>
    <w:rsid w:val="00966D51"/>
    <w:rsid w:val="00973F70"/>
    <w:rsid w:val="009753A8"/>
    <w:rsid w:val="009B273C"/>
    <w:rsid w:val="009B2836"/>
    <w:rsid w:val="009F5587"/>
    <w:rsid w:val="00A10F0E"/>
    <w:rsid w:val="00A260E4"/>
    <w:rsid w:val="00A3241C"/>
    <w:rsid w:val="00A47F3B"/>
    <w:rsid w:val="00A51B44"/>
    <w:rsid w:val="00A61D1D"/>
    <w:rsid w:val="00A655F5"/>
    <w:rsid w:val="00A65888"/>
    <w:rsid w:val="00A65E7D"/>
    <w:rsid w:val="00A867E8"/>
    <w:rsid w:val="00A97836"/>
    <w:rsid w:val="00AB1FAE"/>
    <w:rsid w:val="00AB35C7"/>
    <w:rsid w:val="00AB50E8"/>
    <w:rsid w:val="00AC6BD6"/>
    <w:rsid w:val="00AD2873"/>
    <w:rsid w:val="00AE1D54"/>
    <w:rsid w:val="00B05DCB"/>
    <w:rsid w:val="00B1158A"/>
    <w:rsid w:val="00B34E56"/>
    <w:rsid w:val="00B35AC8"/>
    <w:rsid w:val="00B35F9A"/>
    <w:rsid w:val="00B5717B"/>
    <w:rsid w:val="00B70101"/>
    <w:rsid w:val="00B82601"/>
    <w:rsid w:val="00B855AF"/>
    <w:rsid w:val="00B859BC"/>
    <w:rsid w:val="00B96465"/>
    <w:rsid w:val="00BA4FD2"/>
    <w:rsid w:val="00BA773D"/>
    <w:rsid w:val="00BD2592"/>
    <w:rsid w:val="00BE3E3B"/>
    <w:rsid w:val="00C00268"/>
    <w:rsid w:val="00C22DEB"/>
    <w:rsid w:val="00C45BF7"/>
    <w:rsid w:val="00C55762"/>
    <w:rsid w:val="00C72E44"/>
    <w:rsid w:val="00CC07FE"/>
    <w:rsid w:val="00CC37F6"/>
    <w:rsid w:val="00CE6E86"/>
    <w:rsid w:val="00D22D01"/>
    <w:rsid w:val="00D45EC9"/>
    <w:rsid w:val="00D83A9A"/>
    <w:rsid w:val="00DC1B54"/>
    <w:rsid w:val="00DC2002"/>
    <w:rsid w:val="00DD390C"/>
    <w:rsid w:val="00DF1145"/>
    <w:rsid w:val="00DF187B"/>
    <w:rsid w:val="00DF5430"/>
    <w:rsid w:val="00E11044"/>
    <w:rsid w:val="00E24790"/>
    <w:rsid w:val="00E85C53"/>
    <w:rsid w:val="00EA1B2F"/>
    <w:rsid w:val="00EA3A59"/>
    <w:rsid w:val="00EC2570"/>
    <w:rsid w:val="00EE62B3"/>
    <w:rsid w:val="00EF27C3"/>
    <w:rsid w:val="00F30BFA"/>
    <w:rsid w:val="00F51214"/>
    <w:rsid w:val="00F75784"/>
    <w:rsid w:val="00F92DC1"/>
    <w:rsid w:val="00FC3531"/>
    <w:rsid w:val="00FD09D6"/>
    <w:rsid w:val="00FE2603"/>
    <w:rsid w:val="00FF77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85EB58"/>
  <w15:docId w15:val="{F2979F4E-4112-4C67-9FA5-7A8C20AFF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autoRedefine/>
    <w:qFormat/>
    <w:rsid w:val="00B70101"/>
    <w:pPr>
      <w:keepNext/>
      <w:keepLines/>
      <w:spacing w:before="240" w:after="0" w:line="480" w:lineRule="auto"/>
      <w:jc w:val="both"/>
      <w:outlineLvl w:val="0"/>
    </w:pPr>
    <w:rPr>
      <w:b/>
      <w:sz w:val="24"/>
      <w:szCs w:val="24"/>
    </w:rPr>
  </w:style>
  <w:style w:type="paragraph" w:styleId="Heading2">
    <w:name w:val="heading 2"/>
    <w:basedOn w:val="Normal"/>
    <w:next w:val="Normal"/>
    <w:autoRedefine/>
    <w:qFormat/>
    <w:rsid w:val="00192D3B"/>
    <w:pPr>
      <w:keepNext/>
      <w:keepLines/>
      <w:spacing w:before="40" w:after="0"/>
      <w:outlineLvl w:val="1"/>
    </w:pPr>
    <w:rPr>
      <w:rFonts w:asciiTheme="majorHAnsi" w:hAnsiTheme="majorHAnsi" w:cstheme="majorHAnsi"/>
      <w:b/>
      <w:bCs/>
      <w:color w:val="000000" w:themeColor="text1"/>
      <w:sz w:val="24"/>
      <w:szCs w:val="24"/>
    </w:rPr>
  </w:style>
  <w:style w:type="paragraph" w:styleId="Heading3">
    <w:name w:val="heading 3"/>
    <w:basedOn w:val="Normal"/>
    <w:next w:val="Normal"/>
    <w:pPr>
      <w:keepNext/>
      <w:keepLines/>
      <w:spacing w:before="40" w:after="0"/>
      <w:outlineLvl w:val="2"/>
    </w:pPr>
    <w:rPr>
      <w:color w:val="1E4D78"/>
      <w:sz w:val="24"/>
      <w:szCs w:val="24"/>
    </w:rPr>
  </w:style>
  <w:style w:type="paragraph" w:styleId="Heading4">
    <w:name w:val="heading 4"/>
    <w:basedOn w:val="Normal"/>
    <w:next w:val="Normal"/>
    <w:pPr>
      <w:keepNext/>
      <w:keepLines/>
      <w:spacing w:before="40" w:after="0"/>
      <w:outlineLvl w:val="3"/>
    </w:pPr>
    <w:rPr>
      <w:i/>
      <w:color w:val="2E75B5"/>
    </w:rPr>
  </w:style>
  <w:style w:type="paragraph" w:styleId="Heading5">
    <w:name w:val="heading 5"/>
    <w:basedOn w:val="Normal"/>
    <w:next w:val="Normal"/>
    <w:pPr>
      <w:keepNext/>
      <w:keepLines/>
      <w:spacing w:before="40" w:after="0"/>
      <w:outlineLvl w:val="4"/>
    </w:pPr>
    <w:rPr>
      <w:color w:val="2E75B5"/>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qFormat/>
    <w:rsid w:val="005357D4"/>
    <w:pPr>
      <w:spacing w:before="100" w:beforeAutospacing="1" w:after="0" w:line="240" w:lineRule="auto"/>
    </w:pPr>
    <w:rPr>
      <w:b/>
      <w:sz w:val="28"/>
      <w:szCs w:val="28"/>
    </w:rPr>
  </w:style>
  <w:style w:type="paragraph" w:styleId="Subtitle">
    <w:name w:val="Subtitle"/>
    <w:basedOn w:val="Normal"/>
    <w:next w:val="Normal"/>
    <w:autoRedefine/>
    <w:qFormat/>
    <w:rsid w:val="006F6325"/>
    <w:rPr>
      <w:b/>
      <w:sz w:val="24"/>
      <w:szCs w:val="24"/>
    </w:rPr>
  </w:style>
  <w:style w:type="table" w:customStyle="1" w:styleId="4">
    <w:name w:val="4"/>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TOC2">
    <w:name w:val="toc 2"/>
    <w:basedOn w:val="Normal"/>
    <w:next w:val="Normal"/>
    <w:autoRedefine/>
    <w:uiPriority w:val="39"/>
    <w:unhideWhenUsed/>
    <w:rsid w:val="00464CA2"/>
    <w:pPr>
      <w:spacing w:after="100"/>
      <w:ind w:left="220"/>
    </w:pPr>
  </w:style>
  <w:style w:type="paragraph" w:styleId="TOC1">
    <w:name w:val="toc 1"/>
    <w:basedOn w:val="Normal"/>
    <w:next w:val="Normal"/>
    <w:autoRedefine/>
    <w:uiPriority w:val="39"/>
    <w:unhideWhenUsed/>
    <w:rsid w:val="00464CA2"/>
    <w:pPr>
      <w:spacing w:after="100"/>
    </w:pPr>
  </w:style>
  <w:style w:type="paragraph" w:styleId="TOC3">
    <w:name w:val="toc 3"/>
    <w:basedOn w:val="Normal"/>
    <w:next w:val="Normal"/>
    <w:autoRedefine/>
    <w:uiPriority w:val="39"/>
    <w:unhideWhenUsed/>
    <w:rsid w:val="00464CA2"/>
    <w:pPr>
      <w:spacing w:after="100"/>
      <w:ind w:left="440"/>
    </w:pPr>
  </w:style>
  <w:style w:type="paragraph" w:styleId="TOC4">
    <w:name w:val="toc 4"/>
    <w:basedOn w:val="Normal"/>
    <w:next w:val="Normal"/>
    <w:autoRedefine/>
    <w:uiPriority w:val="39"/>
    <w:unhideWhenUsed/>
    <w:rsid w:val="00464CA2"/>
    <w:pPr>
      <w:spacing w:after="100"/>
      <w:ind w:left="660"/>
    </w:pPr>
  </w:style>
  <w:style w:type="character" w:styleId="Hyperlink">
    <w:name w:val="Hyperlink"/>
    <w:basedOn w:val="DefaultParagraphFont"/>
    <w:uiPriority w:val="99"/>
    <w:unhideWhenUsed/>
    <w:rsid w:val="00464CA2"/>
    <w:rPr>
      <w:color w:val="0000FF" w:themeColor="hyperlink"/>
      <w:u w:val="single"/>
    </w:rPr>
  </w:style>
  <w:style w:type="paragraph" w:styleId="BalloonText">
    <w:name w:val="Balloon Text"/>
    <w:basedOn w:val="Normal"/>
    <w:link w:val="BalloonTextChar"/>
    <w:uiPriority w:val="99"/>
    <w:semiHidden/>
    <w:unhideWhenUsed/>
    <w:rsid w:val="003B35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3543"/>
    <w:rPr>
      <w:rFonts w:ascii="Segoe UI" w:hAnsi="Segoe UI" w:cs="Segoe UI"/>
      <w:sz w:val="18"/>
      <w:szCs w:val="18"/>
    </w:rPr>
  </w:style>
  <w:style w:type="character" w:customStyle="1" w:styleId="TitleChar">
    <w:name w:val="Title Char"/>
    <w:basedOn w:val="DefaultParagraphFont"/>
    <w:link w:val="Title"/>
    <w:rsid w:val="005357D4"/>
    <w:rPr>
      <w:b/>
      <w:sz w:val="28"/>
      <w:szCs w:val="28"/>
    </w:rPr>
  </w:style>
  <w:style w:type="table" w:customStyle="1" w:styleId="3">
    <w:name w:val="3"/>
    <w:basedOn w:val="TableNormal"/>
    <w:tblPr>
      <w:tblStyleRowBandSize w:val="1"/>
      <w:tblStyleColBandSize w:val="1"/>
      <w:tblCellMar>
        <w:left w:w="115" w:type="dxa"/>
        <w:right w:w="115" w:type="dxa"/>
      </w:tblCellMar>
    </w:tbl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EndNoteBibliographyTitle">
    <w:name w:val="EndNote Bibliography Title"/>
    <w:basedOn w:val="Normal"/>
    <w:link w:val="EndNoteBibliographyTitleChar"/>
    <w:rsid w:val="00AB50E8"/>
    <w:pPr>
      <w:spacing w:after="0"/>
      <w:jc w:val="center"/>
    </w:pPr>
    <w:rPr>
      <w:noProof/>
    </w:rPr>
  </w:style>
  <w:style w:type="character" w:customStyle="1" w:styleId="EndNoteBibliographyTitleChar">
    <w:name w:val="EndNote Bibliography Title Char"/>
    <w:basedOn w:val="DefaultParagraphFont"/>
    <w:link w:val="EndNoteBibliographyTitle"/>
    <w:rsid w:val="00AB50E8"/>
    <w:rPr>
      <w:noProof/>
    </w:rPr>
  </w:style>
  <w:style w:type="paragraph" w:customStyle="1" w:styleId="EndNoteBibliography">
    <w:name w:val="EndNote Bibliography"/>
    <w:basedOn w:val="Normal"/>
    <w:link w:val="EndNoteBibliographyChar"/>
    <w:rsid w:val="00AB50E8"/>
    <w:pPr>
      <w:spacing w:line="240" w:lineRule="auto"/>
    </w:pPr>
    <w:rPr>
      <w:noProof/>
    </w:rPr>
  </w:style>
  <w:style w:type="character" w:customStyle="1" w:styleId="EndNoteBibliographyChar">
    <w:name w:val="EndNote Bibliography Char"/>
    <w:basedOn w:val="DefaultParagraphFont"/>
    <w:link w:val="EndNoteBibliography"/>
    <w:rsid w:val="00AB50E8"/>
    <w:rPr>
      <w:noProof/>
    </w:rPr>
  </w:style>
  <w:style w:type="character" w:styleId="PlaceholderText">
    <w:name w:val="Placeholder Text"/>
    <w:basedOn w:val="DefaultParagraphFont"/>
    <w:uiPriority w:val="99"/>
    <w:semiHidden/>
    <w:rsid w:val="001D1D14"/>
    <w:rPr>
      <w:color w:val="808080"/>
    </w:rPr>
  </w:style>
  <w:style w:type="paragraph" w:customStyle="1" w:styleId="msonormal0">
    <w:name w:val="msonormal"/>
    <w:basedOn w:val="Normal"/>
    <w:rsid w:val="00635907"/>
    <w:pPr>
      <w:spacing w:before="100" w:beforeAutospacing="1" w:after="100" w:afterAutospacing="1" w:line="240" w:lineRule="auto"/>
    </w:pPr>
    <w:rPr>
      <w:rFonts w:ascii="Times New Roman" w:eastAsiaTheme="minorEastAsia" w:hAnsi="Times New Roman" w:cs="Times New Roman"/>
      <w:sz w:val="24"/>
      <w:szCs w:val="24"/>
      <w:lang w:bidi="fa-IR"/>
    </w:rPr>
  </w:style>
  <w:style w:type="paragraph" w:styleId="CommentSubject">
    <w:name w:val="annotation subject"/>
    <w:basedOn w:val="CommentText"/>
    <w:next w:val="CommentText"/>
    <w:link w:val="CommentSubjectChar"/>
    <w:uiPriority w:val="99"/>
    <w:semiHidden/>
    <w:unhideWhenUsed/>
    <w:rsid w:val="00B35AC8"/>
    <w:rPr>
      <w:b/>
      <w:bCs/>
    </w:rPr>
  </w:style>
  <w:style w:type="character" w:customStyle="1" w:styleId="CommentSubjectChar">
    <w:name w:val="Comment Subject Char"/>
    <w:basedOn w:val="CommentTextChar"/>
    <w:link w:val="CommentSubject"/>
    <w:uiPriority w:val="99"/>
    <w:semiHidden/>
    <w:rsid w:val="00B35AC8"/>
    <w:rPr>
      <w:b/>
      <w:bCs/>
      <w:sz w:val="20"/>
      <w:szCs w:val="20"/>
    </w:rPr>
  </w:style>
  <w:style w:type="paragraph" w:styleId="Quote">
    <w:name w:val="Quote"/>
    <w:aliases w:val="Table and fig"/>
    <w:basedOn w:val="Normal"/>
    <w:next w:val="Normal"/>
    <w:link w:val="QuoteChar"/>
    <w:autoRedefine/>
    <w:uiPriority w:val="29"/>
    <w:qFormat/>
    <w:rsid w:val="00E24790"/>
    <w:pPr>
      <w:spacing w:before="200"/>
      <w:ind w:right="864"/>
      <w:jc w:val="center"/>
    </w:pPr>
    <w:rPr>
      <w:b/>
      <w:iCs/>
      <w:sz w:val="20"/>
    </w:rPr>
  </w:style>
  <w:style w:type="character" w:customStyle="1" w:styleId="QuoteChar">
    <w:name w:val="Quote Char"/>
    <w:aliases w:val="Table and fig Char"/>
    <w:basedOn w:val="DefaultParagraphFont"/>
    <w:link w:val="Quote"/>
    <w:uiPriority w:val="29"/>
    <w:rsid w:val="00E24790"/>
    <w:rPr>
      <w:b/>
      <w:iCs/>
      <w:sz w:val="20"/>
    </w:rPr>
  </w:style>
  <w:style w:type="paragraph" w:styleId="TOC5">
    <w:name w:val="toc 5"/>
    <w:basedOn w:val="Normal"/>
    <w:next w:val="Normal"/>
    <w:autoRedefine/>
    <w:uiPriority w:val="39"/>
    <w:unhideWhenUsed/>
    <w:rsid w:val="007A7B37"/>
    <w:pPr>
      <w:spacing w:after="100"/>
      <w:ind w:left="880"/>
    </w:pPr>
  </w:style>
  <w:style w:type="table" w:styleId="GridTable1Light">
    <w:name w:val="Grid Table 1 Light"/>
    <w:basedOn w:val="TableNormal"/>
    <w:uiPriority w:val="46"/>
    <w:rsid w:val="00A3241C"/>
    <w:pPr>
      <w:spacing w:after="0" w:line="240" w:lineRule="auto"/>
    </w:pPr>
    <w:rPr>
      <w:rFonts w:asciiTheme="minorHAnsi" w:eastAsiaTheme="minorHAnsi" w:hAnsiTheme="minorHAnsi" w:cstheme="minorBidi"/>
      <w:lang w:bidi="fa-IR"/>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064CCD"/>
    <w:pPr>
      <w:bidi/>
      <w:ind w:left="720"/>
      <w:contextualSpacing/>
    </w:pPr>
    <w:rPr>
      <w:rFonts w:asciiTheme="minorHAnsi" w:eastAsiaTheme="minorHAnsi" w:hAnsiTheme="minorHAnsi" w:cstheme="minorBidi"/>
      <w:lang w:bidi="fa-IR"/>
    </w:rPr>
  </w:style>
  <w:style w:type="paragraph" w:styleId="Header">
    <w:name w:val="header"/>
    <w:basedOn w:val="Normal"/>
    <w:link w:val="HeaderChar"/>
    <w:uiPriority w:val="99"/>
    <w:unhideWhenUsed/>
    <w:rsid w:val="002712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12E6"/>
  </w:style>
  <w:style w:type="paragraph" w:styleId="Footer">
    <w:name w:val="footer"/>
    <w:basedOn w:val="Normal"/>
    <w:link w:val="FooterChar"/>
    <w:uiPriority w:val="99"/>
    <w:unhideWhenUsed/>
    <w:rsid w:val="002712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12E6"/>
  </w:style>
  <w:style w:type="table" w:styleId="TableGrid">
    <w:name w:val="Table Grid"/>
    <w:basedOn w:val="TableNormal"/>
    <w:uiPriority w:val="39"/>
    <w:rsid w:val="004454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4541D"/>
    <w:pPr>
      <w:spacing w:after="200"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841566">
      <w:bodyDiv w:val="1"/>
      <w:marLeft w:val="0"/>
      <w:marRight w:val="0"/>
      <w:marTop w:val="0"/>
      <w:marBottom w:val="0"/>
      <w:divBdr>
        <w:top w:val="none" w:sz="0" w:space="0" w:color="auto"/>
        <w:left w:val="none" w:sz="0" w:space="0" w:color="auto"/>
        <w:bottom w:val="none" w:sz="0" w:space="0" w:color="auto"/>
        <w:right w:val="none" w:sz="0" w:space="0" w:color="auto"/>
      </w:divBdr>
    </w:div>
    <w:div w:id="221716318">
      <w:bodyDiv w:val="1"/>
      <w:marLeft w:val="0"/>
      <w:marRight w:val="0"/>
      <w:marTop w:val="0"/>
      <w:marBottom w:val="0"/>
      <w:divBdr>
        <w:top w:val="none" w:sz="0" w:space="0" w:color="auto"/>
        <w:left w:val="none" w:sz="0" w:space="0" w:color="auto"/>
        <w:bottom w:val="none" w:sz="0" w:space="0" w:color="auto"/>
        <w:right w:val="none" w:sz="0" w:space="0" w:color="auto"/>
      </w:divBdr>
      <w:divsChild>
        <w:div w:id="1522161194">
          <w:marLeft w:val="640"/>
          <w:marRight w:val="0"/>
          <w:marTop w:val="0"/>
          <w:marBottom w:val="0"/>
          <w:divBdr>
            <w:top w:val="none" w:sz="0" w:space="0" w:color="auto"/>
            <w:left w:val="none" w:sz="0" w:space="0" w:color="auto"/>
            <w:bottom w:val="none" w:sz="0" w:space="0" w:color="auto"/>
            <w:right w:val="none" w:sz="0" w:space="0" w:color="auto"/>
          </w:divBdr>
        </w:div>
        <w:div w:id="559561062">
          <w:marLeft w:val="640"/>
          <w:marRight w:val="0"/>
          <w:marTop w:val="0"/>
          <w:marBottom w:val="0"/>
          <w:divBdr>
            <w:top w:val="none" w:sz="0" w:space="0" w:color="auto"/>
            <w:left w:val="none" w:sz="0" w:space="0" w:color="auto"/>
            <w:bottom w:val="none" w:sz="0" w:space="0" w:color="auto"/>
            <w:right w:val="none" w:sz="0" w:space="0" w:color="auto"/>
          </w:divBdr>
        </w:div>
        <w:div w:id="207107903">
          <w:marLeft w:val="640"/>
          <w:marRight w:val="0"/>
          <w:marTop w:val="0"/>
          <w:marBottom w:val="0"/>
          <w:divBdr>
            <w:top w:val="none" w:sz="0" w:space="0" w:color="auto"/>
            <w:left w:val="none" w:sz="0" w:space="0" w:color="auto"/>
            <w:bottom w:val="none" w:sz="0" w:space="0" w:color="auto"/>
            <w:right w:val="none" w:sz="0" w:space="0" w:color="auto"/>
          </w:divBdr>
        </w:div>
        <w:div w:id="1996450552">
          <w:marLeft w:val="640"/>
          <w:marRight w:val="0"/>
          <w:marTop w:val="0"/>
          <w:marBottom w:val="0"/>
          <w:divBdr>
            <w:top w:val="none" w:sz="0" w:space="0" w:color="auto"/>
            <w:left w:val="none" w:sz="0" w:space="0" w:color="auto"/>
            <w:bottom w:val="none" w:sz="0" w:space="0" w:color="auto"/>
            <w:right w:val="none" w:sz="0" w:space="0" w:color="auto"/>
          </w:divBdr>
        </w:div>
        <w:div w:id="1423720169">
          <w:marLeft w:val="640"/>
          <w:marRight w:val="0"/>
          <w:marTop w:val="0"/>
          <w:marBottom w:val="0"/>
          <w:divBdr>
            <w:top w:val="none" w:sz="0" w:space="0" w:color="auto"/>
            <w:left w:val="none" w:sz="0" w:space="0" w:color="auto"/>
            <w:bottom w:val="none" w:sz="0" w:space="0" w:color="auto"/>
            <w:right w:val="none" w:sz="0" w:space="0" w:color="auto"/>
          </w:divBdr>
        </w:div>
        <w:div w:id="258489243">
          <w:marLeft w:val="640"/>
          <w:marRight w:val="0"/>
          <w:marTop w:val="0"/>
          <w:marBottom w:val="0"/>
          <w:divBdr>
            <w:top w:val="none" w:sz="0" w:space="0" w:color="auto"/>
            <w:left w:val="none" w:sz="0" w:space="0" w:color="auto"/>
            <w:bottom w:val="none" w:sz="0" w:space="0" w:color="auto"/>
            <w:right w:val="none" w:sz="0" w:space="0" w:color="auto"/>
          </w:divBdr>
        </w:div>
        <w:div w:id="1290166600">
          <w:marLeft w:val="640"/>
          <w:marRight w:val="0"/>
          <w:marTop w:val="0"/>
          <w:marBottom w:val="0"/>
          <w:divBdr>
            <w:top w:val="none" w:sz="0" w:space="0" w:color="auto"/>
            <w:left w:val="none" w:sz="0" w:space="0" w:color="auto"/>
            <w:bottom w:val="none" w:sz="0" w:space="0" w:color="auto"/>
            <w:right w:val="none" w:sz="0" w:space="0" w:color="auto"/>
          </w:divBdr>
        </w:div>
        <w:div w:id="851991456">
          <w:marLeft w:val="640"/>
          <w:marRight w:val="0"/>
          <w:marTop w:val="0"/>
          <w:marBottom w:val="0"/>
          <w:divBdr>
            <w:top w:val="none" w:sz="0" w:space="0" w:color="auto"/>
            <w:left w:val="none" w:sz="0" w:space="0" w:color="auto"/>
            <w:bottom w:val="none" w:sz="0" w:space="0" w:color="auto"/>
            <w:right w:val="none" w:sz="0" w:space="0" w:color="auto"/>
          </w:divBdr>
        </w:div>
        <w:div w:id="441996857">
          <w:marLeft w:val="640"/>
          <w:marRight w:val="0"/>
          <w:marTop w:val="0"/>
          <w:marBottom w:val="0"/>
          <w:divBdr>
            <w:top w:val="none" w:sz="0" w:space="0" w:color="auto"/>
            <w:left w:val="none" w:sz="0" w:space="0" w:color="auto"/>
            <w:bottom w:val="none" w:sz="0" w:space="0" w:color="auto"/>
            <w:right w:val="none" w:sz="0" w:space="0" w:color="auto"/>
          </w:divBdr>
        </w:div>
        <w:div w:id="1952976401">
          <w:marLeft w:val="640"/>
          <w:marRight w:val="0"/>
          <w:marTop w:val="0"/>
          <w:marBottom w:val="0"/>
          <w:divBdr>
            <w:top w:val="none" w:sz="0" w:space="0" w:color="auto"/>
            <w:left w:val="none" w:sz="0" w:space="0" w:color="auto"/>
            <w:bottom w:val="none" w:sz="0" w:space="0" w:color="auto"/>
            <w:right w:val="none" w:sz="0" w:space="0" w:color="auto"/>
          </w:divBdr>
        </w:div>
        <w:div w:id="525758041">
          <w:marLeft w:val="640"/>
          <w:marRight w:val="0"/>
          <w:marTop w:val="0"/>
          <w:marBottom w:val="0"/>
          <w:divBdr>
            <w:top w:val="none" w:sz="0" w:space="0" w:color="auto"/>
            <w:left w:val="none" w:sz="0" w:space="0" w:color="auto"/>
            <w:bottom w:val="none" w:sz="0" w:space="0" w:color="auto"/>
            <w:right w:val="none" w:sz="0" w:space="0" w:color="auto"/>
          </w:divBdr>
        </w:div>
        <w:div w:id="1671300000">
          <w:marLeft w:val="640"/>
          <w:marRight w:val="0"/>
          <w:marTop w:val="0"/>
          <w:marBottom w:val="0"/>
          <w:divBdr>
            <w:top w:val="none" w:sz="0" w:space="0" w:color="auto"/>
            <w:left w:val="none" w:sz="0" w:space="0" w:color="auto"/>
            <w:bottom w:val="none" w:sz="0" w:space="0" w:color="auto"/>
            <w:right w:val="none" w:sz="0" w:space="0" w:color="auto"/>
          </w:divBdr>
        </w:div>
        <w:div w:id="197591156">
          <w:marLeft w:val="640"/>
          <w:marRight w:val="0"/>
          <w:marTop w:val="0"/>
          <w:marBottom w:val="0"/>
          <w:divBdr>
            <w:top w:val="none" w:sz="0" w:space="0" w:color="auto"/>
            <w:left w:val="none" w:sz="0" w:space="0" w:color="auto"/>
            <w:bottom w:val="none" w:sz="0" w:space="0" w:color="auto"/>
            <w:right w:val="none" w:sz="0" w:space="0" w:color="auto"/>
          </w:divBdr>
        </w:div>
        <w:div w:id="2092771354">
          <w:marLeft w:val="640"/>
          <w:marRight w:val="0"/>
          <w:marTop w:val="0"/>
          <w:marBottom w:val="0"/>
          <w:divBdr>
            <w:top w:val="none" w:sz="0" w:space="0" w:color="auto"/>
            <w:left w:val="none" w:sz="0" w:space="0" w:color="auto"/>
            <w:bottom w:val="none" w:sz="0" w:space="0" w:color="auto"/>
            <w:right w:val="none" w:sz="0" w:space="0" w:color="auto"/>
          </w:divBdr>
        </w:div>
        <w:div w:id="1882090608">
          <w:marLeft w:val="640"/>
          <w:marRight w:val="0"/>
          <w:marTop w:val="0"/>
          <w:marBottom w:val="0"/>
          <w:divBdr>
            <w:top w:val="none" w:sz="0" w:space="0" w:color="auto"/>
            <w:left w:val="none" w:sz="0" w:space="0" w:color="auto"/>
            <w:bottom w:val="none" w:sz="0" w:space="0" w:color="auto"/>
            <w:right w:val="none" w:sz="0" w:space="0" w:color="auto"/>
          </w:divBdr>
        </w:div>
        <w:div w:id="663630862">
          <w:marLeft w:val="640"/>
          <w:marRight w:val="0"/>
          <w:marTop w:val="0"/>
          <w:marBottom w:val="0"/>
          <w:divBdr>
            <w:top w:val="none" w:sz="0" w:space="0" w:color="auto"/>
            <w:left w:val="none" w:sz="0" w:space="0" w:color="auto"/>
            <w:bottom w:val="none" w:sz="0" w:space="0" w:color="auto"/>
            <w:right w:val="none" w:sz="0" w:space="0" w:color="auto"/>
          </w:divBdr>
        </w:div>
        <w:div w:id="191312042">
          <w:marLeft w:val="640"/>
          <w:marRight w:val="0"/>
          <w:marTop w:val="0"/>
          <w:marBottom w:val="0"/>
          <w:divBdr>
            <w:top w:val="none" w:sz="0" w:space="0" w:color="auto"/>
            <w:left w:val="none" w:sz="0" w:space="0" w:color="auto"/>
            <w:bottom w:val="none" w:sz="0" w:space="0" w:color="auto"/>
            <w:right w:val="none" w:sz="0" w:space="0" w:color="auto"/>
          </w:divBdr>
        </w:div>
      </w:divsChild>
    </w:div>
    <w:div w:id="319651386">
      <w:bodyDiv w:val="1"/>
      <w:marLeft w:val="0"/>
      <w:marRight w:val="0"/>
      <w:marTop w:val="0"/>
      <w:marBottom w:val="0"/>
      <w:divBdr>
        <w:top w:val="none" w:sz="0" w:space="0" w:color="auto"/>
        <w:left w:val="none" w:sz="0" w:space="0" w:color="auto"/>
        <w:bottom w:val="none" w:sz="0" w:space="0" w:color="auto"/>
        <w:right w:val="none" w:sz="0" w:space="0" w:color="auto"/>
      </w:divBdr>
    </w:div>
    <w:div w:id="430662551">
      <w:bodyDiv w:val="1"/>
      <w:marLeft w:val="0"/>
      <w:marRight w:val="0"/>
      <w:marTop w:val="0"/>
      <w:marBottom w:val="0"/>
      <w:divBdr>
        <w:top w:val="none" w:sz="0" w:space="0" w:color="auto"/>
        <w:left w:val="none" w:sz="0" w:space="0" w:color="auto"/>
        <w:bottom w:val="none" w:sz="0" w:space="0" w:color="auto"/>
        <w:right w:val="none" w:sz="0" w:space="0" w:color="auto"/>
      </w:divBdr>
    </w:div>
    <w:div w:id="478427403">
      <w:bodyDiv w:val="1"/>
      <w:marLeft w:val="0"/>
      <w:marRight w:val="0"/>
      <w:marTop w:val="0"/>
      <w:marBottom w:val="0"/>
      <w:divBdr>
        <w:top w:val="none" w:sz="0" w:space="0" w:color="auto"/>
        <w:left w:val="none" w:sz="0" w:space="0" w:color="auto"/>
        <w:bottom w:val="none" w:sz="0" w:space="0" w:color="auto"/>
        <w:right w:val="none" w:sz="0" w:space="0" w:color="auto"/>
      </w:divBdr>
    </w:div>
    <w:div w:id="589895006">
      <w:bodyDiv w:val="1"/>
      <w:marLeft w:val="0"/>
      <w:marRight w:val="0"/>
      <w:marTop w:val="0"/>
      <w:marBottom w:val="0"/>
      <w:divBdr>
        <w:top w:val="none" w:sz="0" w:space="0" w:color="auto"/>
        <w:left w:val="none" w:sz="0" w:space="0" w:color="auto"/>
        <w:bottom w:val="none" w:sz="0" w:space="0" w:color="auto"/>
        <w:right w:val="none" w:sz="0" w:space="0" w:color="auto"/>
      </w:divBdr>
      <w:divsChild>
        <w:div w:id="905337607">
          <w:marLeft w:val="640"/>
          <w:marRight w:val="0"/>
          <w:marTop w:val="0"/>
          <w:marBottom w:val="0"/>
          <w:divBdr>
            <w:top w:val="none" w:sz="0" w:space="0" w:color="auto"/>
            <w:left w:val="none" w:sz="0" w:space="0" w:color="auto"/>
            <w:bottom w:val="none" w:sz="0" w:space="0" w:color="auto"/>
            <w:right w:val="none" w:sz="0" w:space="0" w:color="auto"/>
          </w:divBdr>
        </w:div>
        <w:div w:id="806892726">
          <w:marLeft w:val="640"/>
          <w:marRight w:val="0"/>
          <w:marTop w:val="0"/>
          <w:marBottom w:val="0"/>
          <w:divBdr>
            <w:top w:val="none" w:sz="0" w:space="0" w:color="auto"/>
            <w:left w:val="none" w:sz="0" w:space="0" w:color="auto"/>
            <w:bottom w:val="none" w:sz="0" w:space="0" w:color="auto"/>
            <w:right w:val="none" w:sz="0" w:space="0" w:color="auto"/>
          </w:divBdr>
        </w:div>
        <w:div w:id="859196918">
          <w:marLeft w:val="640"/>
          <w:marRight w:val="0"/>
          <w:marTop w:val="0"/>
          <w:marBottom w:val="0"/>
          <w:divBdr>
            <w:top w:val="none" w:sz="0" w:space="0" w:color="auto"/>
            <w:left w:val="none" w:sz="0" w:space="0" w:color="auto"/>
            <w:bottom w:val="none" w:sz="0" w:space="0" w:color="auto"/>
            <w:right w:val="none" w:sz="0" w:space="0" w:color="auto"/>
          </w:divBdr>
        </w:div>
        <w:div w:id="61222658">
          <w:marLeft w:val="640"/>
          <w:marRight w:val="0"/>
          <w:marTop w:val="0"/>
          <w:marBottom w:val="0"/>
          <w:divBdr>
            <w:top w:val="none" w:sz="0" w:space="0" w:color="auto"/>
            <w:left w:val="none" w:sz="0" w:space="0" w:color="auto"/>
            <w:bottom w:val="none" w:sz="0" w:space="0" w:color="auto"/>
            <w:right w:val="none" w:sz="0" w:space="0" w:color="auto"/>
          </w:divBdr>
        </w:div>
        <w:div w:id="59521059">
          <w:marLeft w:val="640"/>
          <w:marRight w:val="0"/>
          <w:marTop w:val="0"/>
          <w:marBottom w:val="0"/>
          <w:divBdr>
            <w:top w:val="none" w:sz="0" w:space="0" w:color="auto"/>
            <w:left w:val="none" w:sz="0" w:space="0" w:color="auto"/>
            <w:bottom w:val="none" w:sz="0" w:space="0" w:color="auto"/>
            <w:right w:val="none" w:sz="0" w:space="0" w:color="auto"/>
          </w:divBdr>
        </w:div>
        <w:div w:id="914242803">
          <w:marLeft w:val="640"/>
          <w:marRight w:val="0"/>
          <w:marTop w:val="0"/>
          <w:marBottom w:val="0"/>
          <w:divBdr>
            <w:top w:val="none" w:sz="0" w:space="0" w:color="auto"/>
            <w:left w:val="none" w:sz="0" w:space="0" w:color="auto"/>
            <w:bottom w:val="none" w:sz="0" w:space="0" w:color="auto"/>
            <w:right w:val="none" w:sz="0" w:space="0" w:color="auto"/>
          </w:divBdr>
        </w:div>
        <w:div w:id="1524132457">
          <w:marLeft w:val="640"/>
          <w:marRight w:val="0"/>
          <w:marTop w:val="0"/>
          <w:marBottom w:val="0"/>
          <w:divBdr>
            <w:top w:val="none" w:sz="0" w:space="0" w:color="auto"/>
            <w:left w:val="none" w:sz="0" w:space="0" w:color="auto"/>
            <w:bottom w:val="none" w:sz="0" w:space="0" w:color="auto"/>
            <w:right w:val="none" w:sz="0" w:space="0" w:color="auto"/>
          </w:divBdr>
        </w:div>
        <w:div w:id="1904218083">
          <w:marLeft w:val="640"/>
          <w:marRight w:val="0"/>
          <w:marTop w:val="0"/>
          <w:marBottom w:val="0"/>
          <w:divBdr>
            <w:top w:val="none" w:sz="0" w:space="0" w:color="auto"/>
            <w:left w:val="none" w:sz="0" w:space="0" w:color="auto"/>
            <w:bottom w:val="none" w:sz="0" w:space="0" w:color="auto"/>
            <w:right w:val="none" w:sz="0" w:space="0" w:color="auto"/>
          </w:divBdr>
        </w:div>
        <w:div w:id="320546776">
          <w:marLeft w:val="640"/>
          <w:marRight w:val="0"/>
          <w:marTop w:val="0"/>
          <w:marBottom w:val="0"/>
          <w:divBdr>
            <w:top w:val="none" w:sz="0" w:space="0" w:color="auto"/>
            <w:left w:val="none" w:sz="0" w:space="0" w:color="auto"/>
            <w:bottom w:val="none" w:sz="0" w:space="0" w:color="auto"/>
            <w:right w:val="none" w:sz="0" w:space="0" w:color="auto"/>
          </w:divBdr>
        </w:div>
        <w:div w:id="335035375">
          <w:marLeft w:val="640"/>
          <w:marRight w:val="0"/>
          <w:marTop w:val="0"/>
          <w:marBottom w:val="0"/>
          <w:divBdr>
            <w:top w:val="none" w:sz="0" w:space="0" w:color="auto"/>
            <w:left w:val="none" w:sz="0" w:space="0" w:color="auto"/>
            <w:bottom w:val="none" w:sz="0" w:space="0" w:color="auto"/>
            <w:right w:val="none" w:sz="0" w:space="0" w:color="auto"/>
          </w:divBdr>
        </w:div>
        <w:div w:id="1810708376">
          <w:marLeft w:val="640"/>
          <w:marRight w:val="0"/>
          <w:marTop w:val="0"/>
          <w:marBottom w:val="0"/>
          <w:divBdr>
            <w:top w:val="none" w:sz="0" w:space="0" w:color="auto"/>
            <w:left w:val="none" w:sz="0" w:space="0" w:color="auto"/>
            <w:bottom w:val="none" w:sz="0" w:space="0" w:color="auto"/>
            <w:right w:val="none" w:sz="0" w:space="0" w:color="auto"/>
          </w:divBdr>
        </w:div>
        <w:div w:id="1763453577">
          <w:marLeft w:val="640"/>
          <w:marRight w:val="0"/>
          <w:marTop w:val="0"/>
          <w:marBottom w:val="0"/>
          <w:divBdr>
            <w:top w:val="none" w:sz="0" w:space="0" w:color="auto"/>
            <w:left w:val="none" w:sz="0" w:space="0" w:color="auto"/>
            <w:bottom w:val="none" w:sz="0" w:space="0" w:color="auto"/>
            <w:right w:val="none" w:sz="0" w:space="0" w:color="auto"/>
          </w:divBdr>
        </w:div>
        <w:div w:id="1426029592">
          <w:marLeft w:val="640"/>
          <w:marRight w:val="0"/>
          <w:marTop w:val="0"/>
          <w:marBottom w:val="0"/>
          <w:divBdr>
            <w:top w:val="none" w:sz="0" w:space="0" w:color="auto"/>
            <w:left w:val="none" w:sz="0" w:space="0" w:color="auto"/>
            <w:bottom w:val="none" w:sz="0" w:space="0" w:color="auto"/>
            <w:right w:val="none" w:sz="0" w:space="0" w:color="auto"/>
          </w:divBdr>
        </w:div>
        <w:div w:id="1482961326">
          <w:marLeft w:val="640"/>
          <w:marRight w:val="0"/>
          <w:marTop w:val="0"/>
          <w:marBottom w:val="0"/>
          <w:divBdr>
            <w:top w:val="none" w:sz="0" w:space="0" w:color="auto"/>
            <w:left w:val="none" w:sz="0" w:space="0" w:color="auto"/>
            <w:bottom w:val="none" w:sz="0" w:space="0" w:color="auto"/>
            <w:right w:val="none" w:sz="0" w:space="0" w:color="auto"/>
          </w:divBdr>
        </w:div>
        <w:div w:id="1824349089">
          <w:marLeft w:val="640"/>
          <w:marRight w:val="0"/>
          <w:marTop w:val="0"/>
          <w:marBottom w:val="0"/>
          <w:divBdr>
            <w:top w:val="none" w:sz="0" w:space="0" w:color="auto"/>
            <w:left w:val="none" w:sz="0" w:space="0" w:color="auto"/>
            <w:bottom w:val="none" w:sz="0" w:space="0" w:color="auto"/>
            <w:right w:val="none" w:sz="0" w:space="0" w:color="auto"/>
          </w:divBdr>
        </w:div>
        <w:div w:id="1406611916">
          <w:marLeft w:val="640"/>
          <w:marRight w:val="0"/>
          <w:marTop w:val="0"/>
          <w:marBottom w:val="0"/>
          <w:divBdr>
            <w:top w:val="none" w:sz="0" w:space="0" w:color="auto"/>
            <w:left w:val="none" w:sz="0" w:space="0" w:color="auto"/>
            <w:bottom w:val="none" w:sz="0" w:space="0" w:color="auto"/>
            <w:right w:val="none" w:sz="0" w:space="0" w:color="auto"/>
          </w:divBdr>
        </w:div>
        <w:div w:id="1898012603">
          <w:marLeft w:val="640"/>
          <w:marRight w:val="0"/>
          <w:marTop w:val="0"/>
          <w:marBottom w:val="0"/>
          <w:divBdr>
            <w:top w:val="none" w:sz="0" w:space="0" w:color="auto"/>
            <w:left w:val="none" w:sz="0" w:space="0" w:color="auto"/>
            <w:bottom w:val="none" w:sz="0" w:space="0" w:color="auto"/>
            <w:right w:val="none" w:sz="0" w:space="0" w:color="auto"/>
          </w:divBdr>
        </w:div>
      </w:divsChild>
    </w:div>
    <w:div w:id="638608158">
      <w:bodyDiv w:val="1"/>
      <w:marLeft w:val="0"/>
      <w:marRight w:val="0"/>
      <w:marTop w:val="0"/>
      <w:marBottom w:val="0"/>
      <w:divBdr>
        <w:top w:val="none" w:sz="0" w:space="0" w:color="auto"/>
        <w:left w:val="none" w:sz="0" w:space="0" w:color="auto"/>
        <w:bottom w:val="none" w:sz="0" w:space="0" w:color="auto"/>
        <w:right w:val="none" w:sz="0" w:space="0" w:color="auto"/>
      </w:divBdr>
    </w:div>
    <w:div w:id="731151470">
      <w:bodyDiv w:val="1"/>
      <w:marLeft w:val="0"/>
      <w:marRight w:val="0"/>
      <w:marTop w:val="0"/>
      <w:marBottom w:val="0"/>
      <w:divBdr>
        <w:top w:val="none" w:sz="0" w:space="0" w:color="auto"/>
        <w:left w:val="none" w:sz="0" w:space="0" w:color="auto"/>
        <w:bottom w:val="none" w:sz="0" w:space="0" w:color="auto"/>
        <w:right w:val="none" w:sz="0" w:space="0" w:color="auto"/>
      </w:divBdr>
      <w:divsChild>
        <w:div w:id="968702623">
          <w:marLeft w:val="640"/>
          <w:marRight w:val="0"/>
          <w:marTop w:val="0"/>
          <w:marBottom w:val="0"/>
          <w:divBdr>
            <w:top w:val="none" w:sz="0" w:space="0" w:color="auto"/>
            <w:left w:val="none" w:sz="0" w:space="0" w:color="auto"/>
            <w:bottom w:val="none" w:sz="0" w:space="0" w:color="auto"/>
            <w:right w:val="none" w:sz="0" w:space="0" w:color="auto"/>
          </w:divBdr>
        </w:div>
        <w:div w:id="259801156">
          <w:marLeft w:val="640"/>
          <w:marRight w:val="0"/>
          <w:marTop w:val="0"/>
          <w:marBottom w:val="0"/>
          <w:divBdr>
            <w:top w:val="none" w:sz="0" w:space="0" w:color="auto"/>
            <w:left w:val="none" w:sz="0" w:space="0" w:color="auto"/>
            <w:bottom w:val="none" w:sz="0" w:space="0" w:color="auto"/>
            <w:right w:val="none" w:sz="0" w:space="0" w:color="auto"/>
          </w:divBdr>
        </w:div>
        <w:div w:id="333726838">
          <w:marLeft w:val="640"/>
          <w:marRight w:val="0"/>
          <w:marTop w:val="0"/>
          <w:marBottom w:val="0"/>
          <w:divBdr>
            <w:top w:val="none" w:sz="0" w:space="0" w:color="auto"/>
            <w:left w:val="none" w:sz="0" w:space="0" w:color="auto"/>
            <w:bottom w:val="none" w:sz="0" w:space="0" w:color="auto"/>
            <w:right w:val="none" w:sz="0" w:space="0" w:color="auto"/>
          </w:divBdr>
        </w:div>
        <w:div w:id="1986156630">
          <w:marLeft w:val="640"/>
          <w:marRight w:val="0"/>
          <w:marTop w:val="0"/>
          <w:marBottom w:val="0"/>
          <w:divBdr>
            <w:top w:val="none" w:sz="0" w:space="0" w:color="auto"/>
            <w:left w:val="none" w:sz="0" w:space="0" w:color="auto"/>
            <w:bottom w:val="none" w:sz="0" w:space="0" w:color="auto"/>
            <w:right w:val="none" w:sz="0" w:space="0" w:color="auto"/>
          </w:divBdr>
        </w:div>
        <w:div w:id="2089181549">
          <w:marLeft w:val="640"/>
          <w:marRight w:val="0"/>
          <w:marTop w:val="0"/>
          <w:marBottom w:val="0"/>
          <w:divBdr>
            <w:top w:val="none" w:sz="0" w:space="0" w:color="auto"/>
            <w:left w:val="none" w:sz="0" w:space="0" w:color="auto"/>
            <w:bottom w:val="none" w:sz="0" w:space="0" w:color="auto"/>
            <w:right w:val="none" w:sz="0" w:space="0" w:color="auto"/>
          </w:divBdr>
        </w:div>
        <w:div w:id="736510808">
          <w:marLeft w:val="640"/>
          <w:marRight w:val="0"/>
          <w:marTop w:val="0"/>
          <w:marBottom w:val="0"/>
          <w:divBdr>
            <w:top w:val="none" w:sz="0" w:space="0" w:color="auto"/>
            <w:left w:val="none" w:sz="0" w:space="0" w:color="auto"/>
            <w:bottom w:val="none" w:sz="0" w:space="0" w:color="auto"/>
            <w:right w:val="none" w:sz="0" w:space="0" w:color="auto"/>
          </w:divBdr>
        </w:div>
        <w:div w:id="288052861">
          <w:marLeft w:val="640"/>
          <w:marRight w:val="0"/>
          <w:marTop w:val="0"/>
          <w:marBottom w:val="0"/>
          <w:divBdr>
            <w:top w:val="none" w:sz="0" w:space="0" w:color="auto"/>
            <w:left w:val="none" w:sz="0" w:space="0" w:color="auto"/>
            <w:bottom w:val="none" w:sz="0" w:space="0" w:color="auto"/>
            <w:right w:val="none" w:sz="0" w:space="0" w:color="auto"/>
          </w:divBdr>
        </w:div>
        <w:div w:id="671568807">
          <w:marLeft w:val="640"/>
          <w:marRight w:val="0"/>
          <w:marTop w:val="0"/>
          <w:marBottom w:val="0"/>
          <w:divBdr>
            <w:top w:val="none" w:sz="0" w:space="0" w:color="auto"/>
            <w:left w:val="none" w:sz="0" w:space="0" w:color="auto"/>
            <w:bottom w:val="none" w:sz="0" w:space="0" w:color="auto"/>
            <w:right w:val="none" w:sz="0" w:space="0" w:color="auto"/>
          </w:divBdr>
        </w:div>
        <w:div w:id="1528903856">
          <w:marLeft w:val="640"/>
          <w:marRight w:val="0"/>
          <w:marTop w:val="0"/>
          <w:marBottom w:val="0"/>
          <w:divBdr>
            <w:top w:val="none" w:sz="0" w:space="0" w:color="auto"/>
            <w:left w:val="none" w:sz="0" w:space="0" w:color="auto"/>
            <w:bottom w:val="none" w:sz="0" w:space="0" w:color="auto"/>
            <w:right w:val="none" w:sz="0" w:space="0" w:color="auto"/>
          </w:divBdr>
        </w:div>
        <w:div w:id="1043486654">
          <w:marLeft w:val="640"/>
          <w:marRight w:val="0"/>
          <w:marTop w:val="0"/>
          <w:marBottom w:val="0"/>
          <w:divBdr>
            <w:top w:val="none" w:sz="0" w:space="0" w:color="auto"/>
            <w:left w:val="none" w:sz="0" w:space="0" w:color="auto"/>
            <w:bottom w:val="none" w:sz="0" w:space="0" w:color="auto"/>
            <w:right w:val="none" w:sz="0" w:space="0" w:color="auto"/>
          </w:divBdr>
        </w:div>
        <w:div w:id="817262417">
          <w:marLeft w:val="640"/>
          <w:marRight w:val="0"/>
          <w:marTop w:val="0"/>
          <w:marBottom w:val="0"/>
          <w:divBdr>
            <w:top w:val="none" w:sz="0" w:space="0" w:color="auto"/>
            <w:left w:val="none" w:sz="0" w:space="0" w:color="auto"/>
            <w:bottom w:val="none" w:sz="0" w:space="0" w:color="auto"/>
            <w:right w:val="none" w:sz="0" w:space="0" w:color="auto"/>
          </w:divBdr>
        </w:div>
        <w:div w:id="495535920">
          <w:marLeft w:val="640"/>
          <w:marRight w:val="0"/>
          <w:marTop w:val="0"/>
          <w:marBottom w:val="0"/>
          <w:divBdr>
            <w:top w:val="none" w:sz="0" w:space="0" w:color="auto"/>
            <w:left w:val="none" w:sz="0" w:space="0" w:color="auto"/>
            <w:bottom w:val="none" w:sz="0" w:space="0" w:color="auto"/>
            <w:right w:val="none" w:sz="0" w:space="0" w:color="auto"/>
          </w:divBdr>
        </w:div>
        <w:div w:id="544870951">
          <w:marLeft w:val="640"/>
          <w:marRight w:val="0"/>
          <w:marTop w:val="0"/>
          <w:marBottom w:val="0"/>
          <w:divBdr>
            <w:top w:val="none" w:sz="0" w:space="0" w:color="auto"/>
            <w:left w:val="none" w:sz="0" w:space="0" w:color="auto"/>
            <w:bottom w:val="none" w:sz="0" w:space="0" w:color="auto"/>
            <w:right w:val="none" w:sz="0" w:space="0" w:color="auto"/>
          </w:divBdr>
        </w:div>
        <w:div w:id="1816100850">
          <w:marLeft w:val="640"/>
          <w:marRight w:val="0"/>
          <w:marTop w:val="0"/>
          <w:marBottom w:val="0"/>
          <w:divBdr>
            <w:top w:val="none" w:sz="0" w:space="0" w:color="auto"/>
            <w:left w:val="none" w:sz="0" w:space="0" w:color="auto"/>
            <w:bottom w:val="none" w:sz="0" w:space="0" w:color="auto"/>
            <w:right w:val="none" w:sz="0" w:space="0" w:color="auto"/>
          </w:divBdr>
        </w:div>
        <w:div w:id="301736326">
          <w:marLeft w:val="640"/>
          <w:marRight w:val="0"/>
          <w:marTop w:val="0"/>
          <w:marBottom w:val="0"/>
          <w:divBdr>
            <w:top w:val="none" w:sz="0" w:space="0" w:color="auto"/>
            <w:left w:val="none" w:sz="0" w:space="0" w:color="auto"/>
            <w:bottom w:val="none" w:sz="0" w:space="0" w:color="auto"/>
            <w:right w:val="none" w:sz="0" w:space="0" w:color="auto"/>
          </w:divBdr>
        </w:div>
        <w:div w:id="634529619">
          <w:marLeft w:val="640"/>
          <w:marRight w:val="0"/>
          <w:marTop w:val="0"/>
          <w:marBottom w:val="0"/>
          <w:divBdr>
            <w:top w:val="none" w:sz="0" w:space="0" w:color="auto"/>
            <w:left w:val="none" w:sz="0" w:space="0" w:color="auto"/>
            <w:bottom w:val="none" w:sz="0" w:space="0" w:color="auto"/>
            <w:right w:val="none" w:sz="0" w:space="0" w:color="auto"/>
          </w:divBdr>
        </w:div>
        <w:div w:id="876963541">
          <w:marLeft w:val="640"/>
          <w:marRight w:val="0"/>
          <w:marTop w:val="0"/>
          <w:marBottom w:val="0"/>
          <w:divBdr>
            <w:top w:val="none" w:sz="0" w:space="0" w:color="auto"/>
            <w:left w:val="none" w:sz="0" w:space="0" w:color="auto"/>
            <w:bottom w:val="none" w:sz="0" w:space="0" w:color="auto"/>
            <w:right w:val="none" w:sz="0" w:space="0" w:color="auto"/>
          </w:divBdr>
        </w:div>
      </w:divsChild>
    </w:div>
    <w:div w:id="891693190">
      <w:bodyDiv w:val="1"/>
      <w:marLeft w:val="0"/>
      <w:marRight w:val="0"/>
      <w:marTop w:val="0"/>
      <w:marBottom w:val="0"/>
      <w:divBdr>
        <w:top w:val="none" w:sz="0" w:space="0" w:color="auto"/>
        <w:left w:val="none" w:sz="0" w:space="0" w:color="auto"/>
        <w:bottom w:val="none" w:sz="0" w:space="0" w:color="auto"/>
        <w:right w:val="none" w:sz="0" w:space="0" w:color="auto"/>
      </w:divBdr>
      <w:divsChild>
        <w:div w:id="1532526148">
          <w:marLeft w:val="640"/>
          <w:marRight w:val="0"/>
          <w:marTop w:val="0"/>
          <w:marBottom w:val="0"/>
          <w:divBdr>
            <w:top w:val="none" w:sz="0" w:space="0" w:color="auto"/>
            <w:left w:val="none" w:sz="0" w:space="0" w:color="auto"/>
            <w:bottom w:val="none" w:sz="0" w:space="0" w:color="auto"/>
            <w:right w:val="none" w:sz="0" w:space="0" w:color="auto"/>
          </w:divBdr>
        </w:div>
        <w:div w:id="669523141">
          <w:marLeft w:val="640"/>
          <w:marRight w:val="0"/>
          <w:marTop w:val="0"/>
          <w:marBottom w:val="0"/>
          <w:divBdr>
            <w:top w:val="none" w:sz="0" w:space="0" w:color="auto"/>
            <w:left w:val="none" w:sz="0" w:space="0" w:color="auto"/>
            <w:bottom w:val="none" w:sz="0" w:space="0" w:color="auto"/>
            <w:right w:val="none" w:sz="0" w:space="0" w:color="auto"/>
          </w:divBdr>
        </w:div>
        <w:div w:id="1391005258">
          <w:marLeft w:val="640"/>
          <w:marRight w:val="0"/>
          <w:marTop w:val="0"/>
          <w:marBottom w:val="0"/>
          <w:divBdr>
            <w:top w:val="none" w:sz="0" w:space="0" w:color="auto"/>
            <w:left w:val="none" w:sz="0" w:space="0" w:color="auto"/>
            <w:bottom w:val="none" w:sz="0" w:space="0" w:color="auto"/>
            <w:right w:val="none" w:sz="0" w:space="0" w:color="auto"/>
          </w:divBdr>
        </w:div>
        <w:div w:id="1105928370">
          <w:marLeft w:val="640"/>
          <w:marRight w:val="0"/>
          <w:marTop w:val="0"/>
          <w:marBottom w:val="0"/>
          <w:divBdr>
            <w:top w:val="none" w:sz="0" w:space="0" w:color="auto"/>
            <w:left w:val="none" w:sz="0" w:space="0" w:color="auto"/>
            <w:bottom w:val="none" w:sz="0" w:space="0" w:color="auto"/>
            <w:right w:val="none" w:sz="0" w:space="0" w:color="auto"/>
          </w:divBdr>
        </w:div>
        <w:div w:id="1613711648">
          <w:marLeft w:val="640"/>
          <w:marRight w:val="0"/>
          <w:marTop w:val="0"/>
          <w:marBottom w:val="0"/>
          <w:divBdr>
            <w:top w:val="none" w:sz="0" w:space="0" w:color="auto"/>
            <w:left w:val="none" w:sz="0" w:space="0" w:color="auto"/>
            <w:bottom w:val="none" w:sz="0" w:space="0" w:color="auto"/>
            <w:right w:val="none" w:sz="0" w:space="0" w:color="auto"/>
          </w:divBdr>
        </w:div>
        <w:div w:id="2091122879">
          <w:marLeft w:val="640"/>
          <w:marRight w:val="0"/>
          <w:marTop w:val="0"/>
          <w:marBottom w:val="0"/>
          <w:divBdr>
            <w:top w:val="none" w:sz="0" w:space="0" w:color="auto"/>
            <w:left w:val="none" w:sz="0" w:space="0" w:color="auto"/>
            <w:bottom w:val="none" w:sz="0" w:space="0" w:color="auto"/>
            <w:right w:val="none" w:sz="0" w:space="0" w:color="auto"/>
          </w:divBdr>
        </w:div>
        <w:div w:id="552816949">
          <w:marLeft w:val="640"/>
          <w:marRight w:val="0"/>
          <w:marTop w:val="0"/>
          <w:marBottom w:val="0"/>
          <w:divBdr>
            <w:top w:val="none" w:sz="0" w:space="0" w:color="auto"/>
            <w:left w:val="none" w:sz="0" w:space="0" w:color="auto"/>
            <w:bottom w:val="none" w:sz="0" w:space="0" w:color="auto"/>
            <w:right w:val="none" w:sz="0" w:space="0" w:color="auto"/>
          </w:divBdr>
        </w:div>
        <w:div w:id="53816372">
          <w:marLeft w:val="640"/>
          <w:marRight w:val="0"/>
          <w:marTop w:val="0"/>
          <w:marBottom w:val="0"/>
          <w:divBdr>
            <w:top w:val="none" w:sz="0" w:space="0" w:color="auto"/>
            <w:left w:val="none" w:sz="0" w:space="0" w:color="auto"/>
            <w:bottom w:val="none" w:sz="0" w:space="0" w:color="auto"/>
            <w:right w:val="none" w:sz="0" w:space="0" w:color="auto"/>
          </w:divBdr>
        </w:div>
        <w:div w:id="1242256085">
          <w:marLeft w:val="640"/>
          <w:marRight w:val="0"/>
          <w:marTop w:val="0"/>
          <w:marBottom w:val="0"/>
          <w:divBdr>
            <w:top w:val="none" w:sz="0" w:space="0" w:color="auto"/>
            <w:left w:val="none" w:sz="0" w:space="0" w:color="auto"/>
            <w:bottom w:val="none" w:sz="0" w:space="0" w:color="auto"/>
            <w:right w:val="none" w:sz="0" w:space="0" w:color="auto"/>
          </w:divBdr>
        </w:div>
        <w:div w:id="1151287615">
          <w:marLeft w:val="640"/>
          <w:marRight w:val="0"/>
          <w:marTop w:val="0"/>
          <w:marBottom w:val="0"/>
          <w:divBdr>
            <w:top w:val="none" w:sz="0" w:space="0" w:color="auto"/>
            <w:left w:val="none" w:sz="0" w:space="0" w:color="auto"/>
            <w:bottom w:val="none" w:sz="0" w:space="0" w:color="auto"/>
            <w:right w:val="none" w:sz="0" w:space="0" w:color="auto"/>
          </w:divBdr>
        </w:div>
        <w:div w:id="881408780">
          <w:marLeft w:val="640"/>
          <w:marRight w:val="0"/>
          <w:marTop w:val="0"/>
          <w:marBottom w:val="0"/>
          <w:divBdr>
            <w:top w:val="none" w:sz="0" w:space="0" w:color="auto"/>
            <w:left w:val="none" w:sz="0" w:space="0" w:color="auto"/>
            <w:bottom w:val="none" w:sz="0" w:space="0" w:color="auto"/>
            <w:right w:val="none" w:sz="0" w:space="0" w:color="auto"/>
          </w:divBdr>
        </w:div>
        <w:div w:id="1390499061">
          <w:marLeft w:val="640"/>
          <w:marRight w:val="0"/>
          <w:marTop w:val="0"/>
          <w:marBottom w:val="0"/>
          <w:divBdr>
            <w:top w:val="none" w:sz="0" w:space="0" w:color="auto"/>
            <w:left w:val="none" w:sz="0" w:space="0" w:color="auto"/>
            <w:bottom w:val="none" w:sz="0" w:space="0" w:color="auto"/>
            <w:right w:val="none" w:sz="0" w:space="0" w:color="auto"/>
          </w:divBdr>
        </w:div>
        <w:div w:id="1611428021">
          <w:marLeft w:val="640"/>
          <w:marRight w:val="0"/>
          <w:marTop w:val="0"/>
          <w:marBottom w:val="0"/>
          <w:divBdr>
            <w:top w:val="none" w:sz="0" w:space="0" w:color="auto"/>
            <w:left w:val="none" w:sz="0" w:space="0" w:color="auto"/>
            <w:bottom w:val="none" w:sz="0" w:space="0" w:color="auto"/>
            <w:right w:val="none" w:sz="0" w:space="0" w:color="auto"/>
          </w:divBdr>
        </w:div>
        <w:div w:id="1974483791">
          <w:marLeft w:val="640"/>
          <w:marRight w:val="0"/>
          <w:marTop w:val="0"/>
          <w:marBottom w:val="0"/>
          <w:divBdr>
            <w:top w:val="none" w:sz="0" w:space="0" w:color="auto"/>
            <w:left w:val="none" w:sz="0" w:space="0" w:color="auto"/>
            <w:bottom w:val="none" w:sz="0" w:space="0" w:color="auto"/>
            <w:right w:val="none" w:sz="0" w:space="0" w:color="auto"/>
          </w:divBdr>
        </w:div>
        <w:div w:id="1311717410">
          <w:marLeft w:val="640"/>
          <w:marRight w:val="0"/>
          <w:marTop w:val="0"/>
          <w:marBottom w:val="0"/>
          <w:divBdr>
            <w:top w:val="none" w:sz="0" w:space="0" w:color="auto"/>
            <w:left w:val="none" w:sz="0" w:space="0" w:color="auto"/>
            <w:bottom w:val="none" w:sz="0" w:space="0" w:color="auto"/>
            <w:right w:val="none" w:sz="0" w:space="0" w:color="auto"/>
          </w:divBdr>
        </w:div>
        <w:div w:id="2061243550">
          <w:marLeft w:val="640"/>
          <w:marRight w:val="0"/>
          <w:marTop w:val="0"/>
          <w:marBottom w:val="0"/>
          <w:divBdr>
            <w:top w:val="none" w:sz="0" w:space="0" w:color="auto"/>
            <w:left w:val="none" w:sz="0" w:space="0" w:color="auto"/>
            <w:bottom w:val="none" w:sz="0" w:space="0" w:color="auto"/>
            <w:right w:val="none" w:sz="0" w:space="0" w:color="auto"/>
          </w:divBdr>
        </w:div>
        <w:div w:id="86269600">
          <w:marLeft w:val="640"/>
          <w:marRight w:val="0"/>
          <w:marTop w:val="0"/>
          <w:marBottom w:val="0"/>
          <w:divBdr>
            <w:top w:val="none" w:sz="0" w:space="0" w:color="auto"/>
            <w:left w:val="none" w:sz="0" w:space="0" w:color="auto"/>
            <w:bottom w:val="none" w:sz="0" w:space="0" w:color="auto"/>
            <w:right w:val="none" w:sz="0" w:space="0" w:color="auto"/>
          </w:divBdr>
        </w:div>
      </w:divsChild>
    </w:div>
    <w:div w:id="1056970466">
      <w:bodyDiv w:val="1"/>
      <w:marLeft w:val="0"/>
      <w:marRight w:val="0"/>
      <w:marTop w:val="0"/>
      <w:marBottom w:val="0"/>
      <w:divBdr>
        <w:top w:val="none" w:sz="0" w:space="0" w:color="auto"/>
        <w:left w:val="none" w:sz="0" w:space="0" w:color="auto"/>
        <w:bottom w:val="none" w:sz="0" w:space="0" w:color="auto"/>
        <w:right w:val="none" w:sz="0" w:space="0" w:color="auto"/>
      </w:divBdr>
    </w:div>
    <w:div w:id="1187672831">
      <w:bodyDiv w:val="1"/>
      <w:marLeft w:val="0"/>
      <w:marRight w:val="0"/>
      <w:marTop w:val="0"/>
      <w:marBottom w:val="0"/>
      <w:divBdr>
        <w:top w:val="none" w:sz="0" w:space="0" w:color="auto"/>
        <w:left w:val="none" w:sz="0" w:space="0" w:color="auto"/>
        <w:bottom w:val="none" w:sz="0" w:space="0" w:color="auto"/>
        <w:right w:val="none" w:sz="0" w:space="0" w:color="auto"/>
      </w:divBdr>
    </w:div>
    <w:div w:id="1457599118">
      <w:bodyDiv w:val="1"/>
      <w:marLeft w:val="0"/>
      <w:marRight w:val="0"/>
      <w:marTop w:val="0"/>
      <w:marBottom w:val="0"/>
      <w:divBdr>
        <w:top w:val="none" w:sz="0" w:space="0" w:color="auto"/>
        <w:left w:val="none" w:sz="0" w:space="0" w:color="auto"/>
        <w:bottom w:val="none" w:sz="0" w:space="0" w:color="auto"/>
        <w:right w:val="none" w:sz="0" w:space="0" w:color="auto"/>
      </w:divBdr>
      <w:divsChild>
        <w:div w:id="143353658">
          <w:marLeft w:val="640"/>
          <w:marRight w:val="0"/>
          <w:marTop w:val="0"/>
          <w:marBottom w:val="0"/>
          <w:divBdr>
            <w:top w:val="none" w:sz="0" w:space="0" w:color="auto"/>
            <w:left w:val="none" w:sz="0" w:space="0" w:color="auto"/>
            <w:bottom w:val="none" w:sz="0" w:space="0" w:color="auto"/>
            <w:right w:val="none" w:sz="0" w:space="0" w:color="auto"/>
          </w:divBdr>
        </w:div>
        <w:div w:id="211042287">
          <w:marLeft w:val="640"/>
          <w:marRight w:val="0"/>
          <w:marTop w:val="0"/>
          <w:marBottom w:val="0"/>
          <w:divBdr>
            <w:top w:val="none" w:sz="0" w:space="0" w:color="auto"/>
            <w:left w:val="none" w:sz="0" w:space="0" w:color="auto"/>
            <w:bottom w:val="none" w:sz="0" w:space="0" w:color="auto"/>
            <w:right w:val="none" w:sz="0" w:space="0" w:color="auto"/>
          </w:divBdr>
        </w:div>
        <w:div w:id="698438314">
          <w:marLeft w:val="640"/>
          <w:marRight w:val="0"/>
          <w:marTop w:val="0"/>
          <w:marBottom w:val="0"/>
          <w:divBdr>
            <w:top w:val="none" w:sz="0" w:space="0" w:color="auto"/>
            <w:left w:val="none" w:sz="0" w:space="0" w:color="auto"/>
            <w:bottom w:val="none" w:sz="0" w:space="0" w:color="auto"/>
            <w:right w:val="none" w:sz="0" w:space="0" w:color="auto"/>
          </w:divBdr>
        </w:div>
        <w:div w:id="803736799">
          <w:marLeft w:val="640"/>
          <w:marRight w:val="0"/>
          <w:marTop w:val="0"/>
          <w:marBottom w:val="0"/>
          <w:divBdr>
            <w:top w:val="none" w:sz="0" w:space="0" w:color="auto"/>
            <w:left w:val="none" w:sz="0" w:space="0" w:color="auto"/>
            <w:bottom w:val="none" w:sz="0" w:space="0" w:color="auto"/>
            <w:right w:val="none" w:sz="0" w:space="0" w:color="auto"/>
          </w:divBdr>
        </w:div>
        <w:div w:id="1197084011">
          <w:marLeft w:val="640"/>
          <w:marRight w:val="0"/>
          <w:marTop w:val="0"/>
          <w:marBottom w:val="0"/>
          <w:divBdr>
            <w:top w:val="none" w:sz="0" w:space="0" w:color="auto"/>
            <w:left w:val="none" w:sz="0" w:space="0" w:color="auto"/>
            <w:bottom w:val="none" w:sz="0" w:space="0" w:color="auto"/>
            <w:right w:val="none" w:sz="0" w:space="0" w:color="auto"/>
          </w:divBdr>
        </w:div>
        <w:div w:id="1209222889">
          <w:marLeft w:val="640"/>
          <w:marRight w:val="0"/>
          <w:marTop w:val="0"/>
          <w:marBottom w:val="0"/>
          <w:divBdr>
            <w:top w:val="none" w:sz="0" w:space="0" w:color="auto"/>
            <w:left w:val="none" w:sz="0" w:space="0" w:color="auto"/>
            <w:bottom w:val="none" w:sz="0" w:space="0" w:color="auto"/>
            <w:right w:val="none" w:sz="0" w:space="0" w:color="auto"/>
          </w:divBdr>
        </w:div>
        <w:div w:id="1354577857">
          <w:marLeft w:val="640"/>
          <w:marRight w:val="0"/>
          <w:marTop w:val="0"/>
          <w:marBottom w:val="0"/>
          <w:divBdr>
            <w:top w:val="none" w:sz="0" w:space="0" w:color="auto"/>
            <w:left w:val="none" w:sz="0" w:space="0" w:color="auto"/>
            <w:bottom w:val="none" w:sz="0" w:space="0" w:color="auto"/>
            <w:right w:val="none" w:sz="0" w:space="0" w:color="auto"/>
          </w:divBdr>
        </w:div>
        <w:div w:id="1379937413">
          <w:marLeft w:val="640"/>
          <w:marRight w:val="0"/>
          <w:marTop w:val="0"/>
          <w:marBottom w:val="0"/>
          <w:divBdr>
            <w:top w:val="none" w:sz="0" w:space="0" w:color="auto"/>
            <w:left w:val="none" w:sz="0" w:space="0" w:color="auto"/>
            <w:bottom w:val="none" w:sz="0" w:space="0" w:color="auto"/>
            <w:right w:val="none" w:sz="0" w:space="0" w:color="auto"/>
          </w:divBdr>
        </w:div>
        <w:div w:id="1560435620">
          <w:marLeft w:val="640"/>
          <w:marRight w:val="0"/>
          <w:marTop w:val="0"/>
          <w:marBottom w:val="0"/>
          <w:divBdr>
            <w:top w:val="none" w:sz="0" w:space="0" w:color="auto"/>
            <w:left w:val="none" w:sz="0" w:space="0" w:color="auto"/>
            <w:bottom w:val="none" w:sz="0" w:space="0" w:color="auto"/>
            <w:right w:val="none" w:sz="0" w:space="0" w:color="auto"/>
          </w:divBdr>
        </w:div>
        <w:div w:id="1863320868">
          <w:marLeft w:val="640"/>
          <w:marRight w:val="0"/>
          <w:marTop w:val="0"/>
          <w:marBottom w:val="0"/>
          <w:divBdr>
            <w:top w:val="none" w:sz="0" w:space="0" w:color="auto"/>
            <w:left w:val="none" w:sz="0" w:space="0" w:color="auto"/>
            <w:bottom w:val="none" w:sz="0" w:space="0" w:color="auto"/>
            <w:right w:val="none" w:sz="0" w:space="0" w:color="auto"/>
          </w:divBdr>
        </w:div>
        <w:div w:id="1946188522">
          <w:marLeft w:val="640"/>
          <w:marRight w:val="0"/>
          <w:marTop w:val="0"/>
          <w:marBottom w:val="0"/>
          <w:divBdr>
            <w:top w:val="none" w:sz="0" w:space="0" w:color="auto"/>
            <w:left w:val="none" w:sz="0" w:space="0" w:color="auto"/>
            <w:bottom w:val="none" w:sz="0" w:space="0" w:color="auto"/>
            <w:right w:val="none" w:sz="0" w:space="0" w:color="auto"/>
          </w:divBdr>
        </w:div>
        <w:div w:id="2006662426">
          <w:marLeft w:val="640"/>
          <w:marRight w:val="0"/>
          <w:marTop w:val="0"/>
          <w:marBottom w:val="0"/>
          <w:divBdr>
            <w:top w:val="none" w:sz="0" w:space="0" w:color="auto"/>
            <w:left w:val="none" w:sz="0" w:space="0" w:color="auto"/>
            <w:bottom w:val="none" w:sz="0" w:space="0" w:color="auto"/>
            <w:right w:val="none" w:sz="0" w:space="0" w:color="auto"/>
          </w:divBdr>
        </w:div>
      </w:divsChild>
    </w:div>
    <w:div w:id="1686010525">
      <w:bodyDiv w:val="1"/>
      <w:marLeft w:val="0"/>
      <w:marRight w:val="0"/>
      <w:marTop w:val="0"/>
      <w:marBottom w:val="0"/>
      <w:divBdr>
        <w:top w:val="none" w:sz="0" w:space="0" w:color="auto"/>
        <w:left w:val="none" w:sz="0" w:space="0" w:color="auto"/>
        <w:bottom w:val="none" w:sz="0" w:space="0" w:color="auto"/>
        <w:right w:val="none" w:sz="0" w:space="0" w:color="auto"/>
      </w:divBdr>
      <w:divsChild>
        <w:div w:id="67382931">
          <w:marLeft w:val="480"/>
          <w:marRight w:val="0"/>
          <w:marTop w:val="0"/>
          <w:marBottom w:val="0"/>
          <w:divBdr>
            <w:top w:val="none" w:sz="0" w:space="0" w:color="auto"/>
            <w:left w:val="none" w:sz="0" w:space="0" w:color="auto"/>
            <w:bottom w:val="none" w:sz="0" w:space="0" w:color="auto"/>
            <w:right w:val="none" w:sz="0" w:space="0" w:color="auto"/>
          </w:divBdr>
        </w:div>
        <w:div w:id="203635913">
          <w:marLeft w:val="480"/>
          <w:marRight w:val="0"/>
          <w:marTop w:val="0"/>
          <w:marBottom w:val="0"/>
          <w:divBdr>
            <w:top w:val="none" w:sz="0" w:space="0" w:color="auto"/>
            <w:left w:val="none" w:sz="0" w:space="0" w:color="auto"/>
            <w:bottom w:val="none" w:sz="0" w:space="0" w:color="auto"/>
            <w:right w:val="none" w:sz="0" w:space="0" w:color="auto"/>
          </w:divBdr>
        </w:div>
        <w:div w:id="391855361">
          <w:marLeft w:val="480"/>
          <w:marRight w:val="0"/>
          <w:marTop w:val="0"/>
          <w:marBottom w:val="0"/>
          <w:divBdr>
            <w:top w:val="none" w:sz="0" w:space="0" w:color="auto"/>
            <w:left w:val="none" w:sz="0" w:space="0" w:color="auto"/>
            <w:bottom w:val="none" w:sz="0" w:space="0" w:color="auto"/>
            <w:right w:val="none" w:sz="0" w:space="0" w:color="auto"/>
          </w:divBdr>
        </w:div>
        <w:div w:id="405809234">
          <w:marLeft w:val="480"/>
          <w:marRight w:val="0"/>
          <w:marTop w:val="0"/>
          <w:marBottom w:val="0"/>
          <w:divBdr>
            <w:top w:val="none" w:sz="0" w:space="0" w:color="auto"/>
            <w:left w:val="none" w:sz="0" w:space="0" w:color="auto"/>
            <w:bottom w:val="none" w:sz="0" w:space="0" w:color="auto"/>
            <w:right w:val="none" w:sz="0" w:space="0" w:color="auto"/>
          </w:divBdr>
        </w:div>
        <w:div w:id="1324973418">
          <w:marLeft w:val="480"/>
          <w:marRight w:val="0"/>
          <w:marTop w:val="0"/>
          <w:marBottom w:val="0"/>
          <w:divBdr>
            <w:top w:val="none" w:sz="0" w:space="0" w:color="auto"/>
            <w:left w:val="none" w:sz="0" w:space="0" w:color="auto"/>
            <w:bottom w:val="none" w:sz="0" w:space="0" w:color="auto"/>
            <w:right w:val="none" w:sz="0" w:space="0" w:color="auto"/>
          </w:divBdr>
        </w:div>
        <w:div w:id="1413160849">
          <w:marLeft w:val="480"/>
          <w:marRight w:val="0"/>
          <w:marTop w:val="0"/>
          <w:marBottom w:val="0"/>
          <w:divBdr>
            <w:top w:val="none" w:sz="0" w:space="0" w:color="auto"/>
            <w:left w:val="none" w:sz="0" w:space="0" w:color="auto"/>
            <w:bottom w:val="none" w:sz="0" w:space="0" w:color="auto"/>
            <w:right w:val="none" w:sz="0" w:space="0" w:color="auto"/>
          </w:divBdr>
        </w:div>
        <w:div w:id="1650593442">
          <w:marLeft w:val="480"/>
          <w:marRight w:val="0"/>
          <w:marTop w:val="0"/>
          <w:marBottom w:val="0"/>
          <w:divBdr>
            <w:top w:val="none" w:sz="0" w:space="0" w:color="auto"/>
            <w:left w:val="none" w:sz="0" w:space="0" w:color="auto"/>
            <w:bottom w:val="none" w:sz="0" w:space="0" w:color="auto"/>
            <w:right w:val="none" w:sz="0" w:space="0" w:color="auto"/>
          </w:divBdr>
        </w:div>
        <w:div w:id="1664318038">
          <w:marLeft w:val="480"/>
          <w:marRight w:val="0"/>
          <w:marTop w:val="0"/>
          <w:marBottom w:val="0"/>
          <w:divBdr>
            <w:top w:val="none" w:sz="0" w:space="0" w:color="auto"/>
            <w:left w:val="none" w:sz="0" w:space="0" w:color="auto"/>
            <w:bottom w:val="none" w:sz="0" w:space="0" w:color="auto"/>
            <w:right w:val="none" w:sz="0" w:space="0" w:color="auto"/>
          </w:divBdr>
        </w:div>
        <w:div w:id="1846744085">
          <w:marLeft w:val="480"/>
          <w:marRight w:val="0"/>
          <w:marTop w:val="0"/>
          <w:marBottom w:val="0"/>
          <w:divBdr>
            <w:top w:val="none" w:sz="0" w:space="0" w:color="auto"/>
            <w:left w:val="none" w:sz="0" w:space="0" w:color="auto"/>
            <w:bottom w:val="none" w:sz="0" w:space="0" w:color="auto"/>
            <w:right w:val="none" w:sz="0" w:space="0" w:color="auto"/>
          </w:divBdr>
        </w:div>
        <w:div w:id="1912084153">
          <w:marLeft w:val="480"/>
          <w:marRight w:val="0"/>
          <w:marTop w:val="0"/>
          <w:marBottom w:val="0"/>
          <w:divBdr>
            <w:top w:val="none" w:sz="0" w:space="0" w:color="auto"/>
            <w:left w:val="none" w:sz="0" w:space="0" w:color="auto"/>
            <w:bottom w:val="none" w:sz="0" w:space="0" w:color="auto"/>
            <w:right w:val="none" w:sz="0" w:space="0" w:color="auto"/>
          </w:divBdr>
        </w:div>
        <w:div w:id="1960794101">
          <w:marLeft w:val="480"/>
          <w:marRight w:val="0"/>
          <w:marTop w:val="0"/>
          <w:marBottom w:val="0"/>
          <w:divBdr>
            <w:top w:val="none" w:sz="0" w:space="0" w:color="auto"/>
            <w:left w:val="none" w:sz="0" w:space="0" w:color="auto"/>
            <w:bottom w:val="none" w:sz="0" w:space="0" w:color="auto"/>
            <w:right w:val="none" w:sz="0" w:space="0" w:color="auto"/>
          </w:divBdr>
        </w:div>
        <w:div w:id="2135102411">
          <w:marLeft w:val="48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chart" Target="charts/chart2.xml"/><Relationship Id="rId10" Type="http://schemas.openxmlformats.org/officeDocument/2006/relationships/image" Target="media/image2.png"/><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Sheet4!$D$1</c:f>
              <c:strCache>
                <c:ptCount val="1"/>
                <c:pt idx="0">
                  <c:v>Cluster</c:v>
                </c:pt>
              </c:strCache>
            </c:strRef>
          </c:tx>
          <c:spPr>
            <a:solidFill>
              <a:srgbClr val="E7E6E6">
                <a:lumMod val="25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xmlns="http://schemas.openxmlformats.org/drawingml/20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Sheet4!$C$2:$C$7</c:f>
              <c:strCache>
                <c:ptCount val="6"/>
                <c:pt idx="0">
                  <c:v>n=1</c:v>
                </c:pt>
                <c:pt idx="1">
                  <c:v>n=2</c:v>
                </c:pt>
                <c:pt idx="2">
                  <c:v>n=3:10</c:v>
                </c:pt>
                <c:pt idx="3">
                  <c:v>n=11:16</c:v>
                </c:pt>
                <c:pt idx="4">
                  <c:v>n=16:20</c:v>
                </c:pt>
                <c:pt idx="5">
                  <c:v>n=21:74</c:v>
                </c:pt>
              </c:strCache>
            </c:strRef>
          </c:cat>
          <c:val>
            <c:numRef>
              <c:f>Sheet4!$D$2:$D$7</c:f>
              <c:numCache>
                <c:formatCode>General</c:formatCode>
                <c:ptCount val="6"/>
                <c:pt idx="0">
                  <c:v>421</c:v>
                </c:pt>
                <c:pt idx="1">
                  <c:v>582</c:v>
                </c:pt>
                <c:pt idx="2">
                  <c:v>3398</c:v>
                </c:pt>
                <c:pt idx="3">
                  <c:v>27</c:v>
                </c:pt>
              </c:numCache>
            </c:numRef>
          </c:val>
          <c:extLst xmlns="http://schemas.openxmlformats.org/drawingml/2006/chart">
            <c:ext xmlns:c16="http://schemas.microsoft.com/office/drawing/2014/chart" uri="{C3380CC4-5D6E-409C-BE32-E72D297353CC}">
              <c16:uniqueId val="{00000000-1F51-4D22-AC41-10F267FA9180}"/>
            </c:ext>
          </c:extLst>
        </c:ser>
        <c:ser>
          <c:idx val="1"/>
          <c:order val="1"/>
          <c:tx>
            <c:strRef>
              <c:f>Sheet4!$E$1</c:f>
              <c:strCache>
                <c:ptCount val="1"/>
                <c:pt idx="0">
                  <c:v>FID</c:v>
                </c:pt>
              </c:strCache>
            </c:strRef>
          </c:tx>
          <c:spPr>
            <a:pattFill prst="dkUpDiag">
              <a:fgClr>
                <a:srgbClr val="E7E6E6">
                  <a:lumMod val="75000"/>
                </a:srgbClr>
              </a:fgClr>
              <a:bgClr>
                <a:sysClr val="window" lastClr="FFFFFF"/>
              </a:bgClr>
            </a:pattFill>
            <a:ln>
              <a:noFill/>
            </a:ln>
            <a:effectLst/>
          </c:spPr>
          <c:invertIfNegative val="0"/>
          <c:dLbls>
            <c:dLbl>
              <c:idx val="2"/>
              <c:layout>
                <c:manualLayout>
                  <c:x val="1.4957264957264958E-2"/>
                  <c:y val="-3.7467216185837738E-3"/>
                </c:manualLayout>
              </c:layout>
              <c:dLblPos val="outEnd"/>
              <c:showLegendKey val="0"/>
              <c:showVal val="1"/>
              <c:showCatName val="0"/>
              <c:showSerName val="0"/>
              <c:showPercent val="0"/>
              <c:showBubbleSize val="0"/>
              <c:extLst xmlns="http://schemas.openxmlformats.org/drawingml/2006/chart">
                <c:ext xmlns:c15="http://schemas.microsoft.com/office/drawing/2012/chart" uri="{CE6537A1-D6FC-4f65-9D91-7224C49458BB}"/>
                <c:ext xmlns:c16="http://schemas.microsoft.com/office/drawing/2014/chart" uri="{C3380CC4-5D6E-409C-BE32-E72D297353CC}">
                  <c16:uniqueId val="{00000001-1F51-4D22-AC41-10F267FA9180}"/>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xmlns="http://schemas.openxmlformats.org/drawingml/20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Sheet4!$C$2:$C$7</c:f>
              <c:strCache>
                <c:ptCount val="6"/>
                <c:pt idx="0">
                  <c:v>n=1</c:v>
                </c:pt>
                <c:pt idx="1">
                  <c:v>n=2</c:v>
                </c:pt>
                <c:pt idx="2">
                  <c:v>n=3:10</c:v>
                </c:pt>
                <c:pt idx="3">
                  <c:v>n=11:16</c:v>
                </c:pt>
                <c:pt idx="4">
                  <c:v>n=16:20</c:v>
                </c:pt>
                <c:pt idx="5">
                  <c:v>n=21:74</c:v>
                </c:pt>
              </c:strCache>
            </c:strRef>
          </c:cat>
          <c:val>
            <c:numRef>
              <c:f>Sheet4!$E$2:$E$7</c:f>
              <c:numCache>
                <c:formatCode>General</c:formatCode>
                <c:ptCount val="6"/>
                <c:pt idx="0">
                  <c:v>731</c:v>
                </c:pt>
                <c:pt idx="2">
                  <c:v>2451</c:v>
                </c:pt>
                <c:pt idx="3">
                  <c:v>404</c:v>
                </c:pt>
                <c:pt idx="4">
                  <c:v>95</c:v>
                </c:pt>
                <c:pt idx="5">
                  <c:v>77</c:v>
                </c:pt>
              </c:numCache>
            </c:numRef>
          </c:val>
          <c:extLst xmlns="http://schemas.openxmlformats.org/drawingml/2006/chart">
            <c:ext xmlns:c16="http://schemas.microsoft.com/office/drawing/2014/chart" uri="{C3380CC4-5D6E-409C-BE32-E72D297353CC}">
              <c16:uniqueId val="{00000002-1F51-4D22-AC41-10F267FA9180}"/>
            </c:ext>
          </c:extLst>
        </c:ser>
        <c:dLbls>
          <c:dLblPos val="outEnd"/>
          <c:showLegendKey val="0"/>
          <c:showVal val="1"/>
          <c:showCatName val="0"/>
          <c:showSerName val="0"/>
          <c:showPercent val="0"/>
          <c:showBubbleSize val="0"/>
        </c:dLbls>
        <c:gapWidth val="219"/>
        <c:overlap val="-27"/>
        <c:axId val="978814080"/>
        <c:axId val="978818976"/>
      </c:barChart>
      <c:catAx>
        <c:axId val="978814080"/>
        <c:scaling>
          <c:orientation val="minMax"/>
        </c:scaling>
        <c:delete val="0"/>
        <c:axPos val="b"/>
        <c:title>
          <c:tx>
            <c:rich>
              <a:bodyPr rot="0" spcFirstLastPara="1" vertOverflow="ellipsis" vert="horz" wrap="square" anchor="ctr" anchorCtr="1"/>
              <a:lstStyle/>
              <a:p>
                <a:pPr>
                  <a:defRPr sz="1600" b="0" i="0" u="none" strike="noStrike" kern="1200" baseline="0">
                    <a:solidFill>
                      <a:sysClr val="windowText" lastClr="000000"/>
                    </a:solidFill>
                    <a:latin typeface="+mn-lt"/>
                    <a:ea typeface="+mn-ea"/>
                    <a:cs typeface="+mn-cs"/>
                  </a:defRPr>
                </a:pPr>
                <a:r>
                  <a:rPr lang="en-US"/>
                  <a:t>Number of</a:t>
                </a:r>
                <a:r>
                  <a:rPr lang="en-US" baseline="0"/>
                  <a:t> members</a:t>
                </a:r>
                <a:endParaRPr lang="en-US"/>
              </a:p>
            </c:rich>
          </c:tx>
          <c:overlay val="0"/>
          <c:spPr>
            <a:noFill/>
            <a:ln>
              <a:noFill/>
            </a:ln>
            <a:effectLst/>
          </c:spPr>
          <c:txPr>
            <a:bodyPr rot="0" spcFirstLastPara="1" vertOverflow="ellipsis" vert="horz" wrap="square" anchor="ctr" anchorCtr="1"/>
            <a:lstStyle/>
            <a:p>
              <a:pPr>
                <a:defRPr sz="1600" b="0"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ysClr val="windowText" lastClr="000000"/>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en-US"/>
          </a:p>
        </c:txPr>
        <c:crossAx val="978818976"/>
        <c:crosses val="autoZero"/>
        <c:auto val="1"/>
        <c:lblAlgn val="ctr"/>
        <c:lblOffset val="100"/>
        <c:noMultiLvlLbl val="0"/>
      </c:catAx>
      <c:valAx>
        <c:axId val="978818976"/>
        <c:scaling>
          <c:orientation val="minMax"/>
        </c:scaling>
        <c:delete val="1"/>
        <c:axPos val="l"/>
        <c:title>
          <c:tx>
            <c:rich>
              <a:bodyPr rot="-5400000" spcFirstLastPara="1" vertOverflow="ellipsis" vert="horz" wrap="square" anchor="ctr" anchorCtr="1"/>
              <a:lstStyle/>
              <a:p>
                <a:pPr>
                  <a:defRPr sz="1600" b="0" i="0" u="none" strike="noStrike" kern="1200" baseline="0">
                    <a:solidFill>
                      <a:sysClr val="windowText" lastClr="000000"/>
                    </a:solidFill>
                    <a:latin typeface="+mn-lt"/>
                    <a:ea typeface="+mn-ea"/>
                    <a:cs typeface="+mn-cs"/>
                  </a:defRPr>
                </a:pPr>
                <a:r>
                  <a:rPr lang="en-US"/>
                  <a:t>Frequency</a:t>
                </a:r>
              </a:p>
            </c:rich>
          </c:tx>
          <c:overlay val="0"/>
          <c:spPr>
            <a:noFill/>
            <a:ln>
              <a:noFill/>
            </a:ln>
            <a:effectLst/>
          </c:spPr>
          <c:txPr>
            <a:bodyPr rot="-5400000" spcFirstLastPara="1" vertOverflow="ellipsis" vert="horz" wrap="square" anchor="ctr" anchorCtr="1"/>
            <a:lstStyle/>
            <a:p>
              <a:pPr>
                <a:defRPr sz="1600" b="0"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crossAx val="978814080"/>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16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600">
          <a:solidFill>
            <a:sysClr val="windowText" lastClr="000000"/>
          </a:solidFill>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0" i="0" u="none" strike="noStrike" kern="1200" spc="0" baseline="0">
                <a:solidFill>
                  <a:schemeClr val="tx1"/>
                </a:solidFill>
                <a:latin typeface="+mn-lt"/>
                <a:ea typeface="+mn-ea"/>
                <a:cs typeface="+mn-cs"/>
              </a:defRPr>
            </a:pPr>
            <a:r>
              <a:rPr lang="en-US" sz="1600" dirty="0"/>
              <a:t>Identity-By-Decent</a:t>
            </a:r>
          </a:p>
        </c:rich>
      </c:tx>
      <c:overlay val="0"/>
      <c:spPr>
        <a:noFill/>
        <a:ln>
          <a:noFill/>
        </a:ln>
        <a:effectLst/>
      </c:spPr>
      <c:txPr>
        <a:bodyPr rot="0" spcFirstLastPara="1" vertOverflow="ellipsis" vert="horz" wrap="square" anchor="ctr" anchorCtr="1"/>
        <a:lstStyle/>
        <a:p>
          <a:pPr>
            <a:defRPr sz="1600" b="0" i="0" u="none" strike="noStrike" kern="1200" spc="0" baseline="0">
              <a:solidFill>
                <a:schemeClr val="tx1"/>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ysClr val="window" lastClr="FFFFFF"/>
              </a:solidFill>
              <a:round/>
            </a:ln>
            <a:effectLst/>
          </c:spPr>
          <c:marker>
            <c:symbol val="circle"/>
            <c:size val="5"/>
            <c:spPr>
              <a:solidFill>
                <a:srgbClr val="E7E6E6">
                  <a:lumMod val="50000"/>
                </a:srgbClr>
              </a:solidFill>
              <a:ln w="9525">
                <a:solidFill>
                  <a:sysClr val="windowText" lastClr="000000">
                    <a:lumMod val="75000"/>
                    <a:lumOff val="25000"/>
                  </a:sysClr>
                </a:solidFill>
              </a:ln>
              <a:effectLst/>
            </c:spPr>
          </c:marker>
          <c:yVal>
            <c:numRef>
              <c:f>Sheet3!$C$1:$C$2315</c:f>
              <c:numCache>
                <c:formatCode>General</c:formatCode>
                <c:ptCount val="2315"/>
                <c:pt idx="0">
                  <c:v>0.20106114447116849</c:v>
                </c:pt>
                <c:pt idx="1">
                  <c:v>0.20045913755893699</c:v>
                </c:pt>
                <c:pt idx="2">
                  <c:v>0.18618333339691151</c:v>
                </c:pt>
                <c:pt idx="3">
                  <c:v>0.1857064217329025</c:v>
                </c:pt>
                <c:pt idx="4">
                  <c:v>0.165475443005562</c:v>
                </c:pt>
                <c:pt idx="5">
                  <c:v>0.15357999503612499</c:v>
                </c:pt>
                <c:pt idx="6">
                  <c:v>0.14798718690872201</c:v>
                </c:pt>
                <c:pt idx="7">
                  <c:v>0.14661237597465501</c:v>
                </c:pt>
                <c:pt idx="8">
                  <c:v>0.1442677676677705</c:v>
                </c:pt>
                <c:pt idx="9">
                  <c:v>0.14007872343063349</c:v>
                </c:pt>
                <c:pt idx="10">
                  <c:v>0.139739975333214</c:v>
                </c:pt>
                <c:pt idx="11">
                  <c:v>0.13666236400604251</c:v>
                </c:pt>
                <c:pt idx="12">
                  <c:v>0.134986996650696</c:v>
                </c:pt>
                <c:pt idx="13">
                  <c:v>0.12948448956012751</c:v>
                </c:pt>
                <c:pt idx="14">
                  <c:v>0.12875618040561701</c:v>
                </c:pt>
                <c:pt idx="15">
                  <c:v>0.12846127152442949</c:v>
                </c:pt>
                <c:pt idx="16">
                  <c:v>0.12724395096302049</c:v>
                </c:pt>
                <c:pt idx="17">
                  <c:v>0.127231255173683</c:v>
                </c:pt>
                <c:pt idx="18">
                  <c:v>0.12689046561718001</c:v>
                </c:pt>
                <c:pt idx="19">
                  <c:v>0.12274499237537401</c:v>
                </c:pt>
                <c:pt idx="20">
                  <c:v>0.1214323341846465</c:v>
                </c:pt>
                <c:pt idx="21">
                  <c:v>0.121185392141342</c:v>
                </c:pt>
                <c:pt idx="22">
                  <c:v>0.1202590987086295</c:v>
                </c:pt>
                <c:pt idx="23">
                  <c:v>0.1190552935004235</c:v>
                </c:pt>
                <c:pt idx="24">
                  <c:v>0.115525223314762</c:v>
                </c:pt>
                <c:pt idx="25">
                  <c:v>0.1146722063422205</c:v>
                </c:pt>
                <c:pt idx="26">
                  <c:v>0.114174582064152</c:v>
                </c:pt>
                <c:pt idx="27">
                  <c:v>0.11104185134172451</c:v>
                </c:pt>
                <c:pt idx="28">
                  <c:v>0.1108843237161635</c:v>
                </c:pt>
                <c:pt idx="29">
                  <c:v>0.1106953099370005</c:v>
                </c:pt>
                <c:pt idx="30">
                  <c:v>0.110526666045189</c:v>
                </c:pt>
                <c:pt idx="31">
                  <c:v>0.11043146252632149</c:v>
                </c:pt>
                <c:pt idx="32">
                  <c:v>0.1103680953383445</c:v>
                </c:pt>
                <c:pt idx="33">
                  <c:v>0.1099942699074745</c:v>
                </c:pt>
                <c:pt idx="34">
                  <c:v>0.1077340990304945</c:v>
                </c:pt>
                <c:pt idx="35">
                  <c:v>0.1075141429901125</c:v>
                </c:pt>
                <c:pt idx="36">
                  <c:v>0.106217510998249</c:v>
                </c:pt>
                <c:pt idx="37">
                  <c:v>0.1060281172394755</c:v>
                </c:pt>
                <c:pt idx="38">
                  <c:v>0.1059205383062365</c:v>
                </c:pt>
                <c:pt idx="39">
                  <c:v>0.104994796216488</c:v>
                </c:pt>
                <c:pt idx="40">
                  <c:v>0.104840114712715</c:v>
                </c:pt>
                <c:pt idx="41">
                  <c:v>0.104412704706192</c:v>
                </c:pt>
                <c:pt idx="42">
                  <c:v>0.104385085403919</c:v>
                </c:pt>
                <c:pt idx="43">
                  <c:v>0.1039039492607115</c:v>
                </c:pt>
                <c:pt idx="44">
                  <c:v>0.103432722389698</c:v>
                </c:pt>
                <c:pt idx="45">
                  <c:v>0.1033398881554605</c:v>
                </c:pt>
                <c:pt idx="46">
                  <c:v>0.1024000197649</c:v>
                </c:pt>
                <c:pt idx="47">
                  <c:v>0.1015943214297295</c:v>
                </c:pt>
                <c:pt idx="48">
                  <c:v>0.1015205681324005</c:v>
                </c:pt>
                <c:pt idx="49">
                  <c:v>0.1006244495511055</c:v>
                </c:pt>
                <c:pt idx="50">
                  <c:v>0.10058366507291799</c:v>
                </c:pt>
                <c:pt idx="51">
                  <c:v>0.10047513246536249</c:v>
                </c:pt>
                <c:pt idx="52">
                  <c:v>0.1004433780908585</c:v>
                </c:pt>
                <c:pt idx="53">
                  <c:v>0.1000172197818755</c:v>
                </c:pt>
                <c:pt idx="54">
                  <c:v>9.8796315491199493E-2</c:v>
                </c:pt>
                <c:pt idx="55">
                  <c:v>9.8792612552643003E-2</c:v>
                </c:pt>
                <c:pt idx="56">
                  <c:v>9.84184965491295E-2</c:v>
                </c:pt>
                <c:pt idx="57">
                  <c:v>9.8306037485599504E-2</c:v>
                </c:pt>
                <c:pt idx="58">
                  <c:v>9.80408415198325E-2</c:v>
                </c:pt>
                <c:pt idx="59">
                  <c:v>9.7765214741229997E-2</c:v>
                </c:pt>
                <c:pt idx="60">
                  <c:v>9.6806049346923995E-2</c:v>
                </c:pt>
                <c:pt idx="61">
                  <c:v>9.5873415470123499E-2</c:v>
                </c:pt>
                <c:pt idx="62">
                  <c:v>9.5599934458732494E-2</c:v>
                </c:pt>
                <c:pt idx="63">
                  <c:v>9.5502890646457506E-2</c:v>
                </c:pt>
                <c:pt idx="64">
                  <c:v>9.5283180475234999E-2</c:v>
                </c:pt>
                <c:pt idx="65">
                  <c:v>9.4884760677814498E-2</c:v>
                </c:pt>
                <c:pt idx="66">
                  <c:v>9.4591140747070507E-2</c:v>
                </c:pt>
                <c:pt idx="67">
                  <c:v>9.4576142728328497E-2</c:v>
                </c:pt>
                <c:pt idx="68">
                  <c:v>9.4177342951297996E-2</c:v>
                </c:pt>
                <c:pt idx="69">
                  <c:v>9.3913123011588995E-2</c:v>
                </c:pt>
                <c:pt idx="70">
                  <c:v>9.3878917396068504E-2</c:v>
                </c:pt>
                <c:pt idx="71">
                  <c:v>9.3435682356357505E-2</c:v>
                </c:pt>
                <c:pt idx="72">
                  <c:v>9.3426667153835505E-2</c:v>
                </c:pt>
                <c:pt idx="73">
                  <c:v>9.3302719295024997E-2</c:v>
                </c:pt>
                <c:pt idx="74">
                  <c:v>9.3034826219082004E-2</c:v>
                </c:pt>
                <c:pt idx="75">
                  <c:v>9.2858761548995999E-2</c:v>
                </c:pt>
                <c:pt idx="76">
                  <c:v>9.2608109116554496E-2</c:v>
                </c:pt>
                <c:pt idx="77">
                  <c:v>9.2272892594337505E-2</c:v>
                </c:pt>
                <c:pt idx="78">
                  <c:v>9.2165894806384999E-2</c:v>
                </c:pt>
                <c:pt idx="79">
                  <c:v>9.1997995972633501E-2</c:v>
                </c:pt>
                <c:pt idx="80">
                  <c:v>9.0876631438731995E-2</c:v>
                </c:pt>
                <c:pt idx="81">
                  <c:v>9.0545959770679502E-2</c:v>
                </c:pt>
                <c:pt idx="82">
                  <c:v>9.0111672878265506E-2</c:v>
                </c:pt>
                <c:pt idx="83">
                  <c:v>9.0108700096607E-2</c:v>
                </c:pt>
                <c:pt idx="84">
                  <c:v>8.9526288211345506E-2</c:v>
                </c:pt>
                <c:pt idx="85">
                  <c:v>8.9034289121628002E-2</c:v>
                </c:pt>
                <c:pt idx="86">
                  <c:v>8.8843852281570504E-2</c:v>
                </c:pt>
                <c:pt idx="87">
                  <c:v>8.8181473314762004E-2</c:v>
                </c:pt>
                <c:pt idx="88">
                  <c:v>8.8100582361221494E-2</c:v>
                </c:pt>
                <c:pt idx="89">
                  <c:v>8.7943822145461994E-2</c:v>
                </c:pt>
                <c:pt idx="90">
                  <c:v>8.7466016411781505E-2</c:v>
                </c:pt>
                <c:pt idx="91">
                  <c:v>8.7383307516574998E-2</c:v>
                </c:pt>
                <c:pt idx="92">
                  <c:v>8.7271124124527005E-2</c:v>
                </c:pt>
                <c:pt idx="93">
                  <c:v>8.7229184806347004E-2</c:v>
                </c:pt>
                <c:pt idx="94">
                  <c:v>8.7153129279613495E-2</c:v>
                </c:pt>
                <c:pt idx="95">
                  <c:v>8.6910337209701496E-2</c:v>
                </c:pt>
                <c:pt idx="96">
                  <c:v>8.6876519024372004E-2</c:v>
                </c:pt>
                <c:pt idx="97">
                  <c:v>8.6791239678859503E-2</c:v>
                </c:pt>
                <c:pt idx="98">
                  <c:v>8.6775600910187004E-2</c:v>
                </c:pt>
                <c:pt idx="99">
                  <c:v>8.6737073957920005E-2</c:v>
                </c:pt>
                <c:pt idx="100">
                  <c:v>8.6567327380180498E-2</c:v>
                </c:pt>
                <c:pt idx="101">
                  <c:v>8.6313001811504503E-2</c:v>
                </c:pt>
                <c:pt idx="102">
                  <c:v>8.6098991334438504E-2</c:v>
                </c:pt>
                <c:pt idx="103">
                  <c:v>8.5774391889572005E-2</c:v>
                </c:pt>
                <c:pt idx="104">
                  <c:v>8.54859724640845E-2</c:v>
                </c:pt>
                <c:pt idx="105">
                  <c:v>8.5312128067016504E-2</c:v>
                </c:pt>
                <c:pt idx="106">
                  <c:v>8.4608927369117501E-2</c:v>
                </c:pt>
                <c:pt idx="107">
                  <c:v>8.4451340138912007E-2</c:v>
                </c:pt>
                <c:pt idx="108">
                  <c:v>8.4136649966239999E-2</c:v>
                </c:pt>
                <c:pt idx="109">
                  <c:v>8.4104008972645E-2</c:v>
                </c:pt>
                <c:pt idx="110">
                  <c:v>8.4094680845737499E-2</c:v>
                </c:pt>
                <c:pt idx="111">
                  <c:v>8.3640635013580503E-2</c:v>
                </c:pt>
                <c:pt idx="112">
                  <c:v>8.3409935235977006E-2</c:v>
                </c:pt>
                <c:pt idx="113">
                  <c:v>8.3308577537536496E-2</c:v>
                </c:pt>
                <c:pt idx="114">
                  <c:v>8.3225630223750999E-2</c:v>
                </c:pt>
                <c:pt idx="115">
                  <c:v>8.3144620060920493E-2</c:v>
                </c:pt>
                <c:pt idx="116">
                  <c:v>8.3115562796592504E-2</c:v>
                </c:pt>
                <c:pt idx="117">
                  <c:v>8.3004705607890999E-2</c:v>
                </c:pt>
                <c:pt idx="118">
                  <c:v>8.2742854952812001E-2</c:v>
                </c:pt>
                <c:pt idx="119">
                  <c:v>8.2305498421192003E-2</c:v>
                </c:pt>
                <c:pt idx="120">
                  <c:v>8.2159809768200004E-2</c:v>
                </c:pt>
                <c:pt idx="121">
                  <c:v>8.2129850983619496E-2</c:v>
                </c:pt>
                <c:pt idx="122">
                  <c:v>8.1544667482376001E-2</c:v>
                </c:pt>
                <c:pt idx="123">
                  <c:v>8.0976717174052998E-2</c:v>
                </c:pt>
                <c:pt idx="124">
                  <c:v>8.0779984593391502E-2</c:v>
                </c:pt>
                <c:pt idx="125">
                  <c:v>8.0689817667007502E-2</c:v>
                </c:pt>
                <c:pt idx="126">
                  <c:v>8.0661095678806499E-2</c:v>
                </c:pt>
                <c:pt idx="127">
                  <c:v>8.0380007624625993E-2</c:v>
                </c:pt>
                <c:pt idx="128">
                  <c:v>8.0316729843616499E-2</c:v>
                </c:pt>
                <c:pt idx="129">
                  <c:v>7.9875878989696503E-2</c:v>
                </c:pt>
                <c:pt idx="130">
                  <c:v>7.9803928732871995E-2</c:v>
                </c:pt>
                <c:pt idx="131">
                  <c:v>7.9626351594924996E-2</c:v>
                </c:pt>
                <c:pt idx="132">
                  <c:v>7.9560302197933003E-2</c:v>
                </c:pt>
                <c:pt idx="133">
                  <c:v>7.9190529882908006E-2</c:v>
                </c:pt>
                <c:pt idx="134">
                  <c:v>7.8681722283363495E-2</c:v>
                </c:pt>
                <c:pt idx="135">
                  <c:v>7.8602001070976493E-2</c:v>
                </c:pt>
                <c:pt idx="136">
                  <c:v>7.8550726175308005E-2</c:v>
                </c:pt>
                <c:pt idx="137">
                  <c:v>7.8493751585483496E-2</c:v>
                </c:pt>
                <c:pt idx="138">
                  <c:v>7.8346014022826996E-2</c:v>
                </c:pt>
                <c:pt idx="139">
                  <c:v>7.8244388103484996E-2</c:v>
                </c:pt>
                <c:pt idx="140">
                  <c:v>7.8156009316444494E-2</c:v>
                </c:pt>
                <c:pt idx="141">
                  <c:v>7.8135460615157998E-2</c:v>
                </c:pt>
                <c:pt idx="142">
                  <c:v>7.8108958899975003E-2</c:v>
                </c:pt>
                <c:pt idx="143">
                  <c:v>7.7963367104530501E-2</c:v>
                </c:pt>
                <c:pt idx="144">
                  <c:v>7.7582880854606504E-2</c:v>
                </c:pt>
                <c:pt idx="145">
                  <c:v>7.7573187649250003E-2</c:v>
                </c:pt>
                <c:pt idx="146">
                  <c:v>7.7390536665916498E-2</c:v>
                </c:pt>
                <c:pt idx="147">
                  <c:v>7.7388182282447995E-2</c:v>
                </c:pt>
                <c:pt idx="148">
                  <c:v>7.7376753091811995E-2</c:v>
                </c:pt>
                <c:pt idx="149">
                  <c:v>7.7067755162715995E-2</c:v>
                </c:pt>
                <c:pt idx="150">
                  <c:v>7.6908819377422499E-2</c:v>
                </c:pt>
                <c:pt idx="151">
                  <c:v>7.6823286712169495E-2</c:v>
                </c:pt>
                <c:pt idx="152">
                  <c:v>7.6751768589019997E-2</c:v>
                </c:pt>
                <c:pt idx="153">
                  <c:v>7.6549574732780498E-2</c:v>
                </c:pt>
                <c:pt idx="154">
                  <c:v>7.6538220047950495E-2</c:v>
                </c:pt>
                <c:pt idx="155">
                  <c:v>7.6143525540828497E-2</c:v>
                </c:pt>
                <c:pt idx="156">
                  <c:v>7.5969651341438502E-2</c:v>
                </c:pt>
                <c:pt idx="157">
                  <c:v>7.5807444751262498E-2</c:v>
                </c:pt>
                <c:pt idx="158">
                  <c:v>7.5775243341922996E-2</c:v>
                </c:pt>
                <c:pt idx="159">
                  <c:v>7.5704231858253507E-2</c:v>
                </c:pt>
                <c:pt idx="160">
                  <c:v>7.5671099126339E-2</c:v>
                </c:pt>
                <c:pt idx="161">
                  <c:v>7.5643099844455497E-2</c:v>
                </c:pt>
                <c:pt idx="162">
                  <c:v>7.5641304254531999E-2</c:v>
                </c:pt>
                <c:pt idx="163">
                  <c:v>7.5034603476524506E-2</c:v>
                </c:pt>
                <c:pt idx="164">
                  <c:v>7.4976414442062503E-2</c:v>
                </c:pt>
                <c:pt idx="165">
                  <c:v>7.4744574725627996E-2</c:v>
                </c:pt>
                <c:pt idx="166">
                  <c:v>7.4703194200992501E-2</c:v>
                </c:pt>
                <c:pt idx="167">
                  <c:v>7.4650108814239502E-2</c:v>
                </c:pt>
                <c:pt idx="168">
                  <c:v>7.44660049676895E-2</c:v>
                </c:pt>
                <c:pt idx="169">
                  <c:v>7.4118971824645996E-2</c:v>
                </c:pt>
                <c:pt idx="170">
                  <c:v>7.4071757495403498E-2</c:v>
                </c:pt>
                <c:pt idx="171">
                  <c:v>7.4002951383590504E-2</c:v>
                </c:pt>
                <c:pt idx="172">
                  <c:v>7.3925495147704995E-2</c:v>
                </c:pt>
                <c:pt idx="173">
                  <c:v>7.3789745569229001E-2</c:v>
                </c:pt>
                <c:pt idx="174">
                  <c:v>7.3620460927486503E-2</c:v>
                </c:pt>
                <c:pt idx="175">
                  <c:v>7.3599562048912007E-2</c:v>
                </c:pt>
                <c:pt idx="176">
                  <c:v>7.3342658579349504E-2</c:v>
                </c:pt>
                <c:pt idx="177">
                  <c:v>7.2906546294688998E-2</c:v>
                </c:pt>
                <c:pt idx="178">
                  <c:v>7.2633557021618E-2</c:v>
                </c:pt>
                <c:pt idx="179">
                  <c:v>7.2516031563281999E-2</c:v>
                </c:pt>
                <c:pt idx="180">
                  <c:v>7.25056007504465E-2</c:v>
                </c:pt>
                <c:pt idx="181">
                  <c:v>7.24227279424665E-2</c:v>
                </c:pt>
                <c:pt idx="182">
                  <c:v>7.1880467236041995E-2</c:v>
                </c:pt>
                <c:pt idx="183">
                  <c:v>7.1767106652259993E-2</c:v>
                </c:pt>
                <c:pt idx="184">
                  <c:v>7.1716777980327495E-2</c:v>
                </c:pt>
                <c:pt idx="185">
                  <c:v>7.1624234318732993E-2</c:v>
                </c:pt>
                <c:pt idx="186">
                  <c:v>7.1127511560916998E-2</c:v>
                </c:pt>
                <c:pt idx="187">
                  <c:v>7.0906877517700001E-2</c:v>
                </c:pt>
                <c:pt idx="188">
                  <c:v>7.0862539112567999E-2</c:v>
                </c:pt>
                <c:pt idx="189">
                  <c:v>7.0808544754981995E-2</c:v>
                </c:pt>
                <c:pt idx="190">
                  <c:v>7.0660635828972002E-2</c:v>
                </c:pt>
                <c:pt idx="191">
                  <c:v>7.0593245327472506E-2</c:v>
                </c:pt>
                <c:pt idx="192">
                  <c:v>7.0495776832103493E-2</c:v>
                </c:pt>
                <c:pt idx="193">
                  <c:v>7.0447795093059498E-2</c:v>
                </c:pt>
                <c:pt idx="194">
                  <c:v>7.0383295416831998E-2</c:v>
                </c:pt>
                <c:pt idx="195">
                  <c:v>7.0199526846408997E-2</c:v>
                </c:pt>
                <c:pt idx="196">
                  <c:v>7.0180632174015004E-2</c:v>
                </c:pt>
                <c:pt idx="197">
                  <c:v>7.0180632174015004E-2</c:v>
                </c:pt>
                <c:pt idx="198">
                  <c:v>6.9626353681087494E-2</c:v>
                </c:pt>
                <c:pt idx="199">
                  <c:v>6.9570131599902996E-2</c:v>
                </c:pt>
                <c:pt idx="200">
                  <c:v>6.9433964788913505E-2</c:v>
                </c:pt>
                <c:pt idx="201">
                  <c:v>6.9213770329952004E-2</c:v>
                </c:pt>
                <c:pt idx="202">
                  <c:v>6.9182842969894506E-2</c:v>
                </c:pt>
                <c:pt idx="203">
                  <c:v>6.9043375551700495E-2</c:v>
                </c:pt>
                <c:pt idx="204">
                  <c:v>6.8883150815963495E-2</c:v>
                </c:pt>
                <c:pt idx="205">
                  <c:v>6.8879023194312994E-2</c:v>
                </c:pt>
                <c:pt idx="206">
                  <c:v>6.8765193223952997E-2</c:v>
                </c:pt>
                <c:pt idx="207">
                  <c:v>6.8744495511055007E-2</c:v>
                </c:pt>
                <c:pt idx="208">
                  <c:v>6.8544566631317E-2</c:v>
                </c:pt>
                <c:pt idx="209">
                  <c:v>6.8519830703735504E-2</c:v>
                </c:pt>
                <c:pt idx="210">
                  <c:v>6.8229377269744998E-2</c:v>
                </c:pt>
                <c:pt idx="211">
                  <c:v>6.8229086697101496E-2</c:v>
                </c:pt>
                <c:pt idx="212">
                  <c:v>6.7978471517563005E-2</c:v>
                </c:pt>
                <c:pt idx="213">
                  <c:v>6.7962028086185497E-2</c:v>
                </c:pt>
                <c:pt idx="214">
                  <c:v>6.7905552685260995E-2</c:v>
                </c:pt>
                <c:pt idx="215">
                  <c:v>6.7541241645813002E-2</c:v>
                </c:pt>
                <c:pt idx="216">
                  <c:v>6.7365609109401495E-2</c:v>
                </c:pt>
                <c:pt idx="217">
                  <c:v>6.7257881164551003E-2</c:v>
                </c:pt>
                <c:pt idx="218">
                  <c:v>6.7079022526741E-2</c:v>
                </c:pt>
                <c:pt idx="219">
                  <c:v>6.70512691140175E-2</c:v>
                </c:pt>
                <c:pt idx="220">
                  <c:v>6.7043907940387504E-2</c:v>
                </c:pt>
                <c:pt idx="221">
                  <c:v>6.6793598234653501E-2</c:v>
                </c:pt>
                <c:pt idx="222">
                  <c:v>6.6785342991351998E-2</c:v>
                </c:pt>
                <c:pt idx="223">
                  <c:v>6.6536232829094002E-2</c:v>
                </c:pt>
                <c:pt idx="224">
                  <c:v>6.6495046019553999E-2</c:v>
                </c:pt>
                <c:pt idx="225">
                  <c:v>6.6228561103344005E-2</c:v>
                </c:pt>
                <c:pt idx="226">
                  <c:v>6.6213473677634999E-2</c:v>
                </c:pt>
                <c:pt idx="227">
                  <c:v>6.6193029284476998E-2</c:v>
                </c:pt>
                <c:pt idx="228">
                  <c:v>6.6086836159229501E-2</c:v>
                </c:pt>
                <c:pt idx="229">
                  <c:v>6.6082112491130995E-2</c:v>
                </c:pt>
                <c:pt idx="230">
                  <c:v>6.5939456224441501E-2</c:v>
                </c:pt>
                <c:pt idx="231">
                  <c:v>6.5933287143707497E-2</c:v>
                </c:pt>
                <c:pt idx="232">
                  <c:v>6.5635345876216999E-2</c:v>
                </c:pt>
                <c:pt idx="233">
                  <c:v>6.5550938248634505E-2</c:v>
                </c:pt>
                <c:pt idx="234">
                  <c:v>6.5517537295818495E-2</c:v>
                </c:pt>
                <c:pt idx="235">
                  <c:v>6.5459541976451999E-2</c:v>
                </c:pt>
                <c:pt idx="236">
                  <c:v>6.5403267741203502E-2</c:v>
                </c:pt>
                <c:pt idx="237">
                  <c:v>6.5381646156310994E-2</c:v>
                </c:pt>
                <c:pt idx="238">
                  <c:v>6.5317876636982006E-2</c:v>
                </c:pt>
                <c:pt idx="239">
                  <c:v>6.5301358699798501E-2</c:v>
                </c:pt>
                <c:pt idx="240">
                  <c:v>6.5219692885875494E-2</c:v>
                </c:pt>
                <c:pt idx="241">
                  <c:v>6.5218575298785997E-2</c:v>
                </c:pt>
                <c:pt idx="242">
                  <c:v>6.5057933330536E-2</c:v>
                </c:pt>
                <c:pt idx="243">
                  <c:v>6.4793102443217995E-2</c:v>
                </c:pt>
                <c:pt idx="244">
                  <c:v>6.4772561192512498E-2</c:v>
                </c:pt>
                <c:pt idx="245">
                  <c:v>6.4765021204948495E-2</c:v>
                </c:pt>
                <c:pt idx="246">
                  <c:v>6.4655430614948495E-2</c:v>
                </c:pt>
                <c:pt idx="247">
                  <c:v>6.4549416303634505E-2</c:v>
                </c:pt>
                <c:pt idx="248">
                  <c:v>6.4379259943962E-2</c:v>
                </c:pt>
                <c:pt idx="249">
                  <c:v>6.4370743930339994E-2</c:v>
                </c:pt>
                <c:pt idx="250">
                  <c:v>6.4010255038738501E-2</c:v>
                </c:pt>
                <c:pt idx="251">
                  <c:v>6.3978813588618996E-2</c:v>
                </c:pt>
                <c:pt idx="252">
                  <c:v>6.3852451741695501E-2</c:v>
                </c:pt>
                <c:pt idx="253">
                  <c:v>6.3745193183422005E-2</c:v>
                </c:pt>
                <c:pt idx="254">
                  <c:v>6.3564367592334498E-2</c:v>
                </c:pt>
                <c:pt idx="255">
                  <c:v>6.3455924391746493E-2</c:v>
                </c:pt>
                <c:pt idx="256">
                  <c:v>6.3042037189007E-2</c:v>
                </c:pt>
                <c:pt idx="257">
                  <c:v>6.3038989901542497E-2</c:v>
                </c:pt>
                <c:pt idx="258">
                  <c:v>6.3038825988769503E-2</c:v>
                </c:pt>
                <c:pt idx="259">
                  <c:v>6.2970913946628501E-2</c:v>
                </c:pt>
                <c:pt idx="260">
                  <c:v>6.2782555818557503E-2</c:v>
                </c:pt>
                <c:pt idx="261">
                  <c:v>6.2645316123962499E-2</c:v>
                </c:pt>
                <c:pt idx="262">
                  <c:v>6.2644831836223505E-2</c:v>
                </c:pt>
                <c:pt idx="263">
                  <c:v>6.2564410269260504E-2</c:v>
                </c:pt>
                <c:pt idx="264">
                  <c:v>6.2434837222099498E-2</c:v>
                </c:pt>
                <c:pt idx="265">
                  <c:v>6.2304142862558497E-2</c:v>
                </c:pt>
                <c:pt idx="266">
                  <c:v>6.2164898961782497E-2</c:v>
                </c:pt>
                <c:pt idx="267">
                  <c:v>6.1958376318216497E-2</c:v>
                </c:pt>
                <c:pt idx="268">
                  <c:v>6.1876785010099501E-2</c:v>
                </c:pt>
                <c:pt idx="269">
                  <c:v>6.1799366027116998E-2</c:v>
                </c:pt>
                <c:pt idx="270">
                  <c:v>6.1726760119200003E-2</c:v>
                </c:pt>
                <c:pt idx="271">
                  <c:v>6.1642821878195003E-2</c:v>
                </c:pt>
                <c:pt idx="272">
                  <c:v>6.1395041644572997E-2</c:v>
                </c:pt>
                <c:pt idx="273">
                  <c:v>6.1311088502406998E-2</c:v>
                </c:pt>
                <c:pt idx="274">
                  <c:v>6.1300210654735503E-2</c:v>
                </c:pt>
                <c:pt idx="275">
                  <c:v>6.1216361820698E-2</c:v>
                </c:pt>
                <c:pt idx="276">
                  <c:v>6.1198703944682999E-2</c:v>
                </c:pt>
                <c:pt idx="277">
                  <c:v>6.1078809201717502E-2</c:v>
                </c:pt>
                <c:pt idx="278">
                  <c:v>6.0857869684696003E-2</c:v>
                </c:pt>
                <c:pt idx="279">
                  <c:v>6.0855023562907999E-2</c:v>
                </c:pt>
                <c:pt idx="280">
                  <c:v>6.0822792351245998E-2</c:v>
                </c:pt>
                <c:pt idx="281">
                  <c:v>6.0560997575521497E-2</c:v>
                </c:pt>
                <c:pt idx="282">
                  <c:v>6.0252618044615E-2</c:v>
                </c:pt>
                <c:pt idx="283">
                  <c:v>6.0208205133676501E-2</c:v>
                </c:pt>
                <c:pt idx="284">
                  <c:v>5.9923909604549498E-2</c:v>
                </c:pt>
                <c:pt idx="285">
                  <c:v>5.9899143874644997E-2</c:v>
                </c:pt>
                <c:pt idx="286">
                  <c:v>5.9889160096645501E-2</c:v>
                </c:pt>
                <c:pt idx="287">
                  <c:v>5.9310883283615001E-2</c:v>
                </c:pt>
                <c:pt idx="288">
                  <c:v>5.9175670146942E-2</c:v>
                </c:pt>
                <c:pt idx="289">
                  <c:v>5.91498352587225E-2</c:v>
                </c:pt>
                <c:pt idx="290">
                  <c:v>5.8838482946157497E-2</c:v>
                </c:pt>
                <c:pt idx="291">
                  <c:v>5.8683786541223498E-2</c:v>
                </c:pt>
                <c:pt idx="292">
                  <c:v>5.8126788586378E-2</c:v>
                </c:pt>
                <c:pt idx="293">
                  <c:v>5.7798195630312001E-2</c:v>
                </c:pt>
                <c:pt idx="294">
                  <c:v>5.7747159153223003E-2</c:v>
                </c:pt>
                <c:pt idx="295">
                  <c:v>5.7598643004894499E-2</c:v>
                </c:pt>
                <c:pt idx="296">
                  <c:v>5.7564754039049003E-2</c:v>
                </c:pt>
                <c:pt idx="297">
                  <c:v>5.7187844067812001E-2</c:v>
                </c:pt>
                <c:pt idx="298">
                  <c:v>5.7177148759364999E-2</c:v>
                </c:pt>
                <c:pt idx="299">
                  <c:v>5.6925997138023501E-2</c:v>
                </c:pt>
                <c:pt idx="300">
                  <c:v>5.6625038385390999E-2</c:v>
                </c:pt>
                <c:pt idx="301">
                  <c:v>5.6453537195921E-2</c:v>
                </c:pt>
                <c:pt idx="302">
                  <c:v>5.5741030722856501E-2</c:v>
                </c:pt>
                <c:pt idx="303">
                  <c:v>5.5708695203065997E-2</c:v>
                </c:pt>
                <c:pt idx="304">
                  <c:v>5.5644229054451003E-2</c:v>
                </c:pt>
                <c:pt idx="305">
                  <c:v>5.5576592683792003E-2</c:v>
                </c:pt>
                <c:pt idx="306">
                  <c:v>5.5221978574990997E-2</c:v>
                </c:pt>
                <c:pt idx="307">
                  <c:v>5.4865885525942001E-2</c:v>
                </c:pt>
                <c:pt idx="308">
                  <c:v>5.4313808679580501E-2</c:v>
                </c:pt>
                <c:pt idx="309">
                  <c:v>5.3901035338639998E-2</c:v>
                </c:pt>
                <c:pt idx="310">
                  <c:v>5.3791996091603997E-2</c:v>
                </c:pt>
                <c:pt idx="311">
                  <c:v>5.3206551820039499E-2</c:v>
                </c:pt>
                <c:pt idx="312">
                  <c:v>5.3178865462541497E-2</c:v>
                </c:pt>
                <c:pt idx="313">
                  <c:v>5.3166840225457999E-2</c:v>
                </c:pt>
                <c:pt idx="314">
                  <c:v>5.3156591951847E-2</c:v>
                </c:pt>
                <c:pt idx="315">
                  <c:v>5.2963897585869002E-2</c:v>
                </c:pt>
                <c:pt idx="316">
                  <c:v>5.2855260670184999E-2</c:v>
                </c:pt>
                <c:pt idx="317">
                  <c:v>5.2844740450381997E-2</c:v>
                </c:pt>
                <c:pt idx="318">
                  <c:v>5.2755799144506503E-2</c:v>
                </c:pt>
                <c:pt idx="319">
                  <c:v>5.2689850330352998E-2</c:v>
                </c:pt>
                <c:pt idx="320">
                  <c:v>5.2183695137500999E-2</c:v>
                </c:pt>
                <c:pt idx="321">
                  <c:v>5.19716143608095E-2</c:v>
                </c:pt>
                <c:pt idx="322">
                  <c:v>5.1300078630447499E-2</c:v>
                </c:pt>
                <c:pt idx="323">
                  <c:v>5.1093447953462497E-2</c:v>
                </c:pt>
                <c:pt idx="324">
                  <c:v>5.0462029874325E-2</c:v>
                </c:pt>
                <c:pt idx="325">
                  <c:v>5.0447456538677E-2</c:v>
                </c:pt>
                <c:pt idx="326">
                  <c:v>5.0240099430084E-2</c:v>
                </c:pt>
                <c:pt idx="327">
                  <c:v>5.0130646675825001E-2</c:v>
                </c:pt>
                <c:pt idx="328">
                  <c:v>4.9735289067029953E-2</c:v>
                </c:pt>
                <c:pt idx="329">
                  <c:v>4.97145541012287E-2</c:v>
                </c:pt>
                <c:pt idx="330">
                  <c:v>4.9570634961128249E-2</c:v>
                </c:pt>
                <c:pt idx="331">
                  <c:v>4.9462158232927302E-2</c:v>
                </c:pt>
                <c:pt idx="332">
                  <c:v>4.9285683780908598E-2</c:v>
                </c:pt>
                <c:pt idx="333">
                  <c:v>4.9091029912233353E-2</c:v>
                </c:pt>
                <c:pt idx="334">
                  <c:v>4.9064908176660552E-2</c:v>
                </c:pt>
                <c:pt idx="335">
                  <c:v>4.9008034169673899E-2</c:v>
                </c:pt>
                <c:pt idx="336">
                  <c:v>4.8468478024005897E-2</c:v>
                </c:pt>
                <c:pt idx="337">
                  <c:v>4.8040170222520849E-2</c:v>
                </c:pt>
                <c:pt idx="338">
                  <c:v>4.759982600808145E-2</c:v>
                </c:pt>
                <c:pt idx="339">
                  <c:v>4.7568671405315399E-2</c:v>
                </c:pt>
                <c:pt idx="340">
                  <c:v>4.7466110438108451E-2</c:v>
                </c:pt>
                <c:pt idx="341">
                  <c:v>4.7261275351047502E-2</c:v>
                </c:pt>
                <c:pt idx="342">
                  <c:v>4.6681638807058348E-2</c:v>
                </c:pt>
                <c:pt idx="343">
                  <c:v>4.6500068157911301E-2</c:v>
                </c:pt>
                <c:pt idx="344">
                  <c:v>4.6446356922388098E-2</c:v>
                </c:pt>
                <c:pt idx="345">
                  <c:v>4.6175397932529449E-2</c:v>
                </c:pt>
                <c:pt idx="346">
                  <c:v>4.6061366796493551E-2</c:v>
                </c:pt>
                <c:pt idx="347">
                  <c:v>4.5745074748992899E-2</c:v>
                </c:pt>
                <c:pt idx="348">
                  <c:v>4.5714691281318651E-2</c:v>
                </c:pt>
                <c:pt idx="349">
                  <c:v>4.561208188533785E-2</c:v>
                </c:pt>
                <c:pt idx="350">
                  <c:v>4.5133221894502647E-2</c:v>
                </c:pt>
                <c:pt idx="351">
                  <c:v>4.4863507151603699E-2</c:v>
                </c:pt>
                <c:pt idx="352">
                  <c:v>4.4845134019851698E-2</c:v>
                </c:pt>
                <c:pt idx="353">
                  <c:v>4.4715244323015199E-2</c:v>
                </c:pt>
                <c:pt idx="354">
                  <c:v>4.4591352343559251E-2</c:v>
                </c:pt>
                <c:pt idx="355">
                  <c:v>4.4159635901451097E-2</c:v>
                </c:pt>
                <c:pt idx="356">
                  <c:v>4.3821599334478399E-2</c:v>
                </c:pt>
                <c:pt idx="357">
                  <c:v>4.3756857514381402E-2</c:v>
                </c:pt>
                <c:pt idx="358">
                  <c:v>4.3722636997699751E-2</c:v>
                </c:pt>
                <c:pt idx="359">
                  <c:v>4.339170828461645E-2</c:v>
                </c:pt>
                <c:pt idx="360">
                  <c:v>4.3322905898094198E-2</c:v>
                </c:pt>
                <c:pt idx="361">
                  <c:v>4.3260607868432999E-2</c:v>
                </c:pt>
                <c:pt idx="362">
                  <c:v>4.3257411569356898E-2</c:v>
                </c:pt>
                <c:pt idx="363">
                  <c:v>4.3222323060035699E-2</c:v>
                </c:pt>
                <c:pt idx="364">
                  <c:v>4.3173413723707199E-2</c:v>
                </c:pt>
                <c:pt idx="365">
                  <c:v>4.3089605867862701E-2</c:v>
                </c:pt>
                <c:pt idx="366">
                  <c:v>4.2967438697814948E-2</c:v>
                </c:pt>
                <c:pt idx="367">
                  <c:v>4.2772043496370302E-2</c:v>
                </c:pt>
                <c:pt idx="368">
                  <c:v>4.2704097926616648E-2</c:v>
                </c:pt>
                <c:pt idx="369">
                  <c:v>4.263798892498015E-2</c:v>
                </c:pt>
                <c:pt idx="370">
                  <c:v>4.2502302676439299E-2</c:v>
                </c:pt>
                <c:pt idx="371">
                  <c:v>4.2317688465118401E-2</c:v>
                </c:pt>
                <c:pt idx="372">
                  <c:v>4.219548404216765E-2</c:v>
                </c:pt>
                <c:pt idx="373">
                  <c:v>4.2132914066314697E-2</c:v>
                </c:pt>
                <c:pt idx="374">
                  <c:v>4.1905265301466002E-2</c:v>
                </c:pt>
                <c:pt idx="375">
                  <c:v>4.1735872626304647E-2</c:v>
                </c:pt>
                <c:pt idx="376">
                  <c:v>4.1596375405788401E-2</c:v>
                </c:pt>
                <c:pt idx="377">
                  <c:v>4.1526969522237799E-2</c:v>
                </c:pt>
                <c:pt idx="378">
                  <c:v>4.1427176445722601E-2</c:v>
                </c:pt>
                <c:pt idx="379">
                  <c:v>4.1408073157072053E-2</c:v>
                </c:pt>
                <c:pt idx="380">
                  <c:v>4.1224114596843699E-2</c:v>
                </c:pt>
                <c:pt idx="381">
                  <c:v>4.1065238416194902E-2</c:v>
                </c:pt>
                <c:pt idx="382">
                  <c:v>4.0940556675195701E-2</c:v>
                </c:pt>
                <c:pt idx="383">
                  <c:v>4.0931161493062952E-2</c:v>
                </c:pt>
                <c:pt idx="384">
                  <c:v>4.08199243247509E-2</c:v>
                </c:pt>
                <c:pt idx="385">
                  <c:v>4.075243696570395E-2</c:v>
                </c:pt>
                <c:pt idx="386">
                  <c:v>4.06159721314907E-2</c:v>
                </c:pt>
                <c:pt idx="387">
                  <c:v>4.0406882762908949E-2</c:v>
                </c:pt>
                <c:pt idx="388">
                  <c:v>4.0361482650041601E-2</c:v>
                </c:pt>
                <c:pt idx="389">
                  <c:v>4.0120888501405702E-2</c:v>
                </c:pt>
                <c:pt idx="390">
                  <c:v>3.9998680353164652E-2</c:v>
                </c:pt>
                <c:pt idx="391">
                  <c:v>3.9765290915966048E-2</c:v>
                </c:pt>
                <c:pt idx="392">
                  <c:v>3.9497289806604399E-2</c:v>
                </c:pt>
                <c:pt idx="393">
                  <c:v>3.9342448115348802E-2</c:v>
                </c:pt>
                <c:pt idx="394">
                  <c:v>3.9316698908805847E-2</c:v>
                </c:pt>
                <c:pt idx="395">
                  <c:v>3.9180360734462752E-2</c:v>
                </c:pt>
                <c:pt idx="396">
                  <c:v>3.9140596985816949E-2</c:v>
                </c:pt>
                <c:pt idx="397">
                  <c:v>3.8805749267339699E-2</c:v>
                </c:pt>
                <c:pt idx="398">
                  <c:v>3.85129414498806E-2</c:v>
                </c:pt>
                <c:pt idx="399">
                  <c:v>3.8327883929014199E-2</c:v>
                </c:pt>
                <c:pt idx="400">
                  <c:v>3.8057100027799599E-2</c:v>
                </c:pt>
                <c:pt idx="401">
                  <c:v>3.7985213100910201E-2</c:v>
                </c:pt>
                <c:pt idx="402">
                  <c:v>3.7941541522741297E-2</c:v>
                </c:pt>
                <c:pt idx="403">
                  <c:v>3.7929520010948202E-2</c:v>
                </c:pt>
                <c:pt idx="404">
                  <c:v>3.7889707833528498E-2</c:v>
                </c:pt>
                <c:pt idx="405">
                  <c:v>3.7779808044433601E-2</c:v>
                </c:pt>
                <c:pt idx="406">
                  <c:v>3.7436418235301951E-2</c:v>
                </c:pt>
                <c:pt idx="407">
                  <c:v>3.7367369979620001E-2</c:v>
                </c:pt>
                <c:pt idx="408">
                  <c:v>3.7164174020290347E-2</c:v>
                </c:pt>
                <c:pt idx="409">
                  <c:v>3.7099119275808348E-2</c:v>
                </c:pt>
                <c:pt idx="410">
                  <c:v>3.6970566958188997E-2</c:v>
                </c:pt>
                <c:pt idx="411">
                  <c:v>3.6843929439783103E-2</c:v>
                </c:pt>
                <c:pt idx="412">
                  <c:v>3.6759976297616952E-2</c:v>
                </c:pt>
                <c:pt idx="413">
                  <c:v>3.65777388215065E-2</c:v>
                </c:pt>
                <c:pt idx="414">
                  <c:v>3.6493621766567251E-2</c:v>
                </c:pt>
                <c:pt idx="415">
                  <c:v>3.6383010447025299E-2</c:v>
                </c:pt>
                <c:pt idx="416">
                  <c:v>3.6018766462802901E-2</c:v>
                </c:pt>
                <c:pt idx="417">
                  <c:v>3.5870257765054703E-2</c:v>
                </c:pt>
                <c:pt idx="418">
                  <c:v>3.5670313984155648E-2</c:v>
                </c:pt>
                <c:pt idx="419">
                  <c:v>3.5406731069088003E-2</c:v>
                </c:pt>
                <c:pt idx="420">
                  <c:v>3.5332683473825448E-2</c:v>
                </c:pt>
                <c:pt idx="421">
                  <c:v>3.5195104777812951E-2</c:v>
                </c:pt>
                <c:pt idx="422">
                  <c:v>3.4993220120668397E-2</c:v>
                </c:pt>
                <c:pt idx="423">
                  <c:v>3.4903645515441901E-2</c:v>
                </c:pt>
                <c:pt idx="424">
                  <c:v>3.472040593624115E-2</c:v>
                </c:pt>
                <c:pt idx="425">
                  <c:v>3.4619674086570747E-2</c:v>
                </c:pt>
                <c:pt idx="426">
                  <c:v>3.4503679722547552E-2</c:v>
                </c:pt>
                <c:pt idx="427">
                  <c:v>3.4479927271604552E-2</c:v>
                </c:pt>
                <c:pt idx="428">
                  <c:v>3.4373730421066298E-2</c:v>
                </c:pt>
                <c:pt idx="429">
                  <c:v>3.4246150404214852E-2</c:v>
                </c:pt>
                <c:pt idx="430">
                  <c:v>3.4197811037302003E-2</c:v>
                </c:pt>
                <c:pt idx="431">
                  <c:v>3.4153852611780153E-2</c:v>
                </c:pt>
                <c:pt idx="432">
                  <c:v>3.3863984048366547E-2</c:v>
                </c:pt>
                <c:pt idx="433">
                  <c:v>3.3837120980024352E-2</c:v>
                </c:pt>
                <c:pt idx="434">
                  <c:v>3.3827368170022951E-2</c:v>
                </c:pt>
                <c:pt idx="435">
                  <c:v>3.3706553280353553E-2</c:v>
                </c:pt>
                <c:pt idx="436">
                  <c:v>3.370142355561255E-2</c:v>
                </c:pt>
                <c:pt idx="437">
                  <c:v>3.3327497541904449E-2</c:v>
                </c:pt>
                <c:pt idx="438">
                  <c:v>3.3223327249288552E-2</c:v>
                </c:pt>
                <c:pt idx="439">
                  <c:v>3.3198915421962752E-2</c:v>
                </c:pt>
                <c:pt idx="440">
                  <c:v>3.3169511705636999E-2</c:v>
                </c:pt>
                <c:pt idx="441">
                  <c:v>3.3085476607084247E-2</c:v>
                </c:pt>
                <c:pt idx="442">
                  <c:v>3.3061843365430853E-2</c:v>
                </c:pt>
                <c:pt idx="443">
                  <c:v>3.294701129198075E-2</c:v>
                </c:pt>
                <c:pt idx="444">
                  <c:v>3.2938420772552497E-2</c:v>
                </c:pt>
                <c:pt idx="445">
                  <c:v>3.2919224351644502E-2</c:v>
                </c:pt>
                <c:pt idx="446">
                  <c:v>3.2912287861108801E-2</c:v>
                </c:pt>
                <c:pt idx="447">
                  <c:v>3.2907847315072999E-2</c:v>
                </c:pt>
                <c:pt idx="448">
                  <c:v>3.2854899764060953E-2</c:v>
                </c:pt>
                <c:pt idx="449">
                  <c:v>3.2708577811718001E-2</c:v>
                </c:pt>
                <c:pt idx="450">
                  <c:v>3.2636862248182297E-2</c:v>
                </c:pt>
                <c:pt idx="451">
                  <c:v>3.2570485025644302E-2</c:v>
                </c:pt>
                <c:pt idx="452">
                  <c:v>3.2566722482442849E-2</c:v>
                </c:pt>
                <c:pt idx="453">
                  <c:v>3.2477527856826803E-2</c:v>
                </c:pt>
                <c:pt idx="454">
                  <c:v>3.2454665750265101E-2</c:v>
                </c:pt>
                <c:pt idx="455">
                  <c:v>3.2438084483146647E-2</c:v>
                </c:pt>
                <c:pt idx="456">
                  <c:v>3.2356251031160348E-2</c:v>
                </c:pt>
                <c:pt idx="457">
                  <c:v>3.2296046614646898E-2</c:v>
                </c:pt>
                <c:pt idx="458">
                  <c:v>3.2243501394987099E-2</c:v>
                </c:pt>
                <c:pt idx="459">
                  <c:v>3.2160937786102302E-2</c:v>
                </c:pt>
                <c:pt idx="460">
                  <c:v>3.2160017639398547E-2</c:v>
                </c:pt>
                <c:pt idx="461">
                  <c:v>3.2095573842525503E-2</c:v>
                </c:pt>
                <c:pt idx="462">
                  <c:v>3.1606115400791147E-2</c:v>
                </c:pt>
                <c:pt idx="463">
                  <c:v>3.1603265553712852E-2</c:v>
                </c:pt>
                <c:pt idx="464">
                  <c:v>3.157609328627585E-2</c:v>
                </c:pt>
                <c:pt idx="465">
                  <c:v>3.1573265790939352E-2</c:v>
                </c:pt>
                <c:pt idx="466">
                  <c:v>3.1513664871454253E-2</c:v>
                </c:pt>
                <c:pt idx="467">
                  <c:v>3.1261462718248353E-2</c:v>
                </c:pt>
                <c:pt idx="468">
                  <c:v>3.1067660078406351E-2</c:v>
                </c:pt>
                <c:pt idx="469">
                  <c:v>3.0893446877598749E-2</c:v>
                </c:pt>
                <c:pt idx="470">
                  <c:v>3.0776090919971449E-2</c:v>
                </c:pt>
                <c:pt idx="471">
                  <c:v>3.0751507729291899E-2</c:v>
                </c:pt>
                <c:pt idx="472">
                  <c:v>3.071217983961105E-2</c:v>
                </c:pt>
                <c:pt idx="473">
                  <c:v>3.0670233070850351E-2</c:v>
                </c:pt>
                <c:pt idx="474">
                  <c:v>3.01559343934059E-2</c:v>
                </c:pt>
                <c:pt idx="475">
                  <c:v>3.00601366907358E-2</c:v>
                </c:pt>
                <c:pt idx="476">
                  <c:v>2.995578944683075E-2</c:v>
                </c:pt>
                <c:pt idx="477">
                  <c:v>2.9810607433319099E-2</c:v>
                </c:pt>
                <c:pt idx="478">
                  <c:v>2.9617054387927048E-2</c:v>
                </c:pt>
                <c:pt idx="479">
                  <c:v>2.9560035094618801E-2</c:v>
                </c:pt>
                <c:pt idx="480">
                  <c:v>2.9531426727771749E-2</c:v>
                </c:pt>
                <c:pt idx="481">
                  <c:v>2.941983565688135E-2</c:v>
                </c:pt>
                <c:pt idx="482">
                  <c:v>2.9244503006339049E-2</c:v>
                </c:pt>
                <c:pt idx="483">
                  <c:v>2.92416363954544E-2</c:v>
                </c:pt>
                <c:pt idx="484">
                  <c:v>2.89333462715149E-2</c:v>
                </c:pt>
                <c:pt idx="485">
                  <c:v>2.8794733807444552E-2</c:v>
                </c:pt>
                <c:pt idx="486">
                  <c:v>2.8745744377374649E-2</c:v>
                </c:pt>
                <c:pt idx="487">
                  <c:v>2.8729025274515149E-2</c:v>
                </c:pt>
                <c:pt idx="488">
                  <c:v>2.8602104634046551E-2</c:v>
                </c:pt>
                <c:pt idx="489">
                  <c:v>2.85020861774683E-2</c:v>
                </c:pt>
                <c:pt idx="490">
                  <c:v>2.8460940346121798E-2</c:v>
                </c:pt>
                <c:pt idx="491">
                  <c:v>2.8424512594938299E-2</c:v>
                </c:pt>
                <c:pt idx="492">
                  <c:v>2.8377631679177302E-2</c:v>
                </c:pt>
                <c:pt idx="493">
                  <c:v>2.831627428531645E-2</c:v>
                </c:pt>
                <c:pt idx="494">
                  <c:v>2.8155803680419901E-2</c:v>
                </c:pt>
                <c:pt idx="495">
                  <c:v>2.8031289577484152E-2</c:v>
                </c:pt>
                <c:pt idx="496">
                  <c:v>2.8013531118631349E-2</c:v>
                </c:pt>
                <c:pt idx="497">
                  <c:v>2.7958534657955149E-2</c:v>
                </c:pt>
                <c:pt idx="498">
                  <c:v>2.78793200850487E-2</c:v>
                </c:pt>
                <c:pt idx="499">
                  <c:v>2.7696879580616951E-2</c:v>
                </c:pt>
                <c:pt idx="500">
                  <c:v>2.7637537568807598E-2</c:v>
                </c:pt>
                <c:pt idx="501">
                  <c:v>2.7407309040427201E-2</c:v>
                </c:pt>
                <c:pt idx="502">
                  <c:v>2.732839435338975E-2</c:v>
                </c:pt>
                <c:pt idx="503">
                  <c:v>2.7241647243499749E-2</c:v>
                </c:pt>
                <c:pt idx="504">
                  <c:v>2.7176998555660251E-2</c:v>
                </c:pt>
                <c:pt idx="505">
                  <c:v>2.6983784511685351E-2</c:v>
                </c:pt>
                <c:pt idx="506">
                  <c:v>2.68783662468195E-2</c:v>
                </c:pt>
                <c:pt idx="507">
                  <c:v>2.6810362935066199E-2</c:v>
                </c:pt>
                <c:pt idx="508">
                  <c:v>2.6784198358655E-2</c:v>
                </c:pt>
                <c:pt idx="509">
                  <c:v>2.67811119556427E-2</c:v>
                </c:pt>
                <c:pt idx="510">
                  <c:v>2.67745405435562E-2</c:v>
                </c:pt>
                <c:pt idx="511">
                  <c:v>2.6700990274548551E-2</c:v>
                </c:pt>
                <c:pt idx="512">
                  <c:v>2.667286433279515E-2</c:v>
                </c:pt>
                <c:pt idx="513">
                  <c:v>2.663804218173025E-2</c:v>
                </c:pt>
                <c:pt idx="514">
                  <c:v>2.6580937206745151E-2</c:v>
                </c:pt>
                <c:pt idx="515">
                  <c:v>2.6354845613241199E-2</c:v>
                </c:pt>
                <c:pt idx="516">
                  <c:v>2.6312489062547701E-2</c:v>
                </c:pt>
                <c:pt idx="517">
                  <c:v>2.6307649910449999E-2</c:v>
                </c:pt>
                <c:pt idx="518">
                  <c:v>2.6209631934762001E-2</c:v>
                </c:pt>
                <c:pt idx="519">
                  <c:v>2.615333907306195E-2</c:v>
                </c:pt>
                <c:pt idx="520">
                  <c:v>2.60205529630184E-2</c:v>
                </c:pt>
                <c:pt idx="521">
                  <c:v>2.602005936205385E-2</c:v>
                </c:pt>
                <c:pt idx="522">
                  <c:v>2.6009129360318201E-2</c:v>
                </c:pt>
                <c:pt idx="523">
                  <c:v>2.5979556143283851E-2</c:v>
                </c:pt>
                <c:pt idx="524">
                  <c:v>2.595972269773485E-2</c:v>
                </c:pt>
                <c:pt idx="525">
                  <c:v>2.5945048779249202E-2</c:v>
                </c:pt>
                <c:pt idx="526">
                  <c:v>2.5907656177878401E-2</c:v>
                </c:pt>
                <c:pt idx="527">
                  <c:v>2.5849644094705599E-2</c:v>
                </c:pt>
                <c:pt idx="528">
                  <c:v>2.576358430087565E-2</c:v>
                </c:pt>
                <c:pt idx="529">
                  <c:v>2.5725638493895552E-2</c:v>
                </c:pt>
                <c:pt idx="530">
                  <c:v>2.5719940662384051E-2</c:v>
                </c:pt>
                <c:pt idx="531">
                  <c:v>2.5120001286268252E-2</c:v>
                </c:pt>
                <c:pt idx="532">
                  <c:v>2.500804886221885E-2</c:v>
                </c:pt>
                <c:pt idx="533">
                  <c:v>2.4984696879982948E-2</c:v>
                </c:pt>
                <c:pt idx="534">
                  <c:v>2.4893919005990049E-2</c:v>
                </c:pt>
                <c:pt idx="535">
                  <c:v>2.48496402055025E-2</c:v>
                </c:pt>
                <c:pt idx="536">
                  <c:v>2.471961081027985E-2</c:v>
                </c:pt>
                <c:pt idx="537">
                  <c:v>2.4616297334432598E-2</c:v>
                </c:pt>
                <c:pt idx="538">
                  <c:v>2.457641810178755E-2</c:v>
                </c:pt>
                <c:pt idx="539">
                  <c:v>2.4521330371499051E-2</c:v>
                </c:pt>
                <c:pt idx="540">
                  <c:v>2.391380816698075E-2</c:v>
                </c:pt>
                <c:pt idx="541">
                  <c:v>2.388203889131545E-2</c:v>
                </c:pt>
                <c:pt idx="542">
                  <c:v>2.369540371000765E-2</c:v>
                </c:pt>
                <c:pt idx="543">
                  <c:v>2.3566409945488E-2</c:v>
                </c:pt>
                <c:pt idx="544">
                  <c:v>2.338367141783235E-2</c:v>
                </c:pt>
                <c:pt idx="545">
                  <c:v>2.33234725892544E-2</c:v>
                </c:pt>
                <c:pt idx="546">
                  <c:v>2.3182006552815451E-2</c:v>
                </c:pt>
                <c:pt idx="547">
                  <c:v>2.3046957328915599E-2</c:v>
                </c:pt>
                <c:pt idx="548">
                  <c:v>2.2799847647547701E-2</c:v>
                </c:pt>
                <c:pt idx="549">
                  <c:v>2.2777050733566302E-2</c:v>
                </c:pt>
                <c:pt idx="550">
                  <c:v>2.275815419852735E-2</c:v>
                </c:pt>
                <c:pt idx="551">
                  <c:v>2.26221065968275E-2</c:v>
                </c:pt>
                <c:pt idx="552">
                  <c:v>2.256962843239305E-2</c:v>
                </c:pt>
                <c:pt idx="553">
                  <c:v>2.240027487277985E-2</c:v>
                </c:pt>
                <c:pt idx="554">
                  <c:v>2.2287830710411051E-2</c:v>
                </c:pt>
                <c:pt idx="555">
                  <c:v>2.2205045446753498E-2</c:v>
                </c:pt>
                <c:pt idx="556">
                  <c:v>2.1840224042534849E-2</c:v>
                </c:pt>
                <c:pt idx="557">
                  <c:v>2.178964763879775E-2</c:v>
                </c:pt>
                <c:pt idx="558">
                  <c:v>2.1659610792994499E-2</c:v>
                </c:pt>
                <c:pt idx="559">
                  <c:v>2.163051813840865E-2</c:v>
                </c:pt>
                <c:pt idx="560">
                  <c:v>2.1512849256396301E-2</c:v>
                </c:pt>
                <c:pt idx="561">
                  <c:v>2.145106345415115E-2</c:v>
                </c:pt>
                <c:pt idx="562">
                  <c:v>2.1014455705881101E-2</c:v>
                </c:pt>
                <c:pt idx="563">
                  <c:v>2.092275582253935E-2</c:v>
                </c:pt>
                <c:pt idx="564">
                  <c:v>2.0921690389513949E-2</c:v>
                </c:pt>
                <c:pt idx="565">
                  <c:v>2.0889014005661E-2</c:v>
                </c:pt>
                <c:pt idx="566">
                  <c:v>2.08736341446638E-2</c:v>
                </c:pt>
                <c:pt idx="567">
                  <c:v>2.068012207746505E-2</c:v>
                </c:pt>
                <c:pt idx="568">
                  <c:v>2.0379086956381801E-2</c:v>
                </c:pt>
                <c:pt idx="569">
                  <c:v>2.0345805212855349E-2</c:v>
                </c:pt>
                <c:pt idx="570">
                  <c:v>2.0325681194663051E-2</c:v>
                </c:pt>
                <c:pt idx="571">
                  <c:v>2.0243773236870748E-2</c:v>
                </c:pt>
                <c:pt idx="572">
                  <c:v>2.0217197015881549E-2</c:v>
                </c:pt>
                <c:pt idx="573">
                  <c:v>2.01348904520273E-2</c:v>
                </c:pt>
                <c:pt idx="574">
                  <c:v>2.0016930997371649E-2</c:v>
                </c:pt>
                <c:pt idx="575">
                  <c:v>1.9893096759915348E-2</c:v>
                </c:pt>
                <c:pt idx="576">
                  <c:v>1.9869748502969749E-2</c:v>
                </c:pt>
                <c:pt idx="577">
                  <c:v>1.9659347832202901E-2</c:v>
                </c:pt>
                <c:pt idx="578">
                  <c:v>1.9615100696682951E-2</c:v>
                </c:pt>
                <c:pt idx="579">
                  <c:v>1.95823051035404E-2</c:v>
                </c:pt>
                <c:pt idx="580">
                  <c:v>1.9190108403563499E-2</c:v>
                </c:pt>
                <c:pt idx="581">
                  <c:v>1.9162314012646699E-2</c:v>
                </c:pt>
                <c:pt idx="582">
                  <c:v>1.90552417188883E-2</c:v>
                </c:pt>
                <c:pt idx="583">
                  <c:v>1.888039894402025E-2</c:v>
                </c:pt>
                <c:pt idx="584">
                  <c:v>1.88145786523819E-2</c:v>
                </c:pt>
                <c:pt idx="585">
                  <c:v>1.8724322319030751E-2</c:v>
                </c:pt>
                <c:pt idx="586">
                  <c:v>1.865961216390135E-2</c:v>
                </c:pt>
                <c:pt idx="587">
                  <c:v>1.8522962927818298E-2</c:v>
                </c:pt>
                <c:pt idx="588">
                  <c:v>1.8352612853050249E-2</c:v>
                </c:pt>
                <c:pt idx="589">
                  <c:v>1.830028742551805E-2</c:v>
                </c:pt>
                <c:pt idx="590">
                  <c:v>1.818610541522505E-2</c:v>
                </c:pt>
                <c:pt idx="591">
                  <c:v>1.815722323954105E-2</c:v>
                </c:pt>
                <c:pt idx="592">
                  <c:v>1.8094135448336601E-2</c:v>
                </c:pt>
                <c:pt idx="593">
                  <c:v>1.807295344769955E-2</c:v>
                </c:pt>
                <c:pt idx="594">
                  <c:v>1.8053136765956899E-2</c:v>
                </c:pt>
                <c:pt idx="595">
                  <c:v>1.7904344946146001E-2</c:v>
                </c:pt>
                <c:pt idx="596">
                  <c:v>1.7815710976719849E-2</c:v>
                </c:pt>
                <c:pt idx="597">
                  <c:v>1.77778545767069E-2</c:v>
                </c:pt>
                <c:pt idx="598">
                  <c:v>1.7663573846220949E-2</c:v>
                </c:pt>
                <c:pt idx="599">
                  <c:v>1.7577275633811951E-2</c:v>
                </c:pt>
                <c:pt idx="600">
                  <c:v>1.7539093270897851E-2</c:v>
                </c:pt>
                <c:pt idx="601">
                  <c:v>1.7448652535676949E-2</c:v>
                </c:pt>
                <c:pt idx="602">
                  <c:v>1.7308179289102551E-2</c:v>
                </c:pt>
                <c:pt idx="603">
                  <c:v>1.7268570140004151E-2</c:v>
                </c:pt>
                <c:pt idx="604">
                  <c:v>1.7015198245644549E-2</c:v>
                </c:pt>
                <c:pt idx="605">
                  <c:v>1.67777221649885E-2</c:v>
                </c:pt>
                <c:pt idx="606">
                  <c:v>1.672912389039995E-2</c:v>
                </c:pt>
                <c:pt idx="607">
                  <c:v>1.6558470204472549E-2</c:v>
                </c:pt>
                <c:pt idx="608">
                  <c:v>1.63840129971504E-2</c:v>
                </c:pt>
                <c:pt idx="609">
                  <c:v>1.63024328649044E-2</c:v>
                </c:pt>
                <c:pt idx="610">
                  <c:v>1.6249693930149099E-2</c:v>
                </c:pt>
                <c:pt idx="611">
                  <c:v>1.6182189807295799E-2</c:v>
                </c:pt>
                <c:pt idx="612">
                  <c:v>1.6173671931028349E-2</c:v>
                </c:pt>
                <c:pt idx="613">
                  <c:v>1.58856436610222E-2</c:v>
                </c:pt>
                <c:pt idx="614">
                  <c:v>1.58537533134222E-2</c:v>
                </c:pt>
                <c:pt idx="615">
                  <c:v>1.5754083171486851E-2</c:v>
                </c:pt>
                <c:pt idx="616">
                  <c:v>1.5753854066133499E-2</c:v>
                </c:pt>
                <c:pt idx="617">
                  <c:v>1.5622648410499099E-2</c:v>
                </c:pt>
                <c:pt idx="618">
                  <c:v>1.5556851401925101E-2</c:v>
                </c:pt>
                <c:pt idx="619">
                  <c:v>1.5432642772793751E-2</c:v>
                </c:pt>
                <c:pt idx="620">
                  <c:v>1.504225470125675E-2</c:v>
                </c:pt>
                <c:pt idx="621">
                  <c:v>1.499691884964705E-2</c:v>
                </c:pt>
                <c:pt idx="622">
                  <c:v>1.4930902980268E-2</c:v>
                </c:pt>
                <c:pt idx="623">
                  <c:v>1.4838672243058701E-2</c:v>
                </c:pt>
                <c:pt idx="624">
                  <c:v>1.477676536887885E-2</c:v>
                </c:pt>
                <c:pt idx="625">
                  <c:v>1.47699322551489E-2</c:v>
                </c:pt>
                <c:pt idx="626">
                  <c:v>1.47691201418638E-2</c:v>
                </c:pt>
                <c:pt idx="627">
                  <c:v>1.4699484221637251E-2</c:v>
                </c:pt>
                <c:pt idx="628">
                  <c:v>1.46813802421093E-2</c:v>
                </c:pt>
                <c:pt idx="629">
                  <c:v>1.4672153629362601E-2</c:v>
                </c:pt>
                <c:pt idx="630">
                  <c:v>1.4554837718606E-2</c:v>
                </c:pt>
                <c:pt idx="631">
                  <c:v>1.4536971226334549E-2</c:v>
                </c:pt>
                <c:pt idx="632">
                  <c:v>1.4430562034249301E-2</c:v>
                </c:pt>
                <c:pt idx="633">
                  <c:v>1.434762217104435E-2</c:v>
                </c:pt>
                <c:pt idx="634">
                  <c:v>1.43302148208022E-2</c:v>
                </c:pt>
                <c:pt idx="635">
                  <c:v>1.4314427040517349E-2</c:v>
                </c:pt>
                <c:pt idx="636">
                  <c:v>1.430966053158045E-2</c:v>
                </c:pt>
                <c:pt idx="637">
                  <c:v>1.4215842820704001E-2</c:v>
                </c:pt>
                <c:pt idx="638">
                  <c:v>1.3947498984634901E-2</c:v>
                </c:pt>
                <c:pt idx="639">
                  <c:v>1.3909287750721E-2</c:v>
                </c:pt>
                <c:pt idx="640">
                  <c:v>1.384453009814025E-2</c:v>
                </c:pt>
                <c:pt idx="641">
                  <c:v>1.380234118551015E-2</c:v>
                </c:pt>
                <c:pt idx="642">
                  <c:v>1.3781942427158351E-2</c:v>
                </c:pt>
                <c:pt idx="643">
                  <c:v>1.3626896776258951E-2</c:v>
                </c:pt>
                <c:pt idx="644">
                  <c:v>1.350034587085245E-2</c:v>
                </c:pt>
                <c:pt idx="645">
                  <c:v>1.3467388227582E-2</c:v>
                </c:pt>
                <c:pt idx="646">
                  <c:v>1.346381660550835E-2</c:v>
                </c:pt>
                <c:pt idx="647">
                  <c:v>1.3371284119784849E-2</c:v>
                </c:pt>
                <c:pt idx="648">
                  <c:v>1.3352561742067349E-2</c:v>
                </c:pt>
                <c:pt idx="649">
                  <c:v>1.3216622173786149E-2</c:v>
                </c:pt>
                <c:pt idx="650">
                  <c:v>1.3072823174297799E-2</c:v>
                </c:pt>
                <c:pt idx="651">
                  <c:v>1.2976710684597499E-2</c:v>
                </c:pt>
                <c:pt idx="652">
                  <c:v>1.294222474098205E-2</c:v>
                </c:pt>
                <c:pt idx="653">
                  <c:v>1.29347024485469E-2</c:v>
                </c:pt>
                <c:pt idx="654">
                  <c:v>1.2933122925460351E-2</c:v>
                </c:pt>
                <c:pt idx="655">
                  <c:v>1.28406072035432E-2</c:v>
                </c:pt>
                <c:pt idx="656">
                  <c:v>1.28292217850685E-2</c:v>
                </c:pt>
                <c:pt idx="657">
                  <c:v>1.2695387937128551E-2</c:v>
                </c:pt>
                <c:pt idx="658">
                  <c:v>1.2668895535171049E-2</c:v>
                </c:pt>
                <c:pt idx="659">
                  <c:v>1.2649333104491249E-2</c:v>
                </c:pt>
                <c:pt idx="660">
                  <c:v>1.24708190560341E-2</c:v>
                </c:pt>
                <c:pt idx="661">
                  <c:v>1.2412115000188351E-2</c:v>
                </c:pt>
                <c:pt idx="662">
                  <c:v>1.2401324696838851E-2</c:v>
                </c:pt>
                <c:pt idx="663">
                  <c:v>1.2379520572721949E-2</c:v>
                </c:pt>
                <c:pt idx="664">
                  <c:v>1.2357552535831951E-2</c:v>
                </c:pt>
                <c:pt idx="665">
                  <c:v>1.233295537531375E-2</c:v>
                </c:pt>
                <c:pt idx="666">
                  <c:v>1.22700361534953E-2</c:v>
                </c:pt>
                <c:pt idx="667">
                  <c:v>1.2240946292877201E-2</c:v>
                </c:pt>
                <c:pt idx="668">
                  <c:v>1.220146380364895E-2</c:v>
                </c:pt>
                <c:pt idx="669">
                  <c:v>1.21877510100603E-2</c:v>
                </c:pt>
                <c:pt idx="670">
                  <c:v>1.211191434413195E-2</c:v>
                </c:pt>
                <c:pt idx="671">
                  <c:v>1.205301750451325E-2</c:v>
                </c:pt>
                <c:pt idx="672">
                  <c:v>1.1888185515999799E-2</c:v>
                </c:pt>
                <c:pt idx="673">
                  <c:v>1.1854634620249251E-2</c:v>
                </c:pt>
                <c:pt idx="674">
                  <c:v>1.176060549914835E-2</c:v>
                </c:pt>
                <c:pt idx="675">
                  <c:v>1.161473989486695E-2</c:v>
                </c:pt>
                <c:pt idx="676">
                  <c:v>1.1594075709581399E-2</c:v>
                </c:pt>
                <c:pt idx="677">
                  <c:v>1.1442688293755049E-2</c:v>
                </c:pt>
                <c:pt idx="678">
                  <c:v>1.1177895590662949E-2</c:v>
                </c:pt>
                <c:pt idx="679">
                  <c:v>1.10696228221059E-2</c:v>
                </c:pt>
                <c:pt idx="680">
                  <c:v>1.10520077869296E-2</c:v>
                </c:pt>
                <c:pt idx="681">
                  <c:v>1.1026402935385701E-2</c:v>
                </c:pt>
                <c:pt idx="682">
                  <c:v>1.091230660676955E-2</c:v>
                </c:pt>
                <c:pt idx="683">
                  <c:v>1.078025344759225E-2</c:v>
                </c:pt>
                <c:pt idx="684">
                  <c:v>1.0769748128950599E-2</c:v>
                </c:pt>
                <c:pt idx="685">
                  <c:v>1.0763686150312399E-2</c:v>
                </c:pt>
                <c:pt idx="686">
                  <c:v>1.0725185275077801E-2</c:v>
                </c:pt>
                <c:pt idx="687">
                  <c:v>1.0635616257786751E-2</c:v>
                </c:pt>
                <c:pt idx="688">
                  <c:v>1.0579658672213549E-2</c:v>
                </c:pt>
                <c:pt idx="689">
                  <c:v>1.0470577515661701E-2</c:v>
                </c:pt>
                <c:pt idx="690">
                  <c:v>1.0386821813881401E-2</c:v>
                </c:pt>
                <c:pt idx="691">
                  <c:v>1.0340716689825049E-2</c:v>
                </c:pt>
                <c:pt idx="692">
                  <c:v>1.0249550454318501E-2</c:v>
                </c:pt>
                <c:pt idx="693">
                  <c:v>1.0185055434703849E-2</c:v>
                </c:pt>
                <c:pt idx="694">
                  <c:v>1.0179694741964351E-2</c:v>
                </c:pt>
                <c:pt idx="695">
                  <c:v>1.01621812209487E-2</c:v>
                </c:pt>
                <c:pt idx="696">
                  <c:v>1.015530340373515E-2</c:v>
                </c:pt>
                <c:pt idx="697">
                  <c:v>1.008941512554885E-2</c:v>
                </c:pt>
                <c:pt idx="698">
                  <c:v>1.006120163947345E-2</c:v>
                </c:pt>
                <c:pt idx="699">
                  <c:v>9.9534047767520003E-3</c:v>
                </c:pt>
                <c:pt idx="700">
                  <c:v>9.8612438887357504E-3</c:v>
                </c:pt>
                <c:pt idx="701">
                  <c:v>9.5862410962581496E-3</c:v>
                </c:pt>
                <c:pt idx="702">
                  <c:v>9.3233985826372996E-3</c:v>
                </c:pt>
                <c:pt idx="703">
                  <c:v>9.2926612123847008E-3</c:v>
                </c:pt>
                <c:pt idx="704">
                  <c:v>9.2562558129430008E-3</c:v>
                </c:pt>
                <c:pt idx="705">
                  <c:v>9.2296842485666501E-3</c:v>
                </c:pt>
                <c:pt idx="706">
                  <c:v>9.2165498062968497E-3</c:v>
                </c:pt>
                <c:pt idx="707">
                  <c:v>9.1339917853474496E-3</c:v>
                </c:pt>
                <c:pt idx="708">
                  <c:v>9.0417275205254503E-3</c:v>
                </c:pt>
                <c:pt idx="709">
                  <c:v>9.0084346011280996E-3</c:v>
                </c:pt>
                <c:pt idx="710">
                  <c:v>8.9130997657776E-3</c:v>
                </c:pt>
                <c:pt idx="711">
                  <c:v>8.9004049077630008E-3</c:v>
                </c:pt>
                <c:pt idx="712">
                  <c:v>8.8759558275342005E-3</c:v>
                </c:pt>
                <c:pt idx="713">
                  <c:v>8.8522937148809502E-3</c:v>
                </c:pt>
                <c:pt idx="714">
                  <c:v>8.8148191571235501E-3</c:v>
                </c:pt>
                <c:pt idx="715">
                  <c:v>8.8066989555955003E-3</c:v>
                </c:pt>
                <c:pt idx="716">
                  <c:v>8.7973782792687503E-3</c:v>
                </c:pt>
                <c:pt idx="717">
                  <c:v>8.7949493899941496E-3</c:v>
                </c:pt>
                <c:pt idx="718">
                  <c:v>8.7799774482846503E-3</c:v>
                </c:pt>
                <c:pt idx="719">
                  <c:v>8.7392646819353E-3</c:v>
                </c:pt>
                <c:pt idx="720">
                  <c:v>8.6718620732426505E-3</c:v>
                </c:pt>
                <c:pt idx="721">
                  <c:v>8.6676590144634004E-3</c:v>
                </c:pt>
                <c:pt idx="722">
                  <c:v>8.6342301219701992E-3</c:v>
                </c:pt>
                <c:pt idx="723">
                  <c:v>8.5966950282454508E-3</c:v>
                </c:pt>
                <c:pt idx="724">
                  <c:v>8.5171991959214002E-3</c:v>
                </c:pt>
                <c:pt idx="725">
                  <c:v>8.4901675581931998E-3</c:v>
                </c:pt>
                <c:pt idx="726">
                  <c:v>8.3234431222080994E-3</c:v>
                </c:pt>
                <c:pt idx="727">
                  <c:v>8.2851443439721992E-3</c:v>
                </c:pt>
                <c:pt idx="728">
                  <c:v>8.1926407292484994E-3</c:v>
                </c:pt>
                <c:pt idx="729">
                  <c:v>8.0805337056517497E-3</c:v>
                </c:pt>
                <c:pt idx="730">
                  <c:v>8.0739688128233008E-3</c:v>
                </c:pt>
                <c:pt idx="731">
                  <c:v>8.0299470573663503E-3</c:v>
                </c:pt>
                <c:pt idx="732">
                  <c:v>7.9870121553540004E-3</c:v>
                </c:pt>
                <c:pt idx="733">
                  <c:v>7.9643297940492509E-3</c:v>
                </c:pt>
                <c:pt idx="734">
                  <c:v>7.8284293413162006E-3</c:v>
                </c:pt>
                <c:pt idx="735">
                  <c:v>7.7188587747513996E-3</c:v>
                </c:pt>
                <c:pt idx="736">
                  <c:v>7.6488940976560003E-3</c:v>
                </c:pt>
                <c:pt idx="737">
                  <c:v>7.6348809525370502E-3</c:v>
                </c:pt>
                <c:pt idx="738">
                  <c:v>7.4949711561203003E-3</c:v>
                </c:pt>
                <c:pt idx="739">
                  <c:v>7.4915033765136996E-3</c:v>
                </c:pt>
                <c:pt idx="740">
                  <c:v>7.4428734369576003E-3</c:v>
                </c:pt>
                <c:pt idx="741">
                  <c:v>7.3621533811092498E-3</c:v>
                </c:pt>
                <c:pt idx="742">
                  <c:v>7.31092039495705E-3</c:v>
                </c:pt>
                <c:pt idx="743">
                  <c:v>7.2552752681076501E-3</c:v>
                </c:pt>
                <c:pt idx="744">
                  <c:v>7.21921445801855E-3</c:v>
                </c:pt>
                <c:pt idx="745">
                  <c:v>7.1581257507205001E-3</c:v>
                </c:pt>
                <c:pt idx="746">
                  <c:v>7.1122362278401999E-3</c:v>
                </c:pt>
                <c:pt idx="747">
                  <c:v>7.0231766439974499E-3</c:v>
                </c:pt>
                <c:pt idx="748">
                  <c:v>7.0063346065581001E-3</c:v>
                </c:pt>
                <c:pt idx="749">
                  <c:v>6.8887672387063503E-3</c:v>
                </c:pt>
                <c:pt idx="750">
                  <c:v>6.8448339588939996E-3</c:v>
                </c:pt>
                <c:pt idx="751">
                  <c:v>6.8419924937188504E-3</c:v>
                </c:pt>
                <c:pt idx="752">
                  <c:v>6.8371975794434504E-3</c:v>
                </c:pt>
                <c:pt idx="753">
                  <c:v>6.7904158495366504E-3</c:v>
                </c:pt>
                <c:pt idx="754">
                  <c:v>6.7758867517113503E-3</c:v>
                </c:pt>
                <c:pt idx="755">
                  <c:v>6.7679672501981501E-3</c:v>
                </c:pt>
                <c:pt idx="756">
                  <c:v>6.7615974694490502E-3</c:v>
                </c:pt>
                <c:pt idx="757">
                  <c:v>6.75774877890945E-3</c:v>
                </c:pt>
                <c:pt idx="758">
                  <c:v>6.7166918888688001E-3</c:v>
                </c:pt>
                <c:pt idx="759">
                  <c:v>6.6896155476569999E-3</c:v>
                </c:pt>
                <c:pt idx="760">
                  <c:v>6.6791437566280504E-3</c:v>
                </c:pt>
                <c:pt idx="761">
                  <c:v>6.6625466570258002E-3</c:v>
                </c:pt>
                <c:pt idx="762">
                  <c:v>6.63655111566185E-3</c:v>
                </c:pt>
                <c:pt idx="763">
                  <c:v>6.6284690983593499E-3</c:v>
                </c:pt>
                <c:pt idx="764">
                  <c:v>6.6228401847183496E-3</c:v>
                </c:pt>
                <c:pt idx="765">
                  <c:v>6.6066500730812498E-3</c:v>
                </c:pt>
                <c:pt idx="766">
                  <c:v>6.4894068054855E-3</c:v>
                </c:pt>
                <c:pt idx="767">
                  <c:v>6.4798477105796502E-3</c:v>
                </c:pt>
                <c:pt idx="768">
                  <c:v>6.4377635717392002E-3</c:v>
                </c:pt>
                <c:pt idx="769">
                  <c:v>6.4173438586294504E-3</c:v>
                </c:pt>
                <c:pt idx="770">
                  <c:v>6.2869125977158503E-3</c:v>
                </c:pt>
                <c:pt idx="771">
                  <c:v>6.2637128867209001E-3</c:v>
                </c:pt>
                <c:pt idx="772">
                  <c:v>6.2131863087415496E-3</c:v>
                </c:pt>
                <c:pt idx="773">
                  <c:v>5.9763411991297999E-3</c:v>
                </c:pt>
                <c:pt idx="774">
                  <c:v>5.9398678131401504E-3</c:v>
                </c:pt>
                <c:pt idx="775">
                  <c:v>5.8753821067512001E-3</c:v>
                </c:pt>
                <c:pt idx="776">
                  <c:v>5.7511287741362997E-3</c:v>
                </c:pt>
                <c:pt idx="777">
                  <c:v>5.7206205092370501E-3</c:v>
                </c:pt>
                <c:pt idx="778">
                  <c:v>5.6959171779453997E-3</c:v>
                </c:pt>
                <c:pt idx="779">
                  <c:v>5.5680982768535501E-3</c:v>
                </c:pt>
                <c:pt idx="780">
                  <c:v>5.5347783491015504E-3</c:v>
                </c:pt>
                <c:pt idx="781">
                  <c:v>5.4651089012622998E-3</c:v>
                </c:pt>
                <c:pt idx="782">
                  <c:v>5.43110677972435E-3</c:v>
                </c:pt>
                <c:pt idx="783">
                  <c:v>5.4257600568234999E-3</c:v>
                </c:pt>
                <c:pt idx="784">
                  <c:v>5.4090949706733001E-3</c:v>
                </c:pt>
                <c:pt idx="785">
                  <c:v>5.4072132334113E-3</c:v>
                </c:pt>
                <c:pt idx="786">
                  <c:v>5.4046167060732998E-3</c:v>
                </c:pt>
                <c:pt idx="787">
                  <c:v>5.3549278527498002E-3</c:v>
                </c:pt>
                <c:pt idx="788">
                  <c:v>5.3505948744714503E-3</c:v>
                </c:pt>
                <c:pt idx="789">
                  <c:v>5.3121340461075497E-3</c:v>
                </c:pt>
                <c:pt idx="790">
                  <c:v>5.1553715020418002E-3</c:v>
                </c:pt>
                <c:pt idx="791">
                  <c:v>5.1501132547855499E-3</c:v>
                </c:pt>
                <c:pt idx="792">
                  <c:v>5.1378719508647997E-3</c:v>
                </c:pt>
                <c:pt idx="793">
                  <c:v>5.1219165325165003E-3</c:v>
                </c:pt>
                <c:pt idx="794">
                  <c:v>5.1127411425113496E-3</c:v>
                </c:pt>
                <c:pt idx="795">
                  <c:v>5.1112808287143499E-3</c:v>
                </c:pt>
                <c:pt idx="796">
                  <c:v>5.0586201250553001E-3</c:v>
                </c:pt>
                <c:pt idx="797">
                  <c:v>5.0511499866842998E-3</c:v>
                </c:pt>
                <c:pt idx="798">
                  <c:v>4.9971365369856349E-3</c:v>
                </c:pt>
                <c:pt idx="799">
                  <c:v>4.989315290004015E-3</c:v>
                </c:pt>
                <c:pt idx="800">
                  <c:v>4.976631607860325E-3</c:v>
                </c:pt>
                <c:pt idx="801">
                  <c:v>4.9747242592275151E-3</c:v>
                </c:pt>
                <c:pt idx="802">
                  <c:v>4.9646077677607554E-3</c:v>
                </c:pt>
                <c:pt idx="803">
                  <c:v>4.9492828547954551E-3</c:v>
                </c:pt>
                <c:pt idx="804">
                  <c:v>4.8935483209788799E-3</c:v>
                </c:pt>
                <c:pt idx="805">
                  <c:v>4.8871971666812897E-3</c:v>
                </c:pt>
                <c:pt idx="806">
                  <c:v>4.8812795430421847E-3</c:v>
                </c:pt>
                <c:pt idx="807">
                  <c:v>4.8445858992636204E-3</c:v>
                </c:pt>
                <c:pt idx="808">
                  <c:v>4.7978670336306104E-3</c:v>
                </c:pt>
                <c:pt idx="809">
                  <c:v>4.7748927026987102E-3</c:v>
                </c:pt>
                <c:pt idx="810">
                  <c:v>4.741571843624115E-3</c:v>
                </c:pt>
                <c:pt idx="811">
                  <c:v>4.7373715788126E-3</c:v>
                </c:pt>
                <c:pt idx="812">
                  <c:v>4.7259693965315801E-3</c:v>
                </c:pt>
                <c:pt idx="813">
                  <c:v>4.69566835090518E-3</c:v>
                </c:pt>
                <c:pt idx="814">
                  <c:v>4.6540629118680954E-3</c:v>
                </c:pt>
                <c:pt idx="815">
                  <c:v>4.6481993049383146E-3</c:v>
                </c:pt>
                <c:pt idx="816">
                  <c:v>4.6392083168029803E-3</c:v>
                </c:pt>
                <c:pt idx="817">
                  <c:v>4.631773103028535E-3</c:v>
                </c:pt>
                <c:pt idx="818">
                  <c:v>4.6012820675969098E-3</c:v>
                </c:pt>
                <c:pt idx="819">
                  <c:v>4.6010827645659447E-3</c:v>
                </c:pt>
                <c:pt idx="820">
                  <c:v>4.5182136818766603E-3</c:v>
                </c:pt>
                <c:pt idx="821">
                  <c:v>4.5073004439473152E-3</c:v>
                </c:pt>
                <c:pt idx="822">
                  <c:v>4.4972216710448248E-3</c:v>
                </c:pt>
                <c:pt idx="823">
                  <c:v>4.4788434170186502E-3</c:v>
                </c:pt>
                <c:pt idx="824">
                  <c:v>4.4711106456816196E-3</c:v>
                </c:pt>
                <c:pt idx="825">
                  <c:v>4.4467924162745502E-3</c:v>
                </c:pt>
                <c:pt idx="826">
                  <c:v>4.4254590757191199E-3</c:v>
                </c:pt>
                <c:pt idx="827">
                  <c:v>4.4190497137606153E-3</c:v>
                </c:pt>
                <c:pt idx="828">
                  <c:v>4.3792077340185651E-3</c:v>
                </c:pt>
                <c:pt idx="829">
                  <c:v>4.3679680675268147E-3</c:v>
                </c:pt>
                <c:pt idx="830">
                  <c:v>4.3468307703733453E-3</c:v>
                </c:pt>
                <c:pt idx="831">
                  <c:v>4.3329452164471149E-3</c:v>
                </c:pt>
                <c:pt idx="832">
                  <c:v>4.2211259715259101E-3</c:v>
                </c:pt>
                <c:pt idx="833">
                  <c:v>4.1855918243527404E-3</c:v>
                </c:pt>
                <c:pt idx="834">
                  <c:v>4.1840537451207646E-3</c:v>
                </c:pt>
                <c:pt idx="835">
                  <c:v>4.1427835822105399E-3</c:v>
                </c:pt>
                <c:pt idx="836">
                  <c:v>4.0818299166858196E-3</c:v>
                </c:pt>
                <c:pt idx="837">
                  <c:v>4.0773833170533198E-3</c:v>
                </c:pt>
                <c:pt idx="838">
                  <c:v>4.0687909349799148E-3</c:v>
                </c:pt>
                <c:pt idx="839">
                  <c:v>4.0629468858242052E-3</c:v>
                </c:pt>
                <c:pt idx="840">
                  <c:v>4.0483106859028348E-3</c:v>
                </c:pt>
                <c:pt idx="841">
                  <c:v>4.0478231385350253E-3</c:v>
                </c:pt>
                <c:pt idx="842">
                  <c:v>4.0311818011105052E-3</c:v>
                </c:pt>
                <c:pt idx="843">
                  <c:v>4.03002602979541E-3</c:v>
                </c:pt>
                <c:pt idx="844">
                  <c:v>4.0114927105605602E-3</c:v>
                </c:pt>
                <c:pt idx="845">
                  <c:v>4.0040067397058001E-3</c:v>
                </c:pt>
                <c:pt idx="846">
                  <c:v>3.9892978966236097E-3</c:v>
                </c:pt>
                <c:pt idx="847">
                  <c:v>3.9870240725576904E-3</c:v>
                </c:pt>
                <c:pt idx="848">
                  <c:v>3.9853635244071501E-3</c:v>
                </c:pt>
                <c:pt idx="849">
                  <c:v>3.9746309630572796E-3</c:v>
                </c:pt>
                <c:pt idx="850">
                  <c:v>3.9653200656175596E-3</c:v>
                </c:pt>
                <c:pt idx="851">
                  <c:v>3.9498563855886451E-3</c:v>
                </c:pt>
                <c:pt idx="852">
                  <c:v>3.9479737170040599E-3</c:v>
                </c:pt>
                <c:pt idx="853">
                  <c:v>3.9359699003398401E-3</c:v>
                </c:pt>
                <c:pt idx="854">
                  <c:v>3.9286920800805101E-3</c:v>
                </c:pt>
                <c:pt idx="855">
                  <c:v>3.9137573912739754E-3</c:v>
                </c:pt>
                <c:pt idx="856">
                  <c:v>3.9066215977072698E-3</c:v>
                </c:pt>
                <c:pt idx="857">
                  <c:v>3.9046274032443749E-3</c:v>
                </c:pt>
                <c:pt idx="858">
                  <c:v>3.8979765959084051E-3</c:v>
                </c:pt>
                <c:pt idx="859">
                  <c:v>3.8837434258312E-3</c:v>
                </c:pt>
                <c:pt idx="860">
                  <c:v>3.8373405113816248E-3</c:v>
                </c:pt>
                <c:pt idx="861">
                  <c:v>3.8343423511832948E-3</c:v>
                </c:pt>
                <c:pt idx="862">
                  <c:v>3.7903084885328999E-3</c:v>
                </c:pt>
                <c:pt idx="863">
                  <c:v>3.7632598541676998E-3</c:v>
                </c:pt>
                <c:pt idx="864">
                  <c:v>3.7611594889313E-3</c:v>
                </c:pt>
                <c:pt idx="865">
                  <c:v>3.7423432804644099E-3</c:v>
                </c:pt>
                <c:pt idx="866">
                  <c:v>3.7319518160074949E-3</c:v>
                </c:pt>
                <c:pt idx="867">
                  <c:v>3.7288838066160701E-3</c:v>
                </c:pt>
                <c:pt idx="868">
                  <c:v>3.723313100636005E-3</c:v>
                </c:pt>
                <c:pt idx="869">
                  <c:v>3.699874971061945E-3</c:v>
                </c:pt>
                <c:pt idx="870">
                  <c:v>3.6968113854527452E-3</c:v>
                </c:pt>
                <c:pt idx="871">
                  <c:v>3.6872311029583198E-3</c:v>
                </c:pt>
                <c:pt idx="872">
                  <c:v>3.6839330568909649E-3</c:v>
                </c:pt>
                <c:pt idx="873">
                  <c:v>3.6757742054760452E-3</c:v>
                </c:pt>
                <c:pt idx="874">
                  <c:v>3.6706416867673401E-3</c:v>
                </c:pt>
                <c:pt idx="875">
                  <c:v>3.66488564759493E-3</c:v>
                </c:pt>
                <c:pt idx="876">
                  <c:v>3.6367236170917749E-3</c:v>
                </c:pt>
                <c:pt idx="877">
                  <c:v>3.6247526295483099E-3</c:v>
                </c:pt>
                <c:pt idx="878">
                  <c:v>3.6193570122122752E-3</c:v>
                </c:pt>
                <c:pt idx="879">
                  <c:v>3.61708179116249E-3</c:v>
                </c:pt>
                <c:pt idx="880">
                  <c:v>3.6101976875215751E-3</c:v>
                </c:pt>
                <c:pt idx="881">
                  <c:v>3.5765406209975498E-3</c:v>
                </c:pt>
                <c:pt idx="882">
                  <c:v>3.57043440453708E-3</c:v>
                </c:pt>
                <c:pt idx="883">
                  <c:v>3.4949767868965851E-3</c:v>
                </c:pt>
                <c:pt idx="884">
                  <c:v>3.4886652138084152E-3</c:v>
                </c:pt>
                <c:pt idx="885">
                  <c:v>3.4875445999205099E-3</c:v>
                </c:pt>
                <c:pt idx="886">
                  <c:v>3.4735787194222199E-3</c:v>
                </c:pt>
                <c:pt idx="887">
                  <c:v>3.4703856799751498E-3</c:v>
                </c:pt>
                <c:pt idx="888">
                  <c:v>3.453497774899005E-3</c:v>
                </c:pt>
                <c:pt idx="889">
                  <c:v>3.44772427342832E-3</c:v>
                </c:pt>
                <c:pt idx="890">
                  <c:v>3.4461689647287152E-3</c:v>
                </c:pt>
                <c:pt idx="891">
                  <c:v>3.4370771609246748E-3</c:v>
                </c:pt>
                <c:pt idx="892">
                  <c:v>3.4326380118727701E-3</c:v>
                </c:pt>
                <c:pt idx="893">
                  <c:v>3.4230742603540399E-3</c:v>
                </c:pt>
                <c:pt idx="894">
                  <c:v>3.4221294336020951E-3</c:v>
                </c:pt>
                <c:pt idx="895">
                  <c:v>3.4207012504339201E-3</c:v>
                </c:pt>
                <c:pt idx="896">
                  <c:v>3.4203166142106052E-3</c:v>
                </c:pt>
                <c:pt idx="897">
                  <c:v>3.4139165654778498E-3</c:v>
                </c:pt>
                <c:pt idx="898">
                  <c:v>3.4136208705604098E-3</c:v>
                </c:pt>
                <c:pt idx="899">
                  <c:v>3.396554850041865E-3</c:v>
                </c:pt>
                <c:pt idx="900">
                  <c:v>3.3952153753489252E-3</c:v>
                </c:pt>
                <c:pt idx="901">
                  <c:v>3.3876977395266299E-3</c:v>
                </c:pt>
                <c:pt idx="902">
                  <c:v>3.3685069065541051E-3</c:v>
                </c:pt>
                <c:pt idx="903">
                  <c:v>3.3526744227856402E-3</c:v>
                </c:pt>
                <c:pt idx="904">
                  <c:v>3.3496380783617501E-3</c:v>
                </c:pt>
                <c:pt idx="905">
                  <c:v>3.3489556517452002E-3</c:v>
                </c:pt>
                <c:pt idx="906">
                  <c:v>3.3424692228436448E-3</c:v>
                </c:pt>
                <c:pt idx="907">
                  <c:v>3.3402263652533301E-3</c:v>
                </c:pt>
                <c:pt idx="908">
                  <c:v>3.3370098099112502E-3</c:v>
                </c:pt>
                <c:pt idx="909">
                  <c:v>3.33535857498646E-3</c:v>
                </c:pt>
                <c:pt idx="910">
                  <c:v>3.3238737378269451E-3</c:v>
                </c:pt>
                <c:pt idx="911">
                  <c:v>3.3057918772101398E-3</c:v>
                </c:pt>
                <c:pt idx="912">
                  <c:v>3.2971343025565152E-3</c:v>
                </c:pt>
                <c:pt idx="913">
                  <c:v>3.2926704734563849E-3</c:v>
                </c:pt>
                <c:pt idx="914">
                  <c:v>3.2925631385296601E-3</c:v>
                </c:pt>
                <c:pt idx="915">
                  <c:v>3.2840056810528049E-3</c:v>
                </c:pt>
                <c:pt idx="916">
                  <c:v>3.2602848950773499E-3</c:v>
                </c:pt>
                <c:pt idx="917">
                  <c:v>3.2502242829650649E-3</c:v>
                </c:pt>
                <c:pt idx="918">
                  <c:v>3.2430100254714502E-3</c:v>
                </c:pt>
                <c:pt idx="919">
                  <c:v>3.2412365544587352E-3</c:v>
                </c:pt>
                <c:pt idx="920">
                  <c:v>3.238616278395055E-3</c:v>
                </c:pt>
                <c:pt idx="921">
                  <c:v>3.2324600033462052E-3</c:v>
                </c:pt>
                <c:pt idx="922">
                  <c:v>3.2231702934950599E-3</c:v>
                </c:pt>
                <c:pt idx="923">
                  <c:v>3.2206599134951852E-3</c:v>
                </c:pt>
                <c:pt idx="924">
                  <c:v>3.2173725776374349E-3</c:v>
                </c:pt>
                <c:pt idx="925">
                  <c:v>3.2157069072127351E-3</c:v>
                </c:pt>
                <c:pt idx="926">
                  <c:v>3.2004199456423499E-3</c:v>
                </c:pt>
                <c:pt idx="927">
                  <c:v>3.1991191208362601E-3</c:v>
                </c:pt>
                <c:pt idx="928">
                  <c:v>3.1771284993737949E-3</c:v>
                </c:pt>
                <c:pt idx="929">
                  <c:v>3.1761766877025348E-3</c:v>
                </c:pt>
                <c:pt idx="930">
                  <c:v>3.1716686207801099E-3</c:v>
                </c:pt>
                <c:pt idx="931">
                  <c:v>3.1661184038966898E-3</c:v>
                </c:pt>
                <c:pt idx="932">
                  <c:v>3.1482034828513852E-3</c:v>
                </c:pt>
                <c:pt idx="933">
                  <c:v>3.1412634998559952E-3</c:v>
                </c:pt>
                <c:pt idx="934">
                  <c:v>3.1267877202481049E-3</c:v>
                </c:pt>
                <c:pt idx="935">
                  <c:v>3.11649381183088E-3</c:v>
                </c:pt>
                <c:pt idx="936">
                  <c:v>3.1058855820447202E-3</c:v>
                </c:pt>
                <c:pt idx="937">
                  <c:v>3.105418058112265E-3</c:v>
                </c:pt>
                <c:pt idx="938">
                  <c:v>3.1005272176116701E-3</c:v>
                </c:pt>
                <c:pt idx="939">
                  <c:v>3.0825370922684652E-3</c:v>
                </c:pt>
                <c:pt idx="940">
                  <c:v>3.0802038963884098E-3</c:v>
                </c:pt>
                <c:pt idx="941">
                  <c:v>3.0604866333305849E-3</c:v>
                </c:pt>
                <c:pt idx="942">
                  <c:v>3.0512618832290151E-3</c:v>
                </c:pt>
                <c:pt idx="943">
                  <c:v>3.0506653711199752E-3</c:v>
                </c:pt>
                <c:pt idx="944">
                  <c:v>3.0355225317180148E-3</c:v>
                </c:pt>
                <c:pt idx="945">
                  <c:v>3.0005557928234352E-3</c:v>
                </c:pt>
                <c:pt idx="946">
                  <c:v>3.00047337077558E-3</c:v>
                </c:pt>
                <c:pt idx="947">
                  <c:v>2.9576311353594052E-3</c:v>
                </c:pt>
                <c:pt idx="948">
                  <c:v>2.9428538400679848E-3</c:v>
                </c:pt>
                <c:pt idx="949">
                  <c:v>2.9279219452291749E-3</c:v>
                </c:pt>
                <c:pt idx="950">
                  <c:v>2.9241899028420448E-3</c:v>
                </c:pt>
                <c:pt idx="951">
                  <c:v>2.9117781668901452E-3</c:v>
                </c:pt>
                <c:pt idx="952">
                  <c:v>2.8922876808792348E-3</c:v>
                </c:pt>
                <c:pt idx="953">
                  <c:v>2.8833602555096149E-3</c:v>
                </c:pt>
                <c:pt idx="954">
                  <c:v>2.87995091639459E-3</c:v>
                </c:pt>
                <c:pt idx="955">
                  <c:v>2.8782461304217599E-3</c:v>
                </c:pt>
                <c:pt idx="956">
                  <c:v>2.8735466767102502E-3</c:v>
                </c:pt>
                <c:pt idx="957">
                  <c:v>2.8720982372760751E-3</c:v>
                </c:pt>
                <c:pt idx="958">
                  <c:v>2.8640287928283202E-3</c:v>
                </c:pt>
                <c:pt idx="959">
                  <c:v>2.8628704603761452E-3</c:v>
                </c:pt>
                <c:pt idx="960">
                  <c:v>2.8380441945046199E-3</c:v>
                </c:pt>
                <c:pt idx="961">
                  <c:v>2.8209695592522599E-3</c:v>
                </c:pt>
                <c:pt idx="962">
                  <c:v>2.82062264159322E-3</c:v>
                </c:pt>
                <c:pt idx="963">
                  <c:v>2.8108670376241198E-3</c:v>
                </c:pt>
                <c:pt idx="964">
                  <c:v>2.7980539016425601E-3</c:v>
                </c:pt>
                <c:pt idx="965">
                  <c:v>2.7859834954142549E-3</c:v>
                </c:pt>
                <c:pt idx="966">
                  <c:v>2.7805478312075151E-3</c:v>
                </c:pt>
                <c:pt idx="967">
                  <c:v>2.7777457144111399E-3</c:v>
                </c:pt>
                <c:pt idx="968">
                  <c:v>2.76550534181297E-3</c:v>
                </c:pt>
                <c:pt idx="969">
                  <c:v>2.7648608665913352E-3</c:v>
                </c:pt>
                <c:pt idx="970">
                  <c:v>2.7615278959274301E-3</c:v>
                </c:pt>
                <c:pt idx="971">
                  <c:v>2.752235624939205E-3</c:v>
                </c:pt>
                <c:pt idx="972">
                  <c:v>2.7385775465518249E-3</c:v>
                </c:pt>
                <c:pt idx="973">
                  <c:v>2.7350406162440799E-3</c:v>
                </c:pt>
                <c:pt idx="974">
                  <c:v>2.7300615329295401E-3</c:v>
                </c:pt>
                <c:pt idx="975">
                  <c:v>2.7295579202473151E-3</c:v>
                </c:pt>
                <c:pt idx="976">
                  <c:v>2.725807949900625E-3</c:v>
                </c:pt>
                <c:pt idx="977">
                  <c:v>2.7249096892774101E-3</c:v>
                </c:pt>
                <c:pt idx="978">
                  <c:v>2.7248172555118799E-3</c:v>
                </c:pt>
                <c:pt idx="979">
                  <c:v>2.7242007199674849E-3</c:v>
                </c:pt>
                <c:pt idx="980">
                  <c:v>2.721999306231735E-3</c:v>
                </c:pt>
                <c:pt idx="981">
                  <c:v>2.7216477319598198E-3</c:v>
                </c:pt>
                <c:pt idx="982">
                  <c:v>2.7154735289514052E-3</c:v>
                </c:pt>
                <c:pt idx="983">
                  <c:v>2.7109950315207252E-3</c:v>
                </c:pt>
                <c:pt idx="984">
                  <c:v>2.6961052790284148E-3</c:v>
                </c:pt>
                <c:pt idx="985">
                  <c:v>2.6854716707020998E-3</c:v>
                </c:pt>
                <c:pt idx="986">
                  <c:v>2.683490980416535E-3</c:v>
                </c:pt>
                <c:pt idx="987">
                  <c:v>2.6746783405542352E-3</c:v>
                </c:pt>
                <c:pt idx="988">
                  <c:v>2.6424941606819651E-3</c:v>
                </c:pt>
                <c:pt idx="989">
                  <c:v>2.6371169369667751E-3</c:v>
                </c:pt>
                <c:pt idx="990">
                  <c:v>2.6347930543124702E-3</c:v>
                </c:pt>
                <c:pt idx="991">
                  <c:v>2.6076477952301498E-3</c:v>
                </c:pt>
                <c:pt idx="992">
                  <c:v>2.6044526603072899E-3</c:v>
                </c:pt>
                <c:pt idx="993">
                  <c:v>2.5992817245423798E-3</c:v>
                </c:pt>
                <c:pt idx="994">
                  <c:v>2.59506283327937E-3</c:v>
                </c:pt>
                <c:pt idx="995">
                  <c:v>2.594984136521815E-3</c:v>
                </c:pt>
                <c:pt idx="996">
                  <c:v>2.59014521725476E-3</c:v>
                </c:pt>
                <c:pt idx="997">
                  <c:v>2.5763518642634149E-3</c:v>
                </c:pt>
                <c:pt idx="998">
                  <c:v>2.5470941327512251E-3</c:v>
                </c:pt>
                <c:pt idx="999">
                  <c:v>2.5346654001623401E-3</c:v>
                </c:pt>
                <c:pt idx="1000">
                  <c:v>2.5320018175989398E-3</c:v>
                </c:pt>
                <c:pt idx="1001">
                  <c:v>2.52060662023723E-3</c:v>
                </c:pt>
                <c:pt idx="1002">
                  <c:v>2.510688500478865E-3</c:v>
                </c:pt>
                <c:pt idx="1003">
                  <c:v>2.5050612166523951E-3</c:v>
                </c:pt>
                <c:pt idx="1004">
                  <c:v>2.4973892141133551E-3</c:v>
                </c:pt>
                <c:pt idx="1005">
                  <c:v>2.4927069898694749E-3</c:v>
                </c:pt>
                <c:pt idx="1006">
                  <c:v>2.4875188246369349E-3</c:v>
                </c:pt>
                <c:pt idx="1007">
                  <c:v>2.474657725542785E-3</c:v>
                </c:pt>
                <c:pt idx="1008">
                  <c:v>2.46885302476585E-3</c:v>
                </c:pt>
                <c:pt idx="1009">
                  <c:v>2.463809913024305E-3</c:v>
                </c:pt>
                <c:pt idx="1010">
                  <c:v>2.4541928432881849E-3</c:v>
                </c:pt>
                <c:pt idx="1011">
                  <c:v>2.4500759318470951E-3</c:v>
                </c:pt>
                <c:pt idx="1012">
                  <c:v>2.4457219988107699E-3</c:v>
                </c:pt>
                <c:pt idx="1013">
                  <c:v>2.4241236969828601E-3</c:v>
                </c:pt>
                <c:pt idx="1014">
                  <c:v>2.4185613729059701E-3</c:v>
                </c:pt>
                <c:pt idx="1015">
                  <c:v>2.4101149756461399E-3</c:v>
                </c:pt>
                <c:pt idx="1016">
                  <c:v>2.40705697797239E-3</c:v>
                </c:pt>
                <c:pt idx="1017">
                  <c:v>2.4007761385291802E-3</c:v>
                </c:pt>
                <c:pt idx="1018">
                  <c:v>2.398979384452105E-3</c:v>
                </c:pt>
                <c:pt idx="1019">
                  <c:v>2.397945849224925E-3</c:v>
                </c:pt>
                <c:pt idx="1020">
                  <c:v>2.38724355585873E-3</c:v>
                </c:pt>
                <c:pt idx="1021">
                  <c:v>2.3867839481681598E-3</c:v>
                </c:pt>
                <c:pt idx="1022">
                  <c:v>2.384126419201495E-3</c:v>
                </c:pt>
                <c:pt idx="1023">
                  <c:v>2.3835657630115752E-3</c:v>
                </c:pt>
                <c:pt idx="1024">
                  <c:v>2.3832728620618599E-3</c:v>
                </c:pt>
                <c:pt idx="1025">
                  <c:v>2.3828577250242251E-3</c:v>
                </c:pt>
                <c:pt idx="1026">
                  <c:v>2.38189520314336E-3</c:v>
                </c:pt>
                <c:pt idx="1027">
                  <c:v>2.3759026080369949E-3</c:v>
                </c:pt>
                <c:pt idx="1028">
                  <c:v>2.3701030295342198E-3</c:v>
                </c:pt>
                <c:pt idx="1029">
                  <c:v>2.350282156839965E-3</c:v>
                </c:pt>
                <c:pt idx="1030">
                  <c:v>2.3470649030059602E-3</c:v>
                </c:pt>
                <c:pt idx="1031">
                  <c:v>2.3465370759367951E-3</c:v>
                </c:pt>
                <c:pt idx="1032">
                  <c:v>2.3344650398939848E-3</c:v>
                </c:pt>
                <c:pt idx="1033">
                  <c:v>2.3330491967499252E-3</c:v>
                </c:pt>
                <c:pt idx="1034">
                  <c:v>2.33300030231476E-3</c:v>
                </c:pt>
                <c:pt idx="1035">
                  <c:v>2.3307604715228098E-3</c:v>
                </c:pt>
                <c:pt idx="1036">
                  <c:v>2.3298319429159151E-3</c:v>
                </c:pt>
                <c:pt idx="1037">
                  <c:v>2.3278321605175751E-3</c:v>
                </c:pt>
                <c:pt idx="1038">
                  <c:v>2.3187452461570501E-3</c:v>
                </c:pt>
                <c:pt idx="1039">
                  <c:v>2.3166062310337999E-3</c:v>
                </c:pt>
                <c:pt idx="1040">
                  <c:v>2.3130995687097298E-3</c:v>
                </c:pt>
                <c:pt idx="1041">
                  <c:v>2.3061111569404602E-3</c:v>
                </c:pt>
                <c:pt idx="1042">
                  <c:v>2.3038862273097051E-3</c:v>
                </c:pt>
                <c:pt idx="1043">
                  <c:v>2.2876304574310801E-3</c:v>
                </c:pt>
                <c:pt idx="1044">
                  <c:v>2.2865198552608499E-3</c:v>
                </c:pt>
                <c:pt idx="1045">
                  <c:v>2.2543387021869399E-3</c:v>
                </c:pt>
                <c:pt idx="1046">
                  <c:v>2.2444683127105249E-3</c:v>
                </c:pt>
                <c:pt idx="1047">
                  <c:v>2.244140952825545E-3</c:v>
                </c:pt>
                <c:pt idx="1048">
                  <c:v>2.2323029115796098E-3</c:v>
                </c:pt>
                <c:pt idx="1049">
                  <c:v>2.21779034473002E-3</c:v>
                </c:pt>
                <c:pt idx="1050">
                  <c:v>2.2141216322779651E-3</c:v>
                </c:pt>
                <c:pt idx="1051">
                  <c:v>2.2139840293675648E-3</c:v>
                </c:pt>
                <c:pt idx="1052">
                  <c:v>2.2032551933079949E-3</c:v>
                </c:pt>
                <c:pt idx="1053">
                  <c:v>2.2023203782737251E-3</c:v>
                </c:pt>
                <c:pt idx="1054">
                  <c:v>2.2007601801306001E-3</c:v>
                </c:pt>
                <c:pt idx="1055">
                  <c:v>2.1982342004776001E-3</c:v>
                </c:pt>
                <c:pt idx="1056">
                  <c:v>2.1962472237646601E-3</c:v>
                </c:pt>
                <c:pt idx="1057">
                  <c:v>2.1958709694445151E-3</c:v>
                </c:pt>
                <c:pt idx="1058">
                  <c:v>2.1937098354101198E-3</c:v>
                </c:pt>
                <c:pt idx="1059">
                  <c:v>2.1866955794393999E-3</c:v>
                </c:pt>
                <c:pt idx="1060">
                  <c:v>2.1865137387067101E-3</c:v>
                </c:pt>
                <c:pt idx="1061">
                  <c:v>2.177169546484945E-3</c:v>
                </c:pt>
                <c:pt idx="1062">
                  <c:v>2.1771327592432499E-3</c:v>
                </c:pt>
                <c:pt idx="1063">
                  <c:v>2.164791338145735E-3</c:v>
                </c:pt>
                <c:pt idx="1064">
                  <c:v>2.1620600018650302E-3</c:v>
                </c:pt>
                <c:pt idx="1065">
                  <c:v>2.1597985178232202E-3</c:v>
                </c:pt>
                <c:pt idx="1066">
                  <c:v>2.1554112900048499E-3</c:v>
                </c:pt>
                <c:pt idx="1067">
                  <c:v>2.1433203946799049E-3</c:v>
                </c:pt>
                <c:pt idx="1068">
                  <c:v>2.1319841034710399E-3</c:v>
                </c:pt>
                <c:pt idx="1069">
                  <c:v>2.1091378293931502E-3</c:v>
                </c:pt>
                <c:pt idx="1070">
                  <c:v>2.10744864307344E-3</c:v>
                </c:pt>
                <c:pt idx="1071">
                  <c:v>2.10421299561858E-3</c:v>
                </c:pt>
                <c:pt idx="1072">
                  <c:v>2.10264907218516E-3</c:v>
                </c:pt>
                <c:pt idx="1073">
                  <c:v>2.0967298187315451E-3</c:v>
                </c:pt>
                <c:pt idx="1074">
                  <c:v>2.09578173235059E-3</c:v>
                </c:pt>
                <c:pt idx="1075">
                  <c:v>2.0951495971530702E-3</c:v>
                </c:pt>
                <c:pt idx="1076">
                  <c:v>2.094083232805135E-3</c:v>
                </c:pt>
                <c:pt idx="1077">
                  <c:v>2.0892866887152199E-3</c:v>
                </c:pt>
                <c:pt idx="1078">
                  <c:v>2.0816780161112551E-3</c:v>
                </c:pt>
                <c:pt idx="1079">
                  <c:v>2.0746435038745399E-3</c:v>
                </c:pt>
                <c:pt idx="1080">
                  <c:v>2.0742812193930149E-3</c:v>
                </c:pt>
                <c:pt idx="1081">
                  <c:v>2.0729515235871098E-3</c:v>
                </c:pt>
                <c:pt idx="1082">
                  <c:v>2.0707293879240751E-3</c:v>
                </c:pt>
                <c:pt idx="1083">
                  <c:v>2.0652939565479751E-3</c:v>
                </c:pt>
                <c:pt idx="1084">
                  <c:v>2.0583204459398998E-3</c:v>
                </c:pt>
                <c:pt idx="1085">
                  <c:v>2.0547914318740351E-3</c:v>
                </c:pt>
                <c:pt idx="1086">
                  <c:v>2.0451070740818999E-3</c:v>
                </c:pt>
                <c:pt idx="1087">
                  <c:v>2.0242172759026302E-3</c:v>
                </c:pt>
                <c:pt idx="1088">
                  <c:v>2.0195676479488598E-3</c:v>
                </c:pt>
                <c:pt idx="1089">
                  <c:v>2.0168612245470298E-3</c:v>
                </c:pt>
                <c:pt idx="1090">
                  <c:v>2.01174942776561E-3</c:v>
                </c:pt>
                <c:pt idx="1091">
                  <c:v>2.0082239061594001E-3</c:v>
                </c:pt>
                <c:pt idx="1092">
                  <c:v>2.0000822842121098E-3</c:v>
                </c:pt>
                <c:pt idx="1093">
                  <c:v>1.9984829705208549E-3</c:v>
                </c:pt>
                <c:pt idx="1094">
                  <c:v>1.997337210923435E-3</c:v>
                </c:pt>
                <c:pt idx="1095">
                  <c:v>1.9943225197494052E-3</c:v>
                </c:pt>
                <c:pt idx="1096">
                  <c:v>1.9923397339880449E-3</c:v>
                </c:pt>
                <c:pt idx="1097">
                  <c:v>1.9918247126042852E-3</c:v>
                </c:pt>
                <c:pt idx="1098">
                  <c:v>1.9916370511055001E-3</c:v>
                </c:pt>
                <c:pt idx="1099">
                  <c:v>1.9867501687258499E-3</c:v>
                </c:pt>
                <c:pt idx="1100">
                  <c:v>1.9866877701133498E-3</c:v>
                </c:pt>
                <c:pt idx="1101">
                  <c:v>1.98416830971837E-3</c:v>
                </c:pt>
                <c:pt idx="1102">
                  <c:v>1.9781892187893399E-3</c:v>
                </c:pt>
                <c:pt idx="1103">
                  <c:v>1.975584542378785E-3</c:v>
                </c:pt>
                <c:pt idx="1104">
                  <c:v>1.9655453506857148E-3</c:v>
                </c:pt>
                <c:pt idx="1105">
                  <c:v>1.9499246263876551E-3</c:v>
                </c:pt>
                <c:pt idx="1106">
                  <c:v>1.9440124742686751E-3</c:v>
                </c:pt>
                <c:pt idx="1107">
                  <c:v>1.9375708652660251E-3</c:v>
                </c:pt>
                <c:pt idx="1108">
                  <c:v>1.93717738147825E-3</c:v>
                </c:pt>
                <c:pt idx="1109">
                  <c:v>1.9333370728418251E-3</c:v>
                </c:pt>
                <c:pt idx="1110">
                  <c:v>1.9236275693401701E-3</c:v>
                </c:pt>
                <c:pt idx="1111">
                  <c:v>1.918161753565075E-3</c:v>
                </c:pt>
                <c:pt idx="1112">
                  <c:v>1.9116805633529999E-3</c:v>
                </c:pt>
                <c:pt idx="1113">
                  <c:v>1.91110512241721E-3</c:v>
                </c:pt>
                <c:pt idx="1114">
                  <c:v>1.9066716777160751E-3</c:v>
                </c:pt>
                <c:pt idx="1115">
                  <c:v>1.9019984174519799E-3</c:v>
                </c:pt>
                <c:pt idx="1116">
                  <c:v>1.897178473882375E-3</c:v>
                </c:pt>
                <c:pt idx="1117">
                  <c:v>1.8908310448750849E-3</c:v>
                </c:pt>
                <c:pt idx="1118">
                  <c:v>1.88884499948472E-3</c:v>
                </c:pt>
                <c:pt idx="1119">
                  <c:v>1.8817076925188301E-3</c:v>
                </c:pt>
                <c:pt idx="1120">
                  <c:v>1.8802101258188499E-3</c:v>
                </c:pt>
                <c:pt idx="1121">
                  <c:v>1.8785423599183551E-3</c:v>
                </c:pt>
                <c:pt idx="1122">
                  <c:v>1.8668504199013101E-3</c:v>
                </c:pt>
                <c:pt idx="1123">
                  <c:v>1.8648336408659801E-3</c:v>
                </c:pt>
                <c:pt idx="1124">
                  <c:v>1.85767887160182E-3</c:v>
                </c:pt>
                <c:pt idx="1125">
                  <c:v>1.8457347759977E-3</c:v>
                </c:pt>
                <c:pt idx="1126">
                  <c:v>1.8409427721053351E-3</c:v>
                </c:pt>
                <c:pt idx="1127">
                  <c:v>1.83984183240682E-3</c:v>
                </c:pt>
                <c:pt idx="1128">
                  <c:v>1.83977128472179E-3</c:v>
                </c:pt>
                <c:pt idx="1129">
                  <c:v>1.837724819779395E-3</c:v>
                </c:pt>
                <c:pt idx="1130">
                  <c:v>1.824336941353975E-3</c:v>
                </c:pt>
                <c:pt idx="1131">
                  <c:v>1.817991957068445E-3</c:v>
                </c:pt>
                <c:pt idx="1132">
                  <c:v>1.8025756580755099E-3</c:v>
                </c:pt>
                <c:pt idx="1133">
                  <c:v>1.7998872790485601E-3</c:v>
                </c:pt>
                <c:pt idx="1134">
                  <c:v>1.795617979951205E-3</c:v>
                </c:pt>
                <c:pt idx="1135">
                  <c:v>1.7907816218212249E-3</c:v>
                </c:pt>
                <c:pt idx="1136">
                  <c:v>1.781922997906805E-3</c:v>
                </c:pt>
                <c:pt idx="1137">
                  <c:v>1.77851936314255E-3</c:v>
                </c:pt>
                <c:pt idx="1138">
                  <c:v>1.7501342808827749E-3</c:v>
                </c:pt>
                <c:pt idx="1139">
                  <c:v>1.7393219750374549E-3</c:v>
                </c:pt>
                <c:pt idx="1140">
                  <c:v>1.7331014387309549E-3</c:v>
                </c:pt>
                <c:pt idx="1141">
                  <c:v>1.7328727990388851E-3</c:v>
                </c:pt>
                <c:pt idx="1142">
                  <c:v>1.730934949591755E-3</c:v>
                </c:pt>
                <c:pt idx="1143">
                  <c:v>1.725312205962835E-3</c:v>
                </c:pt>
                <c:pt idx="1144">
                  <c:v>1.723919762298465E-3</c:v>
                </c:pt>
                <c:pt idx="1145">
                  <c:v>1.7208848148584351E-3</c:v>
                </c:pt>
                <c:pt idx="1146">
                  <c:v>1.7196374246850599E-3</c:v>
                </c:pt>
                <c:pt idx="1147">
                  <c:v>1.718363841064275E-3</c:v>
                </c:pt>
                <c:pt idx="1148">
                  <c:v>1.7175705870613449E-3</c:v>
                </c:pt>
                <c:pt idx="1149">
                  <c:v>1.7095580697059651E-3</c:v>
                </c:pt>
                <c:pt idx="1150">
                  <c:v>1.70919904485345E-3</c:v>
                </c:pt>
                <c:pt idx="1151">
                  <c:v>1.7024036496877651E-3</c:v>
                </c:pt>
                <c:pt idx="1152">
                  <c:v>1.6962764784693701E-3</c:v>
                </c:pt>
                <c:pt idx="1153">
                  <c:v>1.691126031801105E-3</c:v>
                </c:pt>
                <c:pt idx="1154">
                  <c:v>1.6904644435271599E-3</c:v>
                </c:pt>
                <c:pt idx="1155">
                  <c:v>1.6900402260944249E-3</c:v>
                </c:pt>
                <c:pt idx="1156">
                  <c:v>1.6875313594937301E-3</c:v>
                </c:pt>
                <c:pt idx="1157">
                  <c:v>1.6814178088679901E-3</c:v>
                </c:pt>
                <c:pt idx="1158">
                  <c:v>1.6809307271614649E-3</c:v>
                </c:pt>
                <c:pt idx="1159">
                  <c:v>1.680845278315245E-3</c:v>
                </c:pt>
                <c:pt idx="1160">
                  <c:v>1.6786236083135E-3</c:v>
                </c:pt>
                <c:pt idx="1161">
                  <c:v>1.6714083030819899E-3</c:v>
                </c:pt>
                <c:pt idx="1162">
                  <c:v>1.6672657802701001E-3</c:v>
                </c:pt>
                <c:pt idx="1163">
                  <c:v>1.6648028977215301E-3</c:v>
                </c:pt>
                <c:pt idx="1164">
                  <c:v>1.661462476477025E-3</c:v>
                </c:pt>
                <c:pt idx="1165">
                  <c:v>1.6606561839580551E-3</c:v>
                </c:pt>
                <c:pt idx="1166">
                  <c:v>1.6525128157809401E-3</c:v>
                </c:pt>
                <c:pt idx="1167">
                  <c:v>1.6425462672486899E-3</c:v>
                </c:pt>
                <c:pt idx="1168">
                  <c:v>1.6360882436856649E-3</c:v>
                </c:pt>
                <c:pt idx="1169">
                  <c:v>1.635965891182425E-3</c:v>
                </c:pt>
                <c:pt idx="1170">
                  <c:v>1.629361999221145E-3</c:v>
                </c:pt>
                <c:pt idx="1171">
                  <c:v>1.628060010261835E-3</c:v>
                </c:pt>
                <c:pt idx="1172">
                  <c:v>1.62209605332464E-3</c:v>
                </c:pt>
                <c:pt idx="1173">
                  <c:v>1.6203938284888851E-3</c:v>
                </c:pt>
                <c:pt idx="1174">
                  <c:v>1.6134441830217849E-3</c:v>
                </c:pt>
                <c:pt idx="1175">
                  <c:v>1.609770813956855E-3</c:v>
                </c:pt>
                <c:pt idx="1176">
                  <c:v>1.604524441063405E-3</c:v>
                </c:pt>
                <c:pt idx="1177">
                  <c:v>1.6002767952159049E-3</c:v>
                </c:pt>
                <c:pt idx="1178">
                  <c:v>1.596080022864045E-3</c:v>
                </c:pt>
                <c:pt idx="1179">
                  <c:v>1.5924577601253999E-3</c:v>
                </c:pt>
                <c:pt idx="1180">
                  <c:v>1.5910678775981049E-3</c:v>
                </c:pt>
                <c:pt idx="1181">
                  <c:v>1.5898726414889099E-3</c:v>
                </c:pt>
                <c:pt idx="1182">
                  <c:v>1.5893165254965401E-3</c:v>
                </c:pt>
                <c:pt idx="1183">
                  <c:v>1.5865424647927299E-3</c:v>
                </c:pt>
                <c:pt idx="1184">
                  <c:v>1.5860279090702551E-3</c:v>
                </c:pt>
                <c:pt idx="1185">
                  <c:v>1.5802993439137951E-3</c:v>
                </c:pt>
                <c:pt idx="1186">
                  <c:v>1.5754931373521701E-3</c:v>
                </c:pt>
                <c:pt idx="1187">
                  <c:v>1.5718620270490651E-3</c:v>
                </c:pt>
                <c:pt idx="1188">
                  <c:v>1.5717162750661349E-3</c:v>
                </c:pt>
                <c:pt idx="1189">
                  <c:v>1.5651278663426651E-3</c:v>
                </c:pt>
                <c:pt idx="1190">
                  <c:v>1.55985145829618E-3</c:v>
                </c:pt>
                <c:pt idx="1191">
                  <c:v>1.5555749414488649E-3</c:v>
                </c:pt>
                <c:pt idx="1192">
                  <c:v>1.5551327960565699E-3</c:v>
                </c:pt>
                <c:pt idx="1193">
                  <c:v>1.547102350741625E-3</c:v>
                </c:pt>
                <c:pt idx="1194">
                  <c:v>1.5215124003589149E-3</c:v>
                </c:pt>
                <c:pt idx="1195">
                  <c:v>1.51886511594057E-3</c:v>
                </c:pt>
                <c:pt idx="1196">
                  <c:v>1.5137882437556999E-3</c:v>
                </c:pt>
                <c:pt idx="1197">
                  <c:v>1.5103276818990701E-3</c:v>
                </c:pt>
                <c:pt idx="1198">
                  <c:v>1.5099464217200899E-3</c:v>
                </c:pt>
                <c:pt idx="1199">
                  <c:v>1.5064395265653749E-3</c:v>
                </c:pt>
                <c:pt idx="1200">
                  <c:v>1.5050609363242999E-3</c:v>
                </c:pt>
                <c:pt idx="1201">
                  <c:v>1.50055205449462E-3</c:v>
                </c:pt>
                <c:pt idx="1202">
                  <c:v>1.4985590241849401E-3</c:v>
                </c:pt>
                <c:pt idx="1203">
                  <c:v>1.496439334005115E-3</c:v>
                </c:pt>
                <c:pt idx="1204">
                  <c:v>1.492815092206E-3</c:v>
                </c:pt>
                <c:pt idx="1205">
                  <c:v>1.4891277533024549E-3</c:v>
                </c:pt>
                <c:pt idx="1206">
                  <c:v>1.486628549173475E-3</c:v>
                </c:pt>
                <c:pt idx="1207">
                  <c:v>1.4754879521206E-3</c:v>
                </c:pt>
                <c:pt idx="1208">
                  <c:v>1.47112109698355E-3</c:v>
                </c:pt>
                <c:pt idx="1209">
                  <c:v>1.470956834964455E-3</c:v>
                </c:pt>
                <c:pt idx="1210">
                  <c:v>1.469642389565705E-3</c:v>
                </c:pt>
                <c:pt idx="1211">
                  <c:v>1.4668344520032399E-3</c:v>
                </c:pt>
                <c:pt idx="1212">
                  <c:v>1.46229809615761E-3</c:v>
                </c:pt>
                <c:pt idx="1213">
                  <c:v>1.457614707760515E-3</c:v>
                </c:pt>
                <c:pt idx="1214">
                  <c:v>1.4529046602547149E-3</c:v>
                </c:pt>
                <c:pt idx="1215">
                  <c:v>1.4492655172944049E-3</c:v>
                </c:pt>
                <c:pt idx="1216">
                  <c:v>1.439243322238325E-3</c:v>
                </c:pt>
                <c:pt idx="1217">
                  <c:v>1.439179410226645E-3</c:v>
                </c:pt>
                <c:pt idx="1218">
                  <c:v>1.43689231481403E-3</c:v>
                </c:pt>
                <c:pt idx="1219">
                  <c:v>1.433454221114515E-3</c:v>
                </c:pt>
                <c:pt idx="1220">
                  <c:v>1.4287474332377299E-3</c:v>
                </c:pt>
                <c:pt idx="1221">
                  <c:v>1.4244233025237901E-3</c:v>
                </c:pt>
                <c:pt idx="1222">
                  <c:v>1.42144155688584E-3</c:v>
                </c:pt>
                <c:pt idx="1223">
                  <c:v>1.419939566403625E-3</c:v>
                </c:pt>
                <c:pt idx="1224">
                  <c:v>1.4197080163285149E-3</c:v>
                </c:pt>
                <c:pt idx="1225">
                  <c:v>1.4163235900923601E-3</c:v>
                </c:pt>
                <c:pt idx="1226">
                  <c:v>1.41271052416414E-3</c:v>
                </c:pt>
                <c:pt idx="1227">
                  <c:v>1.4104987494647501E-3</c:v>
                </c:pt>
                <c:pt idx="1228">
                  <c:v>1.4071322511881601E-3</c:v>
                </c:pt>
                <c:pt idx="1229">
                  <c:v>1.4012577012181299E-3</c:v>
                </c:pt>
                <c:pt idx="1230">
                  <c:v>1.40079401899129E-3</c:v>
                </c:pt>
                <c:pt idx="1231">
                  <c:v>1.4005266129970551E-3</c:v>
                </c:pt>
                <c:pt idx="1232">
                  <c:v>1.39864068478346E-3</c:v>
                </c:pt>
                <c:pt idx="1233">
                  <c:v>1.39424402732402E-3</c:v>
                </c:pt>
                <c:pt idx="1234">
                  <c:v>1.388467964716255E-3</c:v>
                </c:pt>
                <c:pt idx="1235">
                  <c:v>1.3882458442822101E-3</c:v>
                </c:pt>
                <c:pt idx="1236">
                  <c:v>1.3879718026146299E-3</c:v>
                </c:pt>
                <c:pt idx="1237">
                  <c:v>1.3867378002032651E-3</c:v>
                </c:pt>
                <c:pt idx="1238">
                  <c:v>1.3860994949936849E-3</c:v>
                </c:pt>
                <c:pt idx="1239">
                  <c:v>1.38595898170024E-3</c:v>
                </c:pt>
                <c:pt idx="1240">
                  <c:v>1.383119844831525E-3</c:v>
                </c:pt>
                <c:pt idx="1241">
                  <c:v>1.3822183245793E-3</c:v>
                </c:pt>
                <c:pt idx="1242">
                  <c:v>1.3801176100969299E-3</c:v>
                </c:pt>
                <c:pt idx="1243">
                  <c:v>1.378798740915955E-3</c:v>
                </c:pt>
                <c:pt idx="1244">
                  <c:v>1.3762596063315851E-3</c:v>
                </c:pt>
                <c:pt idx="1245">
                  <c:v>1.3734225649386651E-3</c:v>
                </c:pt>
                <c:pt idx="1246">
                  <c:v>1.3709268532693399E-3</c:v>
                </c:pt>
                <c:pt idx="1247">
                  <c:v>1.36326265055686E-3</c:v>
                </c:pt>
                <c:pt idx="1248">
                  <c:v>1.3632146874442701E-3</c:v>
                </c:pt>
                <c:pt idx="1249">
                  <c:v>1.3619161909446101E-3</c:v>
                </c:pt>
                <c:pt idx="1250">
                  <c:v>1.3521488290280099E-3</c:v>
                </c:pt>
                <c:pt idx="1251">
                  <c:v>1.34989817161113E-3</c:v>
                </c:pt>
                <c:pt idx="1252">
                  <c:v>1.3460965128615501E-3</c:v>
                </c:pt>
                <c:pt idx="1253">
                  <c:v>1.3453252613544449E-3</c:v>
                </c:pt>
                <c:pt idx="1254">
                  <c:v>1.33831542916596E-3</c:v>
                </c:pt>
                <c:pt idx="1255">
                  <c:v>1.33507838472724E-3</c:v>
                </c:pt>
                <c:pt idx="1256">
                  <c:v>1.331410370767115E-3</c:v>
                </c:pt>
                <c:pt idx="1257">
                  <c:v>1.33024586830288E-3</c:v>
                </c:pt>
                <c:pt idx="1258">
                  <c:v>1.321707968600095E-3</c:v>
                </c:pt>
                <c:pt idx="1259">
                  <c:v>1.317968242801725E-3</c:v>
                </c:pt>
                <c:pt idx="1260">
                  <c:v>1.3163065304979699E-3</c:v>
                </c:pt>
                <c:pt idx="1261">
                  <c:v>1.3160116504877799E-3</c:v>
                </c:pt>
                <c:pt idx="1262">
                  <c:v>1.3129563303664351E-3</c:v>
                </c:pt>
                <c:pt idx="1263">
                  <c:v>1.310893101617695E-3</c:v>
                </c:pt>
                <c:pt idx="1264">
                  <c:v>1.308665960095825E-3</c:v>
                </c:pt>
                <c:pt idx="1265">
                  <c:v>1.302205957472325E-3</c:v>
                </c:pt>
                <c:pt idx="1266">
                  <c:v>1.3008499518036851E-3</c:v>
                </c:pt>
                <c:pt idx="1267">
                  <c:v>1.2967780930921451E-3</c:v>
                </c:pt>
                <c:pt idx="1268">
                  <c:v>1.2892185477539899E-3</c:v>
                </c:pt>
                <c:pt idx="1269">
                  <c:v>1.2868067715317E-3</c:v>
                </c:pt>
                <c:pt idx="1270">
                  <c:v>1.284580561332405E-3</c:v>
                </c:pt>
                <c:pt idx="1271">
                  <c:v>1.28094560932368E-3</c:v>
                </c:pt>
                <c:pt idx="1272">
                  <c:v>1.2802473502233601E-3</c:v>
                </c:pt>
                <c:pt idx="1273">
                  <c:v>1.2741424143314351E-3</c:v>
                </c:pt>
                <c:pt idx="1274">
                  <c:v>1.2647238327190299E-3</c:v>
                </c:pt>
                <c:pt idx="1275">
                  <c:v>1.2634060112759449E-3</c:v>
                </c:pt>
                <c:pt idx="1276">
                  <c:v>1.26102298963815E-3</c:v>
                </c:pt>
                <c:pt idx="1277">
                  <c:v>1.25883216969669E-3</c:v>
                </c:pt>
                <c:pt idx="1278">
                  <c:v>1.257824595086275E-3</c:v>
                </c:pt>
                <c:pt idx="1279">
                  <c:v>1.256060088053345E-3</c:v>
                </c:pt>
                <c:pt idx="1280">
                  <c:v>1.23689603060484E-3</c:v>
                </c:pt>
                <c:pt idx="1281">
                  <c:v>1.2364943977445351E-3</c:v>
                </c:pt>
                <c:pt idx="1282">
                  <c:v>1.235904870554805E-3</c:v>
                </c:pt>
                <c:pt idx="1283">
                  <c:v>1.2294440530240551E-3</c:v>
                </c:pt>
                <c:pt idx="1284">
                  <c:v>1.22911704238504E-3</c:v>
                </c:pt>
                <c:pt idx="1285">
                  <c:v>1.2267659185454249E-3</c:v>
                </c:pt>
                <c:pt idx="1286">
                  <c:v>1.217425102367995E-3</c:v>
                </c:pt>
                <c:pt idx="1287">
                  <c:v>1.2122460175305601E-3</c:v>
                </c:pt>
                <c:pt idx="1288">
                  <c:v>1.207583234645425E-3</c:v>
                </c:pt>
                <c:pt idx="1289">
                  <c:v>1.2057869462296349E-3</c:v>
                </c:pt>
                <c:pt idx="1290">
                  <c:v>1.2035069521516551E-3</c:v>
                </c:pt>
                <c:pt idx="1291">
                  <c:v>1.2001630384474999E-3</c:v>
                </c:pt>
                <c:pt idx="1292">
                  <c:v>1.19643029756844E-3</c:v>
                </c:pt>
                <c:pt idx="1293">
                  <c:v>1.192228170111775E-3</c:v>
                </c:pt>
                <c:pt idx="1294">
                  <c:v>1.188042806461455E-3</c:v>
                </c:pt>
                <c:pt idx="1295">
                  <c:v>1.18581624701619E-3</c:v>
                </c:pt>
                <c:pt idx="1296">
                  <c:v>1.1770281707868E-3</c:v>
                </c:pt>
                <c:pt idx="1297">
                  <c:v>1.17482361383736E-3</c:v>
                </c:pt>
                <c:pt idx="1298">
                  <c:v>1.1648637009784601E-3</c:v>
                </c:pt>
                <c:pt idx="1299">
                  <c:v>1.1602500453591351E-3</c:v>
                </c:pt>
                <c:pt idx="1300">
                  <c:v>1.158351893536745E-3</c:v>
                </c:pt>
                <c:pt idx="1301">
                  <c:v>1.1550717754289499E-3</c:v>
                </c:pt>
                <c:pt idx="1302">
                  <c:v>1.1524987639859299E-3</c:v>
                </c:pt>
                <c:pt idx="1303">
                  <c:v>1.1509782634675501E-3</c:v>
                </c:pt>
                <c:pt idx="1304">
                  <c:v>1.14931690040976E-3</c:v>
                </c:pt>
                <c:pt idx="1305">
                  <c:v>1.14153407048434E-3</c:v>
                </c:pt>
                <c:pt idx="1306">
                  <c:v>1.13791401963681E-3</c:v>
                </c:pt>
                <c:pt idx="1307">
                  <c:v>1.13679328933358E-3</c:v>
                </c:pt>
                <c:pt idx="1308">
                  <c:v>1.1358977062627649E-3</c:v>
                </c:pt>
                <c:pt idx="1309">
                  <c:v>1.1320256162434799E-3</c:v>
                </c:pt>
                <c:pt idx="1310">
                  <c:v>1.12354033626616E-3</c:v>
                </c:pt>
                <c:pt idx="1311">
                  <c:v>1.1220560409128651E-3</c:v>
                </c:pt>
                <c:pt idx="1312">
                  <c:v>1.1188664939254501E-3</c:v>
                </c:pt>
                <c:pt idx="1313">
                  <c:v>1.1110644554719351E-3</c:v>
                </c:pt>
                <c:pt idx="1314">
                  <c:v>1.105596078559755E-3</c:v>
                </c:pt>
                <c:pt idx="1315">
                  <c:v>1.10337499063462E-3</c:v>
                </c:pt>
                <c:pt idx="1316">
                  <c:v>1.1024542618542901E-3</c:v>
                </c:pt>
                <c:pt idx="1317">
                  <c:v>1.09837343916297E-3</c:v>
                </c:pt>
                <c:pt idx="1318">
                  <c:v>1.0846455115824951E-3</c:v>
                </c:pt>
                <c:pt idx="1319">
                  <c:v>1.08391756657511E-3</c:v>
                </c:pt>
                <c:pt idx="1320">
                  <c:v>1.0837353765964499E-3</c:v>
                </c:pt>
                <c:pt idx="1321">
                  <c:v>1.0763989994302401E-3</c:v>
                </c:pt>
                <c:pt idx="1322">
                  <c:v>1.0759534779936099E-3</c:v>
                </c:pt>
                <c:pt idx="1323">
                  <c:v>1.0727826738730049E-3</c:v>
                </c:pt>
                <c:pt idx="1324">
                  <c:v>1.0721069993451251E-3</c:v>
                </c:pt>
                <c:pt idx="1325">
                  <c:v>1.0669898474589001E-3</c:v>
                </c:pt>
                <c:pt idx="1326">
                  <c:v>1.064087846316395E-3</c:v>
                </c:pt>
                <c:pt idx="1327">
                  <c:v>1.0602741967886699E-3</c:v>
                </c:pt>
                <c:pt idx="1328">
                  <c:v>1.0483405785635101E-3</c:v>
                </c:pt>
                <c:pt idx="1329">
                  <c:v>1.0452964343130599E-3</c:v>
                </c:pt>
                <c:pt idx="1330">
                  <c:v>1.0366293136030451E-3</c:v>
                </c:pt>
                <c:pt idx="1331">
                  <c:v>1.034357701428235E-3</c:v>
                </c:pt>
                <c:pt idx="1332">
                  <c:v>1.0343031026422999E-3</c:v>
                </c:pt>
                <c:pt idx="1333">
                  <c:v>1.0301113361492751E-3</c:v>
                </c:pt>
                <c:pt idx="1334">
                  <c:v>1.0273457737639551E-3</c:v>
                </c:pt>
                <c:pt idx="1335">
                  <c:v>1.0205504950135951E-3</c:v>
                </c:pt>
                <c:pt idx="1336">
                  <c:v>1.0184006532654151E-3</c:v>
                </c:pt>
                <c:pt idx="1337">
                  <c:v>1.016169087961315E-3</c:v>
                </c:pt>
                <c:pt idx="1338">
                  <c:v>1.01313542108983E-3</c:v>
                </c:pt>
                <c:pt idx="1339">
                  <c:v>1.0082427179440849E-3</c:v>
                </c:pt>
                <c:pt idx="1340">
                  <c:v>1.0069815907627351E-3</c:v>
                </c:pt>
                <c:pt idx="1341">
                  <c:v>9.9789234809577508E-4</c:v>
                </c:pt>
                <c:pt idx="1342">
                  <c:v>9.9463865626603495E-4</c:v>
                </c:pt>
                <c:pt idx="1343">
                  <c:v>9.899655124172551E-4</c:v>
                </c:pt>
                <c:pt idx="1344">
                  <c:v>9.8690961021930001E-4</c:v>
                </c:pt>
                <c:pt idx="1345">
                  <c:v>9.7752537112682993E-4</c:v>
                </c:pt>
                <c:pt idx="1346">
                  <c:v>9.7588694188744003E-4</c:v>
                </c:pt>
                <c:pt idx="1347">
                  <c:v>9.73167887423185E-4</c:v>
                </c:pt>
                <c:pt idx="1348">
                  <c:v>9.7067217575386004E-4</c:v>
                </c:pt>
                <c:pt idx="1349">
                  <c:v>9.5522112678736502E-4</c:v>
                </c:pt>
                <c:pt idx="1350">
                  <c:v>9.5330475596710996E-4</c:v>
                </c:pt>
                <c:pt idx="1351">
                  <c:v>9.5293944468721498E-4</c:v>
                </c:pt>
                <c:pt idx="1352">
                  <c:v>9.5132162095978997E-4</c:v>
                </c:pt>
                <c:pt idx="1353">
                  <c:v>9.5004535978659998E-4</c:v>
                </c:pt>
                <c:pt idx="1354">
                  <c:v>9.4934419030323505E-4</c:v>
                </c:pt>
                <c:pt idx="1355">
                  <c:v>9.4778800848871502E-4</c:v>
                </c:pt>
                <c:pt idx="1356">
                  <c:v>9.4451277982443495E-4</c:v>
                </c:pt>
                <c:pt idx="1357">
                  <c:v>9.4071222702041496E-4</c:v>
                </c:pt>
                <c:pt idx="1358">
                  <c:v>9.3751517124474005E-4</c:v>
                </c:pt>
                <c:pt idx="1359">
                  <c:v>9.3574437778443E-4</c:v>
                </c:pt>
                <c:pt idx="1360">
                  <c:v>9.3381479382514997E-4</c:v>
                </c:pt>
                <c:pt idx="1361">
                  <c:v>9.3254289822653001E-4</c:v>
                </c:pt>
                <c:pt idx="1362">
                  <c:v>9.3175267102196997E-4</c:v>
                </c:pt>
                <c:pt idx="1363">
                  <c:v>9.2352915089577501E-4</c:v>
                </c:pt>
                <c:pt idx="1364">
                  <c:v>9.2310638865455996E-4</c:v>
                </c:pt>
                <c:pt idx="1365">
                  <c:v>9.2174590099603003E-4</c:v>
                </c:pt>
                <c:pt idx="1366">
                  <c:v>9.1793225146829995E-4</c:v>
                </c:pt>
                <c:pt idx="1367">
                  <c:v>9.0423721121624004E-4</c:v>
                </c:pt>
                <c:pt idx="1368">
                  <c:v>9.0140925021842003E-4</c:v>
                </c:pt>
                <c:pt idx="1369">
                  <c:v>8.9082599151879495E-4</c:v>
                </c:pt>
                <c:pt idx="1370">
                  <c:v>8.8687404058873502E-4</c:v>
                </c:pt>
                <c:pt idx="1371">
                  <c:v>8.8675908045843005E-4</c:v>
                </c:pt>
                <c:pt idx="1372">
                  <c:v>8.8066840544342995E-4</c:v>
                </c:pt>
                <c:pt idx="1373">
                  <c:v>8.7776372674852501E-4</c:v>
                </c:pt>
                <c:pt idx="1374">
                  <c:v>8.7142031406983495E-4</c:v>
                </c:pt>
                <c:pt idx="1375">
                  <c:v>8.7132217595353495E-4</c:v>
                </c:pt>
                <c:pt idx="1376">
                  <c:v>8.6778437253087998E-4</c:v>
                </c:pt>
                <c:pt idx="1377">
                  <c:v>8.5087178740650502E-4</c:v>
                </c:pt>
                <c:pt idx="1378">
                  <c:v>8.4922695532440998E-4</c:v>
                </c:pt>
                <c:pt idx="1379">
                  <c:v>8.4830378182232499E-4</c:v>
                </c:pt>
                <c:pt idx="1380">
                  <c:v>8.3397119306027998E-4</c:v>
                </c:pt>
                <c:pt idx="1381">
                  <c:v>8.3209999138489496E-4</c:v>
                </c:pt>
                <c:pt idx="1382">
                  <c:v>8.2941423170268503E-4</c:v>
                </c:pt>
                <c:pt idx="1383">
                  <c:v>8.1864290405064995E-4</c:v>
                </c:pt>
                <c:pt idx="1384">
                  <c:v>8.1415707245468996E-4</c:v>
                </c:pt>
                <c:pt idx="1385">
                  <c:v>8.1300042802467996E-4</c:v>
                </c:pt>
                <c:pt idx="1386">
                  <c:v>7.9328683204949E-4</c:v>
                </c:pt>
                <c:pt idx="1387">
                  <c:v>7.8801717609167001E-4</c:v>
                </c:pt>
                <c:pt idx="1388">
                  <c:v>7.8644335735589504E-4</c:v>
                </c:pt>
                <c:pt idx="1389">
                  <c:v>7.8412116272374998E-4</c:v>
                </c:pt>
                <c:pt idx="1390">
                  <c:v>7.8279239824041497E-4</c:v>
                </c:pt>
                <c:pt idx="1391">
                  <c:v>7.8064046101644505E-4</c:v>
                </c:pt>
                <c:pt idx="1392">
                  <c:v>7.7584927203133496E-4</c:v>
                </c:pt>
                <c:pt idx="1393">
                  <c:v>7.6532654929906E-4</c:v>
                </c:pt>
                <c:pt idx="1394">
                  <c:v>7.6519418507814505E-4</c:v>
                </c:pt>
                <c:pt idx="1395">
                  <c:v>7.5829925481229999E-4</c:v>
                </c:pt>
                <c:pt idx="1396">
                  <c:v>7.5702171307057001E-4</c:v>
                </c:pt>
                <c:pt idx="1397">
                  <c:v>7.5699953595176502E-4</c:v>
                </c:pt>
                <c:pt idx="1398">
                  <c:v>7.5655657565220995E-4</c:v>
                </c:pt>
                <c:pt idx="1399">
                  <c:v>7.4739533010870001E-4</c:v>
                </c:pt>
                <c:pt idx="1400">
                  <c:v>7.4449565727263505E-4</c:v>
                </c:pt>
                <c:pt idx="1401">
                  <c:v>7.3585024802014004E-4</c:v>
                </c:pt>
                <c:pt idx="1402">
                  <c:v>7.3179148603230498E-4</c:v>
                </c:pt>
                <c:pt idx="1403">
                  <c:v>7.2972383350134004E-4</c:v>
                </c:pt>
                <c:pt idx="1404">
                  <c:v>7.2125007864088004E-4</c:v>
                </c:pt>
                <c:pt idx="1405">
                  <c:v>7.1937008760869503E-4</c:v>
                </c:pt>
                <c:pt idx="1406">
                  <c:v>7.1904587093740496E-4</c:v>
                </c:pt>
                <c:pt idx="1407">
                  <c:v>7.1852008113637502E-4</c:v>
                </c:pt>
                <c:pt idx="1408">
                  <c:v>7.1368349017575502E-4</c:v>
                </c:pt>
                <c:pt idx="1409">
                  <c:v>7.1134965401142998E-4</c:v>
                </c:pt>
                <c:pt idx="1410">
                  <c:v>7.0488027995452502E-4</c:v>
                </c:pt>
                <c:pt idx="1411">
                  <c:v>6.9974752841517503E-4</c:v>
                </c:pt>
                <c:pt idx="1412">
                  <c:v>6.9653976242989497E-4</c:v>
                </c:pt>
                <c:pt idx="1413">
                  <c:v>6.8864802597090504E-4</c:v>
                </c:pt>
                <c:pt idx="1414">
                  <c:v>6.8714277585968505E-4</c:v>
                </c:pt>
                <c:pt idx="1415">
                  <c:v>6.8413821281865001E-4</c:v>
                </c:pt>
                <c:pt idx="1416">
                  <c:v>6.8322918377816504E-4</c:v>
                </c:pt>
                <c:pt idx="1417">
                  <c:v>6.81711186189205E-4</c:v>
                </c:pt>
                <c:pt idx="1418">
                  <c:v>6.7923153983428998E-4</c:v>
                </c:pt>
                <c:pt idx="1419">
                  <c:v>6.7824131110682997E-4</c:v>
                </c:pt>
                <c:pt idx="1420">
                  <c:v>6.7635747836902499E-4</c:v>
                </c:pt>
                <c:pt idx="1421">
                  <c:v>6.6973018692806504E-4</c:v>
                </c:pt>
                <c:pt idx="1422">
                  <c:v>6.6782638896256501E-4</c:v>
                </c:pt>
                <c:pt idx="1423">
                  <c:v>6.66076550260185E-4</c:v>
                </c:pt>
                <c:pt idx="1424">
                  <c:v>6.6553131910040996E-4</c:v>
                </c:pt>
                <c:pt idx="1425">
                  <c:v>6.6398741910233996E-4</c:v>
                </c:pt>
                <c:pt idx="1426">
                  <c:v>6.6196772968396501E-4</c:v>
                </c:pt>
                <c:pt idx="1427">
                  <c:v>6.6180335124954505E-4</c:v>
                </c:pt>
                <c:pt idx="1428">
                  <c:v>6.6106591839343505E-4</c:v>
                </c:pt>
                <c:pt idx="1429">
                  <c:v>6.4898276468739E-4</c:v>
                </c:pt>
                <c:pt idx="1430">
                  <c:v>6.4741150708869002E-4</c:v>
                </c:pt>
                <c:pt idx="1431">
                  <c:v>6.4431759528815497E-4</c:v>
                </c:pt>
                <c:pt idx="1432">
                  <c:v>6.4279290381818999E-4</c:v>
                </c:pt>
                <c:pt idx="1433">
                  <c:v>6.4033782109618003E-4</c:v>
                </c:pt>
                <c:pt idx="1434">
                  <c:v>6.3341815257444999E-4</c:v>
                </c:pt>
                <c:pt idx="1435">
                  <c:v>6.2657881062478001E-4</c:v>
                </c:pt>
                <c:pt idx="1436">
                  <c:v>6.2624615384265997E-4</c:v>
                </c:pt>
                <c:pt idx="1437">
                  <c:v>6.2439538305625504E-4</c:v>
                </c:pt>
                <c:pt idx="1438">
                  <c:v>6.1793881468474995E-4</c:v>
                </c:pt>
                <c:pt idx="1439">
                  <c:v>6.1552890110761003E-4</c:v>
                </c:pt>
                <c:pt idx="1440">
                  <c:v>6.0637993738055002E-4</c:v>
                </c:pt>
                <c:pt idx="1441">
                  <c:v>6.0482777189463496E-4</c:v>
                </c:pt>
                <c:pt idx="1442">
                  <c:v>6.0385884717107003E-4</c:v>
                </c:pt>
                <c:pt idx="1443">
                  <c:v>6.0273770941421498E-4</c:v>
                </c:pt>
                <c:pt idx="1444">
                  <c:v>6.0256995493545998E-4</c:v>
                </c:pt>
                <c:pt idx="1445">
                  <c:v>6.0026574647054E-4</c:v>
                </c:pt>
                <c:pt idx="1446">
                  <c:v>5.9921771753579497E-4</c:v>
                </c:pt>
                <c:pt idx="1447">
                  <c:v>5.9853796847164501E-4</c:v>
                </c:pt>
                <c:pt idx="1448">
                  <c:v>5.9689889894798496E-4</c:v>
                </c:pt>
                <c:pt idx="1449">
                  <c:v>5.9139344375580495E-4</c:v>
                </c:pt>
                <c:pt idx="1450">
                  <c:v>5.8845413150265997E-4</c:v>
                </c:pt>
                <c:pt idx="1451">
                  <c:v>5.8836763491853996E-4</c:v>
                </c:pt>
                <c:pt idx="1452">
                  <c:v>5.8531673857941996E-4</c:v>
                </c:pt>
                <c:pt idx="1453">
                  <c:v>5.8353983331471497E-4</c:v>
                </c:pt>
                <c:pt idx="1454">
                  <c:v>5.7726830709725499E-4</c:v>
                </c:pt>
                <c:pt idx="1455">
                  <c:v>5.7357619516551495E-4</c:v>
                </c:pt>
                <c:pt idx="1456">
                  <c:v>5.7055678917095E-4</c:v>
                </c:pt>
                <c:pt idx="1457">
                  <c:v>5.6896428577601996E-4</c:v>
                </c:pt>
                <c:pt idx="1458">
                  <c:v>5.6757900165394003E-4</c:v>
                </c:pt>
                <c:pt idx="1459">
                  <c:v>5.6614767527207505E-4</c:v>
                </c:pt>
                <c:pt idx="1460">
                  <c:v>5.6481949286535502E-4</c:v>
                </c:pt>
                <c:pt idx="1461">
                  <c:v>5.5668118875473499E-4</c:v>
                </c:pt>
                <c:pt idx="1462">
                  <c:v>5.5295618949458003E-4</c:v>
                </c:pt>
                <c:pt idx="1463">
                  <c:v>5.5049464572220997E-4</c:v>
                </c:pt>
                <c:pt idx="1464">
                  <c:v>5.4592028027400505E-4</c:v>
                </c:pt>
                <c:pt idx="1465">
                  <c:v>5.4586451733485005E-4</c:v>
                </c:pt>
                <c:pt idx="1466">
                  <c:v>5.4370501311495998E-4</c:v>
                </c:pt>
                <c:pt idx="1467">
                  <c:v>5.4325419478118496E-4</c:v>
                </c:pt>
                <c:pt idx="1468">
                  <c:v>5.3873681463300997E-4</c:v>
                </c:pt>
                <c:pt idx="1469">
                  <c:v>5.3590850438922503E-4</c:v>
                </c:pt>
                <c:pt idx="1470">
                  <c:v>5.3590489551425002E-4</c:v>
                </c:pt>
                <c:pt idx="1471">
                  <c:v>5.3504173411056497E-4</c:v>
                </c:pt>
                <c:pt idx="1472">
                  <c:v>5.3173367632553003E-4</c:v>
                </c:pt>
                <c:pt idx="1473">
                  <c:v>5.3169217426330003E-4</c:v>
                </c:pt>
                <c:pt idx="1474">
                  <c:v>5.2870402578264497E-4</c:v>
                </c:pt>
                <c:pt idx="1475">
                  <c:v>5.2368553588166996E-4</c:v>
                </c:pt>
                <c:pt idx="1476">
                  <c:v>5.2365119336173003E-4</c:v>
                </c:pt>
                <c:pt idx="1477">
                  <c:v>5.2102259360253995E-4</c:v>
                </c:pt>
                <c:pt idx="1478">
                  <c:v>5.1924661966040503E-4</c:v>
                </c:pt>
                <c:pt idx="1479">
                  <c:v>5.1911576883867502E-4</c:v>
                </c:pt>
                <c:pt idx="1480">
                  <c:v>5.1685806829482501E-4</c:v>
                </c:pt>
                <c:pt idx="1481">
                  <c:v>5.1494583021849502E-4</c:v>
                </c:pt>
                <c:pt idx="1482">
                  <c:v>5.1398662617430004E-4</c:v>
                </c:pt>
                <c:pt idx="1483">
                  <c:v>5.0952460151165496E-4</c:v>
                </c:pt>
                <c:pt idx="1484">
                  <c:v>5.0948979333043001E-4</c:v>
                </c:pt>
                <c:pt idx="1485">
                  <c:v>5.0945277325809002E-4</c:v>
                </c:pt>
                <c:pt idx="1486">
                  <c:v>5.0605920841917504E-4</c:v>
                </c:pt>
                <c:pt idx="1487">
                  <c:v>5.0338183064013503E-4</c:v>
                </c:pt>
                <c:pt idx="1488">
                  <c:v>5.0334725528955503E-4</c:v>
                </c:pt>
                <c:pt idx="1489">
                  <c:v>5.0306087359786001E-4</c:v>
                </c:pt>
                <c:pt idx="1490">
                  <c:v>4.9498328007757653E-4</c:v>
                </c:pt>
                <c:pt idx="1491">
                  <c:v>4.91714396048337E-4</c:v>
                </c:pt>
                <c:pt idx="1492">
                  <c:v>4.9114122521132252E-4</c:v>
                </c:pt>
                <c:pt idx="1493">
                  <c:v>4.8696959856897598E-4</c:v>
                </c:pt>
                <c:pt idx="1494">
                  <c:v>4.8572744708508248E-4</c:v>
                </c:pt>
                <c:pt idx="1495">
                  <c:v>4.8572133528068651E-4</c:v>
                </c:pt>
                <c:pt idx="1496">
                  <c:v>4.8514144145883598E-4</c:v>
                </c:pt>
                <c:pt idx="1497">
                  <c:v>4.8461320693604648E-4</c:v>
                </c:pt>
                <c:pt idx="1498">
                  <c:v>4.8212887486442902E-4</c:v>
                </c:pt>
                <c:pt idx="1499">
                  <c:v>4.7854252625256798E-4</c:v>
                </c:pt>
                <c:pt idx="1500">
                  <c:v>4.7686614561826002E-4</c:v>
                </c:pt>
                <c:pt idx="1501">
                  <c:v>4.7612361959181748E-4</c:v>
                </c:pt>
                <c:pt idx="1502">
                  <c:v>4.72999963676557E-4</c:v>
                </c:pt>
                <c:pt idx="1503">
                  <c:v>4.6004695468582202E-4</c:v>
                </c:pt>
                <c:pt idx="1504">
                  <c:v>4.5902410056442001E-4</c:v>
                </c:pt>
                <c:pt idx="1505">
                  <c:v>4.53444547019899E-4</c:v>
                </c:pt>
                <c:pt idx="1506">
                  <c:v>4.5282318023964752E-4</c:v>
                </c:pt>
                <c:pt idx="1507">
                  <c:v>4.4812768464907998E-4</c:v>
                </c:pt>
                <c:pt idx="1508">
                  <c:v>4.4398717000149201E-4</c:v>
                </c:pt>
                <c:pt idx="1509">
                  <c:v>4.4267548946663748E-4</c:v>
                </c:pt>
                <c:pt idx="1510">
                  <c:v>4.3776020174846048E-4</c:v>
                </c:pt>
                <c:pt idx="1511">
                  <c:v>4.3748627649620202E-4</c:v>
                </c:pt>
                <c:pt idx="1512">
                  <c:v>4.3598693446256199E-4</c:v>
                </c:pt>
                <c:pt idx="1513">
                  <c:v>4.35213092714548E-4</c:v>
                </c:pt>
                <c:pt idx="1514">
                  <c:v>4.31618915172294E-4</c:v>
                </c:pt>
                <c:pt idx="1515">
                  <c:v>4.2709484114311652E-4</c:v>
                </c:pt>
                <c:pt idx="1516">
                  <c:v>4.2411725735291849E-4</c:v>
                </c:pt>
                <c:pt idx="1517">
                  <c:v>4.2196857975795849E-4</c:v>
                </c:pt>
                <c:pt idx="1518">
                  <c:v>4.2167204082943499E-4</c:v>
                </c:pt>
                <c:pt idx="1519">
                  <c:v>4.1655832319520398E-4</c:v>
                </c:pt>
                <c:pt idx="1520">
                  <c:v>4.134935152251275E-4</c:v>
                </c:pt>
                <c:pt idx="1521">
                  <c:v>4.0068323141895251E-4</c:v>
                </c:pt>
                <c:pt idx="1522">
                  <c:v>4.0033226832747449E-4</c:v>
                </c:pt>
                <c:pt idx="1523">
                  <c:v>3.9766781264916052E-4</c:v>
                </c:pt>
                <c:pt idx="1524">
                  <c:v>3.9399572415277351E-4</c:v>
                </c:pt>
                <c:pt idx="1525">
                  <c:v>3.9372869650833298E-4</c:v>
                </c:pt>
                <c:pt idx="1526">
                  <c:v>3.8788930396549398E-4</c:v>
                </c:pt>
                <c:pt idx="1527">
                  <c:v>3.85294813895598E-4</c:v>
                </c:pt>
                <c:pt idx="1528">
                  <c:v>3.8335032877512298E-4</c:v>
                </c:pt>
                <c:pt idx="1529">
                  <c:v>3.7295036599971349E-4</c:v>
                </c:pt>
                <c:pt idx="1530">
                  <c:v>3.689967561513185E-4</c:v>
                </c:pt>
                <c:pt idx="1531">
                  <c:v>3.6712022847495951E-4</c:v>
                </c:pt>
                <c:pt idx="1532">
                  <c:v>3.6619731690734598E-4</c:v>
                </c:pt>
                <c:pt idx="1533">
                  <c:v>3.6366691347211599E-4</c:v>
                </c:pt>
                <c:pt idx="1534">
                  <c:v>3.6354782059788698E-4</c:v>
                </c:pt>
                <c:pt idx="1535">
                  <c:v>3.62746592145413E-4</c:v>
                </c:pt>
                <c:pt idx="1536">
                  <c:v>3.62165999831632E-4</c:v>
                </c:pt>
                <c:pt idx="1537">
                  <c:v>3.5222800215706251E-4</c:v>
                </c:pt>
                <c:pt idx="1538">
                  <c:v>3.35500866640359E-4</c:v>
                </c:pt>
                <c:pt idx="1539">
                  <c:v>3.260570229031145E-4</c:v>
                </c:pt>
                <c:pt idx="1540">
                  <c:v>3.2216115505434551E-4</c:v>
                </c:pt>
                <c:pt idx="1541">
                  <c:v>3.2038104836829001E-4</c:v>
                </c:pt>
                <c:pt idx="1542">
                  <c:v>3.1649111770093452E-4</c:v>
                </c:pt>
                <c:pt idx="1543">
                  <c:v>3.1598392524756502E-4</c:v>
                </c:pt>
                <c:pt idx="1544">
                  <c:v>3.1206407584249952E-4</c:v>
                </c:pt>
                <c:pt idx="1545">
                  <c:v>3.0352317844517551E-4</c:v>
                </c:pt>
                <c:pt idx="1546">
                  <c:v>3.0303883249871449E-4</c:v>
                </c:pt>
                <c:pt idx="1547">
                  <c:v>3.0213041463866852E-4</c:v>
                </c:pt>
                <c:pt idx="1548">
                  <c:v>3.0157313449308298E-4</c:v>
                </c:pt>
                <c:pt idx="1549">
                  <c:v>3.0031261849217101E-4</c:v>
                </c:pt>
                <c:pt idx="1550">
                  <c:v>2.9511784669011848E-4</c:v>
                </c:pt>
                <c:pt idx="1551">
                  <c:v>2.8738094260916098E-4</c:v>
                </c:pt>
                <c:pt idx="1552">
                  <c:v>2.8464468778111051E-4</c:v>
                </c:pt>
                <c:pt idx="1553">
                  <c:v>2.7992919785901899E-4</c:v>
                </c:pt>
                <c:pt idx="1554">
                  <c:v>2.7868465986102798E-4</c:v>
                </c:pt>
                <c:pt idx="1555">
                  <c:v>2.75070284260437E-4</c:v>
                </c:pt>
                <c:pt idx="1556">
                  <c:v>2.65843904344365E-4</c:v>
                </c:pt>
                <c:pt idx="1557">
                  <c:v>2.5928881950676452E-4</c:v>
                </c:pt>
                <c:pt idx="1558">
                  <c:v>2.5868092780001451E-4</c:v>
                </c:pt>
                <c:pt idx="1559">
                  <c:v>2.582613669801505E-4</c:v>
                </c:pt>
                <c:pt idx="1560">
                  <c:v>2.5652881595306098E-4</c:v>
                </c:pt>
                <c:pt idx="1561">
                  <c:v>2.5219662347808502E-4</c:v>
                </c:pt>
                <c:pt idx="1562">
                  <c:v>2.3707517539150999E-4</c:v>
                </c:pt>
                <c:pt idx="1563">
                  <c:v>2.3444854014087449E-4</c:v>
                </c:pt>
                <c:pt idx="1564">
                  <c:v>2.32552338275127E-4</c:v>
                </c:pt>
                <c:pt idx="1565">
                  <c:v>2.298532781424E-4</c:v>
                </c:pt>
                <c:pt idx="1566">
                  <c:v>2.2812238603364701E-4</c:v>
                </c:pt>
                <c:pt idx="1567">
                  <c:v>2.2313962108455601E-4</c:v>
                </c:pt>
                <c:pt idx="1568">
                  <c:v>2.1597139129880799E-4</c:v>
                </c:pt>
                <c:pt idx="1569">
                  <c:v>2.1354314230848101E-4</c:v>
                </c:pt>
                <c:pt idx="1570">
                  <c:v>2.1335466590244301E-4</c:v>
                </c:pt>
                <c:pt idx="1571">
                  <c:v>2.1248192933853699E-4</c:v>
                </c:pt>
                <c:pt idx="1572">
                  <c:v>2.105979510815815E-4</c:v>
                </c:pt>
                <c:pt idx="1573">
                  <c:v>2.0768155809491851E-4</c:v>
                </c:pt>
                <c:pt idx="1574">
                  <c:v>2.0110582408960901E-4</c:v>
                </c:pt>
                <c:pt idx="1575">
                  <c:v>2.0082214905414749E-4</c:v>
                </c:pt>
                <c:pt idx="1576">
                  <c:v>1.98325185920112E-4</c:v>
                </c:pt>
                <c:pt idx="1577">
                  <c:v>1.9695599621627499E-4</c:v>
                </c:pt>
                <c:pt idx="1578">
                  <c:v>1.958937355084345E-4</c:v>
                </c:pt>
                <c:pt idx="1579">
                  <c:v>1.9577707280404849E-4</c:v>
                </c:pt>
                <c:pt idx="1580">
                  <c:v>1.793674018699675E-4</c:v>
                </c:pt>
                <c:pt idx="1581">
                  <c:v>1.7778802430257201E-4</c:v>
                </c:pt>
                <c:pt idx="1582">
                  <c:v>1.76219124114141E-4</c:v>
                </c:pt>
                <c:pt idx="1583">
                  <c:v>1.73136984813027E-4</c:v>
                </c:pt>
                <c:pt idx="1584">
                  <c:v>1.71596970176324E-4</c:v>
                </c:pt>
                <c:pt idx="1585">
                  <c:v>1.714819809421895E-4</c:v>
                </c:pt>
                <c:pt idx="1586">
                  <c:v>1.6957015031948699E-4</c:v>
                </c:pt>
                <c:pt idx="1587">
                  <c:v>1.6524750390090051E-4</c:v>
                </c:pt>
                <c:pt idx="1588">
                  <c:v>1.5563465422019349E-4</c:v>
                </c:pt>
                <c:pt idx="1589">
                  <c:v>1.5505799092352401E-4</c:v>
                </c:pt>
                <c:pt idx="1590">
                  <c:v>1.5309099399019049E-4</c:v>
                </c:pt>
                <c:pt idx="1591">
                  <c:v>1.502368395449595E-4</c:v>
                </c:pt>
                <c:pt idx="1592">
                  <c:v>1.44779245601967E-4</c:v>
                </c:pt>
                <c:pt idx="1593">
                  <c:v>1.4440233644563699E-4</c:v>
                </c:pt>
                <c:pt idx="1594">
                  <c:v>1.381554175168275E-4</c:v>
                </c:pt>
                <c:pt idx="1595">
                  <c:v>1.3603990373667351E-4</c:v>
                </c:pt>
                <c:pt idx="1596">
                  <c:v>1.3547623530030251E-4</c:v>
                </c:pt>
                <c:pt idx="1597">
                  <c:v>1.299729774473235E-4</c:v>
                </c:pt>
                <c:pt idx="1598">
                  <c:v>1.2270123988855649E-4</c:v>
                </c:pt>
                <c:pt idx="1599">
                  <c:v>1.1395373439881951E-4</c:v>
                </c:pt>
                <c:pt idx="1600">
                  <c:v>1.0872681014006951E-4</c:v>
                </c:pt>
                <c:pt idx="1601">
                  <c:v>1.083687966456635E-4</c:v>
                </c:pt>
                <c:pt idx="1602">
                  <c:v>1.081725786207245E-4</c:v>
                </c:pt>
                <c:pt idx="1603">
                  <c:v>1.03581878647674E-4</c:v>
                </c:pt>
                <c:pt idx="1604">
                  <c:v>1.035534660331905E-4</c:v>
                </c:pt>
                <c:pt idx="1605">
                  <c:v>9.7680269391275997E-5</c:v>
                </c:pt>
                <c:pt idx="1606">
                  <c:v>9.5929048256948495E-5</c:v>
                </c:pt>
                <c:pt idx="1607">
                  <c:v>8.8821885583456497E-5</c:v>
                </c:pt>
                <c:pt idx="1608">
                  <c:v>8.7333028204738999E-5</c:v>
                </c:pt>
                <c:pt idx="1609">
                  <c:v>7.9180033935699503E-5</c:v>
                </c:pt>
                <c:pt idx="1610">
                  <c:v>7.5077114161104005E-5</c:v>
                </c:pt>
                <c:pt idx="1611">
                  <c:v>7.4456031143199503E-5</c:v>
                </c:pt>
                <c:pt idx="1612">
                  <c:v>7.1001646574586494E-5</c:v>
                </c:pt>
                <c:pt idx="1613">
                  <c:v>6.7763081460725503E-5</c:v>
                </c:pt>
                <c:pt idx="1614">
                  <c:v>6.0502781707328003E-5</c:v>
                </c:pt>
                <c:pt idx="1615">
                  <c:v>5.9446512750583E-5</c:v>
                </c:pt>
                <c:pt idx="1616">
                  <c:v>4.7853118303464753E-5</c:v>
                </c:pt>
                <c:pt idx="1617">
                  <c:v>3.8892507291166098E-5</c:v>
                </c:pt>
                <c:pt idx="1618">
                  <c:v>3.6347253626445302E-5</c:v>
                </c:pt>
                <c:pt idx="1619">
                  <c:v>3.6162171454634497E-5</c:v>
                </c:pt>
                <c:pt idx="1620">
                  <c:v>3.3756467018974952E-5</c:v>
                </c:pt>
                <c:pt idx="1621">
                  <c:v>3.226444459869525E-5</c:v>
                </c:pt>
                <c:pt idx="1622">
                  <c:v>3.2036899938248098E-5</c:v>
                </c:pt>
                <c:pt idx="1623">
                  <c:v>3.1539795600110651E-5</c:v>
                </c:pt>
                <c:pt idx="1624">
                  <c:v>3.02076805382967E-5</c:v>
                </c:pt>
                <c:pt idx="1625">
                  <c:v>2.9930555683677102E-5</c:v>
                </c:pt>
                <c:pt idx="1626">
                  <c:v>2.3075064746080901E-5</c:v>
                </c:pt>
                <c:pt idx="1627">
                  <c:v>1.8668622942641401E-5</c:v>
                </c:pt>
                <c:pt idx="1628">
                  <c:v>1.5762670955155052E-5</c:v>
                </c:pt>
                <c:pt idx="1629">
                  <c:v>1.541855453979225E-5</c:v>
                </c:pt>
                <c:pt idx="1630">
                  <c:v>1.0844165444723351E-5</c:v>
                </c:pt>
                <c:pt idx="1631">
                  <c:v>4.5780348045809652E-6</c:v>
                </c:pt>
                <c:pt idx="1632">
                  <c:v>1.319015950684845E-6</c:v>
                </c:pt>
                <c:pt idx="1633">
                  <c:v>9.8240661827730997E-6</c:v>
                </c:pt>
                <c:pt idx="1634">
                  <c:v>1.12433162939851E-5</c:v>
                </c:pt>
                <c:pt idx="1635">
                  <c:v>2.4071419829851951E-5</c:v>
                </c:pt>
                <c:pt idx="1636">
                  <c:v>2.6271807655575699E-5</c:v>
                </c:pt>
                <c:pt idx="1637">
                  <c:v>2.9108761737006699E-5</c:v>
                </c:pt>
                <c:pt idx="1638">
                  <c:v>2.9751616239082051E-5</c:v>
                </c:pt>
                <c:pt idx="1639">
                  <c:v>3.2012543670134599E-5</c:v>
                </c:pt>
                <c:pt idx="1640">
                  <c:v>3.3719861676218002E-5</c:v>
                </c:pt>
                <c:pt idx="1641">
                  <c:v>3.6989786167396253E-5</c:v>
                </c:pt>
                <c:pt idx="1642">
                  <c:v>3.82851139875129E-5</c:v>
                </c:pt>
                <c:pt idx="1643">
                  <c:v>3.96539326175116E-5</c:v>
                </c:pt>
                <c:pt idx="1644">
                  <c:v>4.0300317778019248E-5</c:v>
                </c:pt>
                <c:pt idx="1645">
                  <c:v>4.6780805860180401E-5</c:v>
                </c:pt>
                <c:pt idx="1646">
                  <c:v>4.725230974145235E-5</c:v>
                </c:pt>
                <c:pt idx="1647">
                  <c:v>5.6688550102989999E-5</c:v>
                </c:pt>
                <c:pt idx="1648">
                  <c:v>5.9316196711733998E-5</c:v>
                </c:pt>
                <c:pt idx="1649">
                  <c:v>5.9566213167272501E-5</c:v>
                </c:pt>
                <c:pt idx="1650">
                  <c:v>6.26741239102555E-5</c:v>
                </c:pt>
                <c:pt idx="1651">
                  <c:v>6.3945510191842995E-5</c:v>
                </c:pt>
                <c:pt idx="1652">
                  <c:v>7.2946662839968001E-5</c:v>
                </c:pt>
                <c:pt idx="1653">
                  <c:v>7.2947470471263E-5</c:v>
                </c:pt>
                <c:pt idx="1654">
                  <c:v>7.3729417636058994E-5</c:v>
                </c:pt>
                <c:pt idx="1655">
                  <c:v>7.4195922934450006E-5</c:v>
                </c:pt>
                <c:pt idx="1656">
                  <c:v>7.5803778599947501E-5</c:v>
                </c:pt>
                <c:pt idx="1657">
                  <c:v>7.6172480476088998E-5</c:v>
                </c:pt>
                <c:pt idx="1658">
                  <c:v>7.7149641583673493E-5</c:v>
                </c:pt>
                <c:pt idx="1659">
                  <c:v>7.7896947914268998E-5</c:v>
                </c:pt>
                <c:pt idx="1660">
                  <c:v>8.1914884503930997E-5</c:v>
                </c:pt>
                <c:pt idx="1661">
                  <c:v>8.2108133938163505E-5</c:v>
                </c:pt>
                <c:pt idx="1662">
                  <c:v>8.5006911831442497E-5</c:v>
                </c:pt>
                <c:pt idx="1663">
                  <c:v>9.7320546046830497E-5</c:v>
                </c:pt>
                <c:pt idx="1664">
                  <c:v>1.02564757980872E-4</c:v>
                </c:pt>
                <c:pt idx="1665">
                  <c:v>1.0480330820428199E-4</c:v>
                </c:pt>
                <c:pt idx="1666">
                  <c:v>1.0485691018402599E-4</c:v>
                </c:pt>
                <c:pt idx="1667">
                  <c:v>1.0522529191803199E-4</c:v>
                </c:pt>
                <c:pt idx="1668">
                  <c:v>1.0937019396806149E-4</c:v>
                </c:pt>
                <c:pt idx="1669">
                  <c:v>1.12178036943078E-4</c:v>
                </c:pt>
                <c:pt idx="1670">
                  <c:v>1.2293270265217849E-4</c:v>
                </c:pt>
                <c:pt idx="1671">
                  <c:v>1.29550229758024E-4</c:v>
                </c:pt>
                <c:pt idx="1672">
                  <c:v>1.3074543676339101E-4</c:v>
                </c:pt>
                <c:pt idx="1673">
                  <c:v>1.32168148411438E-4</c:v>
                </c:pt>
                <c:pt idx="1674">
                  <c:v>1.3610748283099399E-4</c:v>
                </c:pt>
                <c:pt idx="1675">
                  <c:v>1.3694739027414449E-4</c:v>
                </c:pt>
                <c:pt idx="1676">
                  <c:v>1.61048723384738E-4</c:v>
                </c:pt>
                <c:pt idx="1677">
                  <c:v>1.64570228662342E-4</c:v>
                </c:pt>
                <c:pt idx="1678">
                  <c:v>1.683789887465535E-4</c:v>
                </c:pt>
                <c:pt idx="1679">
                  <c:v>1.7109225154854349E-4</c:v>
                </c:pt>
                <c:pt idx="1680">
                  <c:v>1.7855696205515401E-4</c:v>
                </c:pt>
                <c:pt idx="1681">
                  <c:v>1.813962444430215E-4</c:v>
                </c:pt>
                <c:pt idx="1682">
                  <c:v>1.8820021068677301E-4</c:v>
                </c:pt>
                <c:pt idx="1683">
                  <c:v>1.893519511213525E-4</c:v>
                </c:pt>
                <c:pt idx="1684">
                  <c:v>1.9036556477658451E-4</c:v>
                </c:pt>
                <c:pt idx="1685">
                  <c:v>1.9109838467556999E-4</c:v>
                </c:pt>
                <c:pt idx="1686">
                  <c:v>1.9312705262564101E-4</c:v>
                </c:pt>
                <c:pt idx="1687">
                  <c:v>1.93351093912497E-4</c:v>
                </c:pt>
                <c:pt idx="1688">
                  <c:v>1.97290180949494E-4</c:v>
                </c:pt>
                <c:pt idx="1689">
                  <c:v>1.997778308577835E-4</c:v>
                </c:pt>
                <c:pt idx="1690">
                  <c:v>2.02528273803182E-4</c:v>
                </c:pt>
                <c:pt idx="1691">
                  <c:v>2.0642556773964299E-4</c:v>
                </c:pt>
                <c:pt idx="1692">
                  <c:v>2.08352066692896E-4</c:v>
                </c:pt>
                <c:pt idx="1693">
                  <c:v>2.1112922695465399E-4</c:v>
                </c:pt>
                <c:pt idx="1694">
                  <c:v>2.151835651602595E-4</c:v>
                </c:pt>
                <c:pt idx="1695">
                  <c:v>2.1545667550526551E-4</c:v>
                </c:pt>
                <c:pt idx="1696">
                  <c:v>2.158330025849865E-4</c:v>
                </c:pt>
                <c:pt idx="1697">
                  <c:v>2.175427362089975E-4</c:v>
                </c:pt>
                <c:pt idx="1698">
                  <c:v>2.19328183447942E-4</c:v>
                </c:pt>
                <c:pt idx="1699">
                  <c:v>2.2713266662322001E-4</c:v>
                </c:pt>
                <c:pt idx="1700">
                  <c:v>2.2792734671384099E-4</c:v>
                </c:pt>
                <c:pt idx="1701">
                  <c:v>2.324616216355935E-4</c:v>
                </c:pt>
                <c:pt idx="1702">
                  <c:v>2.3672700626775601E-4</c:v>
                </c:pt>
                <c:pt idx="1703">
                  <c:v>2.4374996428377951E-4</c:v>
                </c:pt>
                <c:pt idx="1704">
                  <c:v>2.4581264005973951E-4</c:v>
                </c:pt>
                <c:pt idx="1705">
                  <c:v>2.46982235694304E-4</c:v>
                </c:pt>
                <c:pt idx="1706">
                  <c:v>2.5987959816120549E-4</c:v>
                </c:pt>
                <c:pt idx="1707">
                  <c:v>2.6409840211272251E-4</c:v>
                </c:pt>
                <c:pt idx="1708">
                  <c:v>2.6632641674950703E-4</c:v>
                </c:pt>
                <c:pt idx="1709">
                  <c:v>2.7025921735912551E-4</c:v>
                </c:pt>
                <c:pt idx="1710">
                  <c:v>2.7147494256496451E-4</c:v>
                </c:pt>
                <c:pt idx="1711">
                  <c:v>2.8086121892556548E-4</c:v>
                </c:pt>
                <c:pt idx="1712">
                  <c:v>2.8745003510266548E-4</c:v>
                </c:pt>
                <c:pt idx="1713">
                  <c:v>2.9149861074984052E-4</c:v>
                </c:pt>
                <c:pt idx="1714">
                  <c:v>2.9615589301101853E-4</c:v>
                </c:pt>
                <c:pt idx="1715">
                  <c:v>3.0112417880445703E-4</c:v>
                </c:pt>
                <c:pt idx="1716">
                  <c:v>3.0136172426864499E-4</c:v>
                </c:pt>
                <c:pt idx="1717">
                  <c:v>3.0746366246603451E-4</c:v>
                </c:pt>
                <c:pt idx="1718">
                  <c:v>3.1390541698783652E-4</c:v>
                </c:pt>
                <c:pt idx="1719">
                  <c:v>3.156527236569675E-4</c:v>
                </c:pt>
                <c:pt idx="1720">
                  <c:v>3.1840096926316603E-4</c:v>
                </c:pt>
                <c:pt idx="1721">
                  <c:v>3.1905146897770448E-4</c:v>
                </c:pt>
                <c:pt idx="1722">
                  <c:v>3.2230746001005151E-4</c:v>
                </c:pt>
                <c:pt idx="1723">
                  <c:v>3.2580763217993102E-4</c:v>
                </c:pt>
                <c:pt idx="1724">
                  <c:v>3.3675701706670198E-4</c:v>
                </c:pt>
                <c:pt idx="1725">
                  <c:v>3.3910642378032202E-4</c:v>
                </c:pt>
                <c:pt idx="1726">
                  <c:v>3.448693605605515E-4</c:v>
                </c:pt>
                <c:pt idx="1727">
                  <c:v>3.4656489151529952E-4</c:v>
                </c:pt>
                <c:pt idx="1728">
                  <c:v>3.5642468719743198E-4</c:v>
                </c:pt>
                <c:pt idx="1729">
                  <c:v>3.581788041628895E-4</c:v>
                </c:pt>
                <c:pt idx="1730">
                  <c:v>3.5899909562431298E-4</c:v>
                </c:pt>
                <c:pt idx="1731">
                  <c:v>3.5902252420783048E-4</c:v>
                </c:pt>
                <c:pt idx="1732">
                  <c:v>3.6050943890586501E-4</c:v>
                </c:pt>
                <c:pt idx="1733">
                  <c:v>3.6145583726465702E-4</c:v>
                </c:pt>
                <c:pt idx="1734">
                  <c:v>3.6281431675888598E-4</c:v>
                </c:pt>
                <c:pt idx="1735">
                  <c:v>3.6889972398057602E-4</c:v>
                </c:pt>
                <c:pt idx="1736">
                  <c:v>3.7518059252761299E-4</c:v>
                </c:pt>
                <c:pt idx="1737">
                  <c:v>3.8258486893027999E-4</c:v>
                </c:pt>
                <c:pt idx="1738">
                  <c:v>3.8582479464821501E-4</c:v>
                </c:pt>
                <c:pt idx="1739">
                  <c:v>3.9173976983875053E-4</c:v>
                </c:pt>
                <c:pt idx="1740">
                  <c:v>3.9225627551786602E-4</c:v>
                </c:pt>
                <c:pt idx="1741">
                  <c:v>3.9441025000996899E-4</c:v>
                </c:pt>
                <c:pt idx="1742">
                  <c:v>3.9457119419239451E-4</c:v>
                </c:pt>
                <c:pt idx="1743">
                  <c:v>3.9954532985575503E-4</c:v>
                </c:pt>
                <c:pt idx="1744">
                  <c:v>3.999858745373785E-4</c:v>
                </c:pt>
                <c:pt idx="1745">
                  <c:v>4.031376156490295E-4</c:v>
                </c:pt>
                <c:pt idx="1746">
                  <c:v>4.1251894435845299E-4</c:v>
                </c:pt>
                <c:pt idx="1747">
                  <c:v>4.1595881339162599E-4</c:v>
                </c:pt>
                <c:pt idx="1748">
                  <c:v>4.2052948265336448E-4</c:v>
                </c:pt>
                <c:pt idx="1749">
                  <c:v>4.2432191548868998E-4</c:v>
                </c:pt>
                <c:pt idx="1750">
                  <c:v>4.2582719470374302E-4</c:v>
                </c:pt>
                <c:pt idx="1751">
                  <c:v>4.27002814831212E-4</c:v>
                </c:pt>
                <c:pt idx="1752">
                  <c:v>4.2703194776549952E-4</c:v>
                </c:pt>
                <c:pt idx="1753">
                  <c:v>4.2827407014556251E-4</c:v>
                </c:pt>
                <c:pt idx="1754">
                  <c:v>4.2852762271650152E-4</c:v>
                </c:pt>
                <c:pt idx="1755">
                  <c:v>4.3010941590182499E-4</c:v>
                </c:pt>
                <c:pt idx="1756">
                  <c:v>4.3494446435943251E-4</c:v>
                </c:pt>
                <c:pt idx="1757">
                  <c:v>4.3784096487797802E-4</c:v>
                </c:pt>
                <c:pt idx="1758">
                  <c:v>4.3986187665723248E-4</c:v>
                </c:pt>
                <c:pt idx="1759">
                  <c:v>4.4082716340199102E-4</c:v>
                </c:pt>
                <c:pt idx="1760">
                  <c:v>4.4097102363593898E-4</c:v>
                </c:pt>
                <c:pt idx="1761">
                  <c:v>4.4571966282092051E-4</c:v>
                </c:pt>
                <c:pt idx="1762">
                  <c:v>4.4598605018109099E-4</c:v>
                </c:pt>
                <c:pt idx="1763">
                  <c:v>4.4643494766205549E-4</c:v>
                </c:pt>
                <c:pt idx="1764">
                  <c:v>4.595844366122035E-4</c:v>
                </c:pt>
                <c:pt idx="1765">
                  <c:v>4.6338542597368349E-4</c:v>
                </c:pt>
                <c:pt idx="1766">
                  <c:v>4.6516730799339701E-4</c:v>
                </c:pt>
                <c:pt idx="1767">
                  <c:v>4.6681289677508202E-4</c:v>
                </c:pt>
                <c:pt idx="1768">
                  <c:v>4.7085859114304201E-4</c:v>
                </c:pt>
                <c:pt idx="1769">
                  <c:v>4.7342994366772451E-4</c:v>
                </c:pt>
                <c:pt idx="1770">
                  <c:v>4.7435297165065998E-4</c:v>
                </c:pt>
                <c:pt idx="1771">
                  <c:v>4.7974355402402601E-4</c:v>
                </c:pt>
                <c:pt idx="1772">
                  <c:v>4.8454257193952799E-4</c:v>
                </c:pt>
                <c:pt idx="1773">
                  <c:v>4.8522895667701949E-4</c:v>
                </c:pt>
                <c:pt idx="1774">
                  <c:v>4.9208174459636201E-4</c:v>
                </c:pt>
                <c:pt idx="1775">
                  <c:v>4.9415492685511697E-4</c:v>
                </c:pt>
                <c:pt idx="1776">
                  <c:v>5.0741794984787497E-4</c:v>
                </c:pt>
                <c:pt idx="1777">
                  <c:v>5.0819572061300505E-4</c:v>
                </c:pt>
                <c:pt idx="1778">
                  <c:v>5.1054923096671505E-4</c:v>
                </c:pt>
                <c:pt idx="1779">
                  <c:v>5.1066430751234499E-4</c:v>
                </c:pt>
                <c:pt idx="1780">
                  <c:v>5.1872135372832504E-4</c:v>
                </c:pt>
                <c:pt idx="1781">
                  <c:v>5.2256172057240995E-4</c:v>
                </c:pt>
                <c:pt idx="1782">
                  <c:v>5.3017953177914002E-4</c:v>
                </c:pt>
                <c:pt idx="1783">
                  <c:v>5.4437026847154E-4</c:v>
                </c:pt>
                <c:pt idx="1784">
                  <c:v>5.51393954083325E-4</c:v>
                </c:pt>
                <c:pt idx="1785">
                  <c:v>5.5271573364734498E-4</c:v>
                </c:pt>
                <c:pt idx="1786">
                  <c:v>5.5788422469049497E-4</c:v>
                </c:pt>
                <c:pt idx="1787">
                  <c:v>5.6020566262305E-4</c:v>
                </c:pt>
                <c:pt idx="1788">
                  <c:v>5.6258536642417496E-4</c:v>
                </c:pt>
                <c:pt idx="1789">
                  <c:v>5.6280981516465501E-4</c:v>
                </c:pt>
                <c:pt idx="1790">
                  <c:v>5.6282640434801503E-4</c:v>
                </c:pt>
                <c:pt idx="1791">
                  <c:v>5.6499446509406003E-4</c:v>
                </c:pt>
                <c:pt idx="1792">
                  <c:v>5.6542892707511999E-4</c:v>
                </c:pt>
                <c:pt idx="1793">
                  <c:v>5.7057978119700995E-4</c:v>
                </c:pt>
                <c:pt idx="1794">
                  <c:v>5.7553587248548995E-4</c:v>
                </c:pt>
                <c:pt idx="1795">
                  <c:v>5.8055622503161495E-4</c:v>
                </c:pt>
                <c:pt idx="1796">
                  <c:v>5.8256706688552997E-4</c:v>
                </c:pt>
                <c:pt idx="1797">
                  <c:v>5.8317685034126E-4</c:v>
                </c:pt>
                <c:pt idx="1798">
                  <c:v>5.8420514687896003E-4</c:v>
                </c:pt>
                <c:pt idx="1799">
                  <c:v>5.8442313456907998E-4</c:v>
                </c:pt>
                <c:pt idx="1800">
                  <c:v>5.8546429499984004E-4</c:v>
                </c:pt>
                <c:pt idx="1801">
                  <c:v>5.8888597413897504E-4</c:v>
                </c:pt>
                <c:pt idx="1802">
                  <c:v>5.9017090825364004E-4</c:v>
                </c:pt>
                <c:pt idx="1803">
                  <c:v>5.9270975179970503E-4</c:v>
                </c:pt>
                <c:pt idx="1804">
                  <c:v>5.9705419698730003E-4</c:v>
                </c:pt>
                <c:pt idx="1805">
                  <c:v>5.9894780861213998E-4</c:v>
                </c:pt>
                <c:pt idx="1806">
                  <c:v>6.1001087306067499E-4</c:v>
                </c:pt>
                <c:pt idx="1807">
                  <c:v>6.1157671734690504E-4</c:v>
                </c:pt>
                <c:pt idx="1808">
                  <c:v>6.1193364672363E-4</c:v>
                </c:pt>
                <c:pt idx="1809">
                  <c:v>6.1453378293663502E-4</c:v>
                </c:pt>
                <c:pt idx="1810">
                  <c:v>6.2374619301408497E-4</c:v>
                </c:pt>
                <c:pt idx="1811">
                  <c:v>6.2503974186256495E-4</c:v>
                </c:pt>
                <c:pt idx="1812">
                  <c:v>6.2680192058906002E-4</c:v>
                </c:pt>
                <c:pt idx="1813">
                  <c:v>6.2826648354530497E-4</c:v>
                </c:pt>
                <c:pt idx="1814">
                  <c:v>6.3248991500586499E-4</c:v>
                </c:pt>
                <c:pt idx="1815">
                  <c:v>6.33167976047845E-4</c:v>
                </c:pt>
                <c:pt idx="1816">
                  <c:v>6.3331518322229505E-4</c:v>
                </c:pt>
                <c:pt idx="1817">
                  <c:v>6.3632294768467502E-4</c:v>
                </c:pt>
                <c:pt idx="1818">
                  <c:v>6.40019890852275E-4</c:v>
                </c:pt>
                <c:pt idx="1819">
                  <c:v>6.4434151863679496E-4</c:v>
                </c:pt>
                <c:pt idx="1820">
                  <c:v>6.4674526220187501E-4</c:v>
                </c:pt>
                <c:pt idx="1821">
                  <c:v>6.5074441954493501E-4</c:v>
                </c:pt>
                <c:pt idx="1822">
                  <c:v>6.5229088068008499E-4</c:v>
                </c:pt>
                <c:pt idx="1823">
                  <c:v>6.5304856980219505E-4</c:v>
                </c:pt>
                <c:pt idx="1824">
                  <c:v>6.5426400396973003E-4</c:v>
                </c:pt>
                <c:pt idx="1825">
                  <c:v>6.5562996314838496E-4</c:v>
                </c:pt>
                <c:pt idx="1826">
                  <c:v>6.5997254569083496E-4</c:v>
                </c:pt>
                <c:pt idx="1827">
                  <c:v>6.6321186022833001E-4</c:v>
                </c:pt>
                <c:pt idx="1828">
                  <c:v>6.6533329663797996E-4</c:v>
                </c:pt>
                <c:pt idx="1829">
                  <c:v>6.6974532091990005E-4</c:v>
                </c:pt>
                <c:pt idx="1830">
                  <c:v>6.8433460546657497E-4</c:v>
                </c:pt>
                <c:pt idx="1831">
                  <c:v>6.88858097419145E-4</c:v>
                </c:pt>
                <c:pt idx="1832">
                  <c:v>6.9105107104405999E-4</c:v>
                </c:pt>
                <c:pt idx="1833">
                  <c:v>7.0075812982395497E-4</c:v>
                </c:pt>
                <c:pt idx="1834">
                  <c:v>7.0339464582503005E-4</c:v>
                </c:pt>
                <c:pt idx="1835">
                  <c:v>7.0561259053647496E-4</c:v>
                </c:pt>
                <c:pt idx="1836">
                  <c:v>7.1107869734987497E-4</c:v>
                </c:pt>
                <c:pt idx="1837">
                  <c:v>7.1152328746393496E-4</c:v>
                </c:pt>
                <c:pt idx="1838">
                  <c:v>7.1182363899424499E-4</c:v>
                </c:pt>
                <c:pt idx="1839">
                  <c:v>7.1347050834447005E-4</c:v>
                </c:pt>
                <c:pt idx="1840">
                  <c:v>7.1348843630403497E-4</c:v>
                </c:pt>
                <c:pt idx="1841">
                  <c:v>7.1403727633878502E-4</c:v>
                </c:pt>
                <c:pt idx="1842">
                  <c:v>7.2695541894063505E-4</c:v>
                </c:pt>
                <c:pt idx="1843">
                  <c:v>7.2961498517543002E-4</c:v>
                </c:pt>
                <c:pt idx="1844">
                  <c:v>7.3390046600252498E-4</c:v>
                </c:pt>
                <c:pt idx="1845">
                  <c:v>7.3999789310618997E-4</c:v>
                </c:pt>
                <c:pt idx="1846">
                  <c:v>7.4763968586921497E-4</c:v>
                </c:pt>
                <c:pt idx="1847">
                  <c:v>7.5006810948252504E-4</c:v>
                </c:pt>
                <c:pt idx="1848">
                  <c:v>7.5681007001548995E-4</c:v>
                </c:pt>
                <c:pt idx="1849">
                  <c:v>7.6148397056386005E-4</c:v>
                </c:pt>
                <c:pt idx="1850">
                  <c:v>7.6339230872690504E-4</c:v>
                </c:pt>
                <c:pt idx="1851">
                  <c:v>7.6436263043433504E-4</c:v>
                </c:pt>
                <c:pt idx="1852">
                  <c:v>7.65577889978885E-4</c:v>
                </c:pt>
                <c:pt idx="1853">
                  <c:v>7.6810148311779001E-4</c:v>
                </c:pt>
                <c:pt idx="1854">
                  <c:v>7.70744518376885E-4</c:v>
                </c:pt>
                <c:pt idx="1855">
                  <c:v>7.8002485679462498E-4</c:v>
                </c:pt>
                <c:pt idx="1856">
                  <c:v>7.8081712126732003E-4</c:v>
                </c:pt>
                <c:pt idx="1857">
                  <c:v>7.8696705168113004E-4</c:v>
                </c:pt>
                <c:pt idx="1858">
                  <c:v>7.8824069350958001E-4</c:v>
                </c:pt>
                <c:pt idx="1859">
                  <c:v>8.0481090117245999E-4</c:v>
                </c:pt>
                <c:pt idx="1860">
                  <c:v>8.0895394785329504E-4</c:v>
                </c:pt>
                <c:pt idx="1861">
                  <c:v>8.1710278755053997E-4</c:v>
                </c:pt>
                <c:pt idx="1862">
                  <c:v>8.1873667659238003E-4</c:v>
                </c:pt>
                <c:pt idx="1863">
                  <c:v>8.2264043157920003E-4</c:v>
                </c:pt>
                <c:pt idx="1864">
                  <c:v>8.2318624481558995E-4</c:v>
                </c:pt>
                <c:pt idx="1865">
                  <c:v>8.3177903434261495E-4</c:v>
                </c:pt>
                <c:pt idx="1866">
                  <c:v>8.3346455357969002E-4</c:v>
                </c:pt>
                <c:pt idx="1867">
                  <c:v>8.4089458687230999E-4</c:v>
                </c:pt>
                <c:pt idx="1868">
                  <c:v>8.4562035044654998E-4</c:v>
                </c:pt>
                <c:pt idx="1869">
                  <c:v>8.4575236542150497E-4</c:v>
                </c:pt>
                <c:pt idx="1870">
                  <c:v>8.4831583080813495E-4</c:v>
                </c:pt>
                <c:pt idx="1871">
                  <c:v>8.5615768330171498E-4</c:v>
                </c:pt>
                <c:pt idx="1872">
                  <c:v>8.6146575631574002E-4</c:v>
                </c:pt>
                <c:pt idx="1873">
                  <c:v>8.6299510439858003E-4</c:v>
                </c:pt>
                <c:pt idx="1874">
                  <c:v>8.7512563914060495E-4</c:v>
                </c:pt>
                <c:pt idx="1875">
                  <c:v>8.7625102605670495E-4</c:v>
                </c:pt>
                <c:pt idx="1876">
                  <c:v>8.7860325584187995E-4</c:v>
                </c:pt>
                <c:pt idx="1877">
                  <c:v>8.8039209367707502E-4</c:v>
                </c:pt>
                <c:pt idx="1878">
                  <c:v>8.8529731146991502E-4</c:v>
                </c:pt>
                <c:pt idx="1879">
                  <c:v>8.8832562323659496E-4</c:v>
                </c:pt>
                <c:pt idx="1880">
                  <c:v>8.9756393572315498E-4</c:v>
                </c:pt>
                <c:pt idx="1881">
                  <c:v>9.0318947331980001E-4</c:v>
                </c:pt>
                <c:pt idx="1882">
                  <c:v>9.0603233547880996E-4</c:v>
                </c:pt>
                <c:pt idx="1883">
                  <c:v>9.0697465930134004E-4</c:v>
                </c:pt>
                <c:pt idx="1884">
                  <c:v>9.148353128694E-4</c:v>
                </c:pt>
                <c:pt idx="1885">
                  <c:v>9.2524924548342997E-4</c:v>
                </c:pt>
                <c:pt idx="1886">
                  <c:v>9.2762539861723997E-4</c:v>
                </c:pt>
                <c:pt idx="1887">
                  <c:v>9.29703703150155E-4</c:v>
                </c:pt>
                <c:pt idx="1888">
                  <c:v>9.3296234263106996E-4</c:v>
                </c:pt>
                <c:pt idx="1889">
                  <c:v>9.356313967146E-4</c:v>
                </c:pt>
                <c:pt idx="1890">
                  <c:v>9.4481487758457498E-4</c:v>
                </c:pt>
                <c:pt idx="1891">
                  <c:v>9.4642094336450002E-4</c:v>
                </c:pt>
                <c:pt idx="1892">
                  <c:v>9.4654917484149499E-4</c:v>
                </c:pt>
                <c:pt idx="1893">
                  <c:v>9.4816641649231499E-4</c:v>
                </c:pt>
                <c:pt idx="1894">
                  <c:v>9.5205585239454995E-4</c:v>
                </c:pt>
                <c:pt idx="1895">
                  <c:v>9.5539720496163E-4</c:v>
                </c:pt>
                <c:pt idx="1896">
                  <c:v>9.5716130454093001E-4</c:v>
                </c:pt>
                <c:pt idx="1897">
                  <c:v>9.5832633087411501E-4</c:v>
                </c:pt>
                <c:pt idx="1898">
                  <c:v>9.6201658016070496E-4</c:v>
                </c:pt>
                <c:pt idx="1899">
                  <c:v>9.6475169993937005E-4</c:v>
                </c:pt>
                <c:pt idx="1900">
                  <c:v>9.6554792253300504E-4</c:v>
                </c:pt>
                <c:pt idx="1901">
                  <c:v>9.6576695796102502E-4</c:v>
                </c:pt>
                <c:pt idx="1902">
                  <c:v>9.6635561203583999E-4</c:v>
                </c:pt>
                <c:pt idx="1903">
                  <c:v>9.7633129917084997E-4</c:v>
                </c:pt>
                <c:pt idx="1904">
                  <c:v>9.8403275478631497E-4</c:v>
                </c:pt>
                <c:pt idx="1905">
                  <c:v>9.8577537573873997E-4</c:v>
                </c:pt>
                <c:pt idx="1906">
                  <c:v>9.8728667944669507E-4</c:v>
                </c:pt>
                <c:pt idx="1907">
                  <c:v>9.9350849632173993E-4</c:v>
                </c:pt>
                <c:pt idx="1908">
                  <c:v>9.9562853574753003E-4</c:v>
                </c:pt>
                <c:pt idx="1909">
                  <c:v>1.003303681500255E-3</c:v>
                </c:pt>
                <c:pt idx="1910">
                  <c:v>1.005940372124315E-3</c:v>
                </c:pt>
                <c:pt idx="1911">
                  <c:v>1.0148382280021899E-3</c:v>
                </c:pt>
                <c:pt idx="1912">
                  <c:v>1.0153198381885899E-3</c:v>
                </c:pt>
                <c:pt idx="1913">
                  <c:v>1.015723450109365E-3</c:v>
                </c:pt>
                <c:pt idx="1914">
                  <c:v>1.017225440591575E-3</c:v>
                </c:pt>
                <c:pt idx="1915">
                  <c:v>1.0216798400506401E-3</c:v>
                </c:pt>
                <c:pt idx="1916">
                  <c:v>1.0251959320157749E-3</c:v>
                </c:pt>
                <c:pt idx="1917">
                  <c:v>1.026149839162825E-3</c:v>
                </c:pt>
                <c:pt idx="1918">
                  <c:v>1.0273553198203451E-3</c:v>
                </c:pt>
                <c:pt idx="1919">
                  <c:v>1.03279436007142E-3</c:v>
                </c:pt>
                <c:pt idx="1920">
                  <c:v>1.0329835349693901E-3</c:v>
                </c:pt>
                <c:pt idx="1921">
                  <c:v>1.0336164850741601E-3</c:v>
                </c:pt>
                <c:pt idx="1922">
                  <c:v>1.03827298153192E-3</c:v>
                </c:pt>
                <c:pt idx="1923">
                  <c:v>1.043282682076095E-3</c:v>
                </c:pt>
                <c:pt idx="1924">
                  <c:v>1.0495992610231051E-3</c:v>
                </c:pt>
                <c:pt idx="1925">
                  <c:v>1.05181650724262E-3</c:v>
                </c:pt>
                <c:pt idx="1926">
                  <c:v>1.0578051442280401E-3</c:v>
                </c:pt>
                <c:pt idx="1927">
                  <c:v>1.059904228895905E-3</c:v>
                </c:pt>
                <c:pt idx="1928">
                  <c:v>1.0611105244606751E-3</c:v>
                </c:pt>
                <c:pt idx="1929">
                  <c:v>1.063458621501925E-3</c:v>
                </c:pt>
                <c:pt idx="1930">
                  <c:v>1.0637600207701349E-3</c:v>
                </c:pt>
                <c:pt idx="1931">
                  <c:v>1.066639204509555E-3</c:v>
                </c:pt>
                <c:pt idx="1932">
                  <c:v>1.07233948074281E-3</c:v>
                </c:pt>
                <c:pt idx="1933">
                  <c:v>1.08150579035282E-3</c:v>
                </c:pt>
                <c:pt idx="1934">
                  <c:v>1.0859260801225901E-3</c:v>
                </c:pt>
                <c:pt idx="1935">
                  <c:v>1.0869335383176799E-3</c:v>
                </c:pt>
                <c:pt idx="1936">
                  <c:v>1.0899642948061249E-3</c:v>
                </c:pt>
                <c:pt idx="1937">
                  <c:v>1.0912597645074151E-3</c:v>
                </c:pt>
                <c:pt idx="1938">
                  <c:v>1.0925031965598451E-3</c:v>
                </c:pt>
                <c:pt idx="1939">
                  <c:v>1.095547573640945E-3</c:v>
                </c:pt>
                <c:pt idx="1940">
                  <c:v>1.0958958882838501E-3</c:v>
                </c:pt>
                <c:pt idx="1941">
                  <c:v>1.1016383068636049E-3</c:v>
                </c:pt>
                <c:pt idx="1942">
                  <c:v>1.1100147385150201E-3</c:v>
                </c:pt>
                <c:pt idx="1943">
                  <c:v>1.114945393055675E-3</c:v>
                </c:pt>
                <c:pt idx="1944">
                  <c:v>1.126964460127055E-3</c:v>
                </c:pt>
                <c:pt idx="1945">
                  <c:v>1.13883486483246E-3</c:v>
                </c:pt>
                <c:pt idx="1946">
                  <c:v>1.1406283592805249E-3</c:v>
                </c:pt>
                <c:pt idx="1947">
                  <c:v>1.1460216483101251E-3</c:v>
                </c:pt>
                <c:pt idx="1948">
                  <c:v>1.1619323631748551E-3</c:v>
                </c:pt>
                <c:pt idx="1949">
                  <c:v>1.1627230560407049E-3</c:v>
                </c:pt>
                <c:pt idx="1950">
                  <c:v>1.164514804258945E-3</c:v>
                </c:pt>
                <c:pt idx="1951">
                  <c:v>1.17860280442983E-3</c:v>
                </c:pt>
                <c:pt idx="1952">
                  <c:v>1.187096000649035E-3</c:v>
                </c:pt>
                <c:pt idx="1953">
                  <c:v>1.188461435958745E-3</c:v>
                </c:pt>
                <c:pt idx="1954">
                  <c:v>1.191476243548095E-3</c:v>
                </c:pt>
                <c:pt idx="1955">
                  <c:v>1.1918743839487451E-3</c:v>
                </c:pt>
                <c:pt idx="1956">
                  <c:v>1.1975291417911651E-3</c:v>
                </c:pt>
                <c:pt idx="1957">
                  <c:v>1.2002823641523699E-3</c:v>
                </c:pt>
                <c:pt idx="1958">
                  <c:v>1.2008731719106451E-3</c:v>
                </c:pt>
                <c:pt idx="1959">
                  <c:v>1.20124570094049E-3</c:v>
                </c:pt>
                <c:pt idx="1960">
                  <c:v>1.2060976587235949E-3</c:v>
                </c:pt>
                <c:pt idx="1961">
                  <c:v>1.21018767822534E-3</c:v>
                </c:pt>
                <c:pt idx="1962">
                  <c:v>1.217867829836905E-3</c:v>
                </c:pt>
                <c:pt idx="1963">
                  <c:v>1.2230480788275599E-3</c:v>
                </c:pt>
                <c:pt idx="1964">
                  <c:v>1.2233990710228701E-3</c:v>
                </c:pt>
                <c:pt idx="1965">
                  <c:v>1.223406638018785E-3</c:v>
                </c:pt>
                <c:pt idx="1966">
                  <c:v>1.2252860469743601E-3</c:v>
                </c:pt>
                <c:pt idx="1967">
                  <c:v>1.2268007267266501E-3</c:v>
                </c:pt>
                <c:pt idx="1968">
                  <c:v>1.2276074849069099E-3</c:v>
                </c:pt>
                <c:pt idx="1969">
                  <c:v>1.2305652489885701E-3</c:v>
                </c:pt>
                <c:pt idx="1970">
                  <c:v>1.2312540784478201E-3</c:v>
                </c:pt>
                <c:pt idx="1971">
                  <c:v>1.23393826652318E-3</c:v>
                </c:pt>
                <c:pt idx="1972">
                  <c:v>1.236522221006455E-3</c:v>
                </c:pt>
                <c:pt idx="1973">
                  <c:v>1.23741023708135E-3</c:v>
                </c:pt>
                <c:pt idx="1974">
                  <c:v>1.242307014763355E-3</c:v>
                </c:pt>
                <c:pt idx="1975">
                  <c:v>1.247806940227745E-3</c:v>
                </c:pt>
                <c:pt idx="1976">
                  <c:v>1.247857697308065E-3</c:v>
                </c:pt>
                <c:pt idx="1977">
                  <c:v>1.2517316499724999E-3</c:v>
                </c:pt>
                <c:pt idx="1978">
                  <c:v>1.25411106273532E-3</c:v>
                </c:pt>
                <c:pt idx="1979">
                  <c:v>1.2569196987897149E-3</c:v>
                </c:pt>
                <c:pt idx="1980">
                  <c:v>1.25710142310709E-3</c:v>
                </c:pt>
                <c:pt idx="1981">
                  <c:v>1.25951529480517E-3</c:v>
                </c:pt>
                <c:pt idx="1982">
                  <c:v>1.2607945827767251E-3</c:v>
                </c:pt>
                <c:pt idx="1983">
                  <c:v>1.2647771509364249E-3</c:v>
                </c:pt>
                <c:pt idx="1984">
                  <c:v>1.269623171538115E-3</c:v>
                </c:pt>
                <c:pt idx="1985">
                  <c:v>1.273060915991665E-3</c:v>
                </c:pt>
                <c:pt idx="1986">
                  <c:v>1.2756366049870851E-3</c:v>
                </c:pt>
                <c:pt idx="1987">
                  <c:v>1.279273070394995E-3</c:v>
                </c:pt>
                <c:pt idx="1988">
                  <c:v>1.28857826348394E-3</c:v>
                </c:pt>
                <c:pt idx="1989">
                  <c:v>1.2924049515277149E-3</c:v>
                </c:pt>
                <c:pt idx="1990">
                  <c:v>1.292658038437365E-3</c:v>
                </c:pt>
                <c:pt idx="1991">
                  <c:v>1.2946106726303701E-3</c:v>
                </c:pt>
                <c:pt idx="1992">
                  <c:v>1.3013010611757649E-3</c:v>
                </c:pt>
                <c:pt idx="1993">
                  <c:v>1.3024251675233249E-3</c:v>
                </c:pt>
                <c:pt idx="1994">
                  <c:v>1.30729633383453E-3</c:v>
                </c:pt>
                <c:pt idx="1995">
                  <c:v>1.3157757930457601E-3</c:v>
                </c:pt>
                <c:pt idx="1996">
                  <c:v>1.3206694275140749E-3</c:v>
                </c:pt>
                <c:pt idx="1997">
                  <c:v>1.3426569057628499E-3</c:v>
                </c:pt>
                <c:pt idx="1998">
                  <c:v>1.3653414789587251E-3</c:v>
                </c:pt>
                <c:pt idx="1999">
                  <c:v>1.3672094792127601E-3</c:v>
                </c:pt>
                <c:pt idx="2000">
                  <c:v>1.367584452964365E-3</c:v>
                </c:pt>
                <c:pt idx="2001">
                  <c:v>1.376180443912745E-3</c:v>
                </c:pt>
                <c:pt idx="2002">
                  <c:v>1.3841575710102901E-3</c:v>
                </c:pt>
                <c:pt idx="2003">
                  <c:v>1.4042013790458449E-3</c:v>
                </c:pt>
                <c:pt idx="2004">
                  <c:v>1.4064164133742449E-3</c:v>
                </c:pt>
                <c:pt idx="2005">
                  <c:v>1.4085648581385599E-3</c:v>
                </c:pt>
                <c:pt idx="2006">
                  <c:v>1.4098052633926251E-3</c:v>
                </c:pt>
                <c:pt idx="2007">
                  <c:v>1.4169778442010301E-3</c:v>
                </c:pt>
                <c:pt idx="2008">
                  <c:v>1.41904689371586E-3</c:v>
                </c:pt>
                <c:pt idx="2009">
                  <c:v>1.419305452145635E-3</c:v>
                </c:pt>
                <c:pt idx="2010">
                  <c:v>1.42255413811654E-3</c:v>
                </c:pt>
                <c:pt idx="2011">
                  <c:v>1.4248704537749299E-3</c:v>
                </c:pt>
                <c:pt idx="2012">
                  <c:v>1.43178889993578E-3</c:v>
                </c:pt>
                <c:pt idx="2013">
                  <c:v>1.433077617548405E-3</c:v>
                </c:pt>
                <c:pt idx="2014">
                  <c:v>1.44250434823334E-3</c:v>
                </c:pt>
                <c:pt idx="2015">
                  <c:v>1.4623460592702051E-3</c:v>
                </c:pt>
                <c:pt idx="2016">
                  <c:v>1.462964224629105E-3</c:v>
                </c:pt>
                <c:pt idx="2017">
                  <c:v>1.46621710155159E-3</c:v>
                </c:pt>
                <c:pt idx="2018">
                  <c:v>1.466325484216215E-3</c:v>
                </c:pt>
                <c:pt idx="2019">
                  <c:v>1.47836562246084E-3</c:v>
                </c:pt>
                <c:pt idx="2020">
                  <c:v>1.479320344515145E-3</c:v>
                </c:pt>
                <c:pt idx="2021">
                  <c:v>1.489621005021035E-3</c:v>
                </c:pt>
                <c:pt idx="2022">
                  <c:v>1.4994468074291951E-3</c:v>
                </c:pt>
                <c:pt idx="2023">
                  <c:v>1.5031456714495999E-3</c:v>
                </c:pt>
                <c:pt idx="2024">
                  <c:v>1.50630855932832E-3</c:v>
                </c:pt>
                <c:pt idx="2025">
                  <c:v>1.5172166749834999E-3</c:v>
                </c:pt>
                <c:pt idx="2026">
                  <c:v>1.52160821016878E-3</c:v>
                </c:pt>
                <c:pt idx="2027">
                  <c:v>1.5250341966748251E-3</c:v>
                </c:pt>
                <c:pt idx="2028">
                  <c:v>1.5251345466822401E-3</c:v>
                </c:pt>
                <c:pt idx="2029">
                  <c:v>1.53044704347849E-3</c:v>
                </c:pt>
                <c:pt idx="2030">
                  <c:v>1.5307653229683651E-3</c:v>
                </c:pt>
                <c:pt idx="2031">
                  <c:v>1.5446754405275E-3</c:v>
                </c:pt>
                <c:pt idx="2032">
                  <c:v>1.548126921989025E-3</c:v>
                </c:pt>
                <c:pt idx="2033">
                  <c:v>1.5527021605521449E-3</c:v>
                </c:pt>
                <c:pt idx="2034">
                  <c:v>1.5624004881829E-3</c:v>
                </c:pt>
                <c:pt idx="2035">
                  <c:v>1.56963022891432E-3</c:v>
                </c:pt>
                <c:pt idx="2036">
                  <c:v>1.573862857185305E-3</c:v>
                </c:pt>
                <c:pt idx="2037">
                  <c:v>1.585061894729735E-3</c:v>
                </c:pt>
                <c:pt idx="2038">
                  <c:v>1.58634886611253E-3</c:v>
                </c:pt>
                <c:pt idx="2039">
                  <c:v>1.5899371355771999E-3</c:v>
                </c:pt>
                <c:pt idx="2040">
                  <c:v>1.60140998195857E-3</c:v>
                </c:pt>
                <c:pt idx="2041">
                  <c:v>1.6052521532401449E-3</c:v>
                </c:pt>
                <c:pt idx="2042">
                  <c:v>1.606065896339715E-3</c:v>
                </c:pt>
                <c:pt idx="2043">
                  <c:v>1.6073170118033899E-3</c:v>
                </c:pt>
                <c:pt idx="2044">
                  <c:v>1.6089873388409599E-3</c:v>
                </c:pt>
                <c:pt idx="2045">
                  <c:v>1.6124480171129101E-3</c:v>
                </c:pt>
                <c:pt idx="2046">
                  <c:v>1.6125624533742651E-3</c:v>
                </c:pt>
                <c:pt idx="2047">
                  <c:v>1.615457818843425E-3</c:v>
                </c:pt>
                <c:pt idx="2048">
                  <c:v>1.6223723068833349E-3</c:v>
                </c:pt>
                <c:pt idx="2049">
                  <c:v>1.6245342558249851E-3</c:v>
                </c:pt>
                <c:pt idx="2050">
                  <c:v>1.6336863627657301E-3</c:v>
                </c:pt>
                <c:pt idx="2051">
                  <c:v>1.636553555727005E-3</c:v>
                </c:pt>
                <c:pt idx="2052">
                  <c:v>1.6389177180826651E-3</c:v>
                </c:pt>
                <c:pt idx="2053">
                  <c:v>1.650146674364805E-3</c:v>
                </c:pt>
                <c:pt idx="2054">
                  <c:v>1.6617045039311049E-3</c:v>
                </c:pt>
                <c:pt idx="2055">
                  <c:v>1.6624166164547201E-3</c:v>
                </c:pt>
                <c:pt idx="2056">
                  <c:v>1.6629265155643201E-3</c:v>
                </c:pt>
                <c:pt idx="2057">
                  <c:v>1.6682486748322851E-3</c:v>
                </c:pt>
                <c:pt idx="2058">
                  <c:v>1.6708220355212699E-3</c:v>
                </c:pt>
                <c:pt idx="2059">
                  <c:v>1.6753058880567551E-3</c:v>
                </c:pt>
                <c:pt idx="2060">
                  <c:v>1.675351872108875E-3</c:v>
                </c:pt>
                <c:pt idx="2061">
                  <c:v>1.6756025142967701E-3</c:v>
                </c:pt>
                <c:pt idx="2062">
                  <c:v>1.6759290592744951E-3</c:v>
                </c:pt>
                <c:pt idx="2063">
                  <c:v>1.7003854736685751E-3</c:v>
                </c:pt>
                <c:pt idx="2064">
                  <c:v>1.7032012110576051E-3</c:v>
                </c:pt>
                <c:pt idx="2065">
                  <c:v>1.7105261795222751E-3</c:v>
                </c:pt>
                <c:pt idx="2066">
                  <c:v>1.7147067701444049E-3</c:v>
                </c:pt>
                <c:pt idx="2067">
                  <c:v>1.7173402011394501E-3</c:v>
                </c:pt>
                <c:pt idx="2068">
                  <c:v>1.718880725093185E-3</c:v>
                </c:pt>
                <c:pt idx="2069">
                  <c:v>1.7205516342073701E-3</c:v>
                </c:pt>
                <c:pt idx="2070">
                  <c:v>1.728718169033525E-3</c:v>
                </c:pt>
                <c:pt idx="2071">
                  <c:v>1.7380127683281901E-3</c:v>
                </c:pt>
                <c:pt idx="2072">
                  <c:v>1.7389114946126951E-3</c:v>
                </c:pt>
                <c:pt idx="2073">
                  <c:v>1.7407181439921249E-3</c:v>
                </c:pt>
                <c:pt idx="2074">
                  <c:v>1.7408161656931049E-3</c:v>
                </c:pt>
                <c:pt idx="2075">
                  <c:v>1.757116755470635E-3</c:v>
                </c:pt>
                <c:pt idx="2076">
                  <c:v>1.7590335337445151E-3</c:v>
                </c:pt>
                <c:pt idx="2077">
                  <c:v>1.7638967838138351E-3</c:v>
                </c:pt>
                <c:pt idx="2078">
                  <c:v>1.7717631999403249E-3</c:v>
                </c:pt>
                <c:pt idx="2079">
                  <c:v>1.7796680331230151E-3</c:v>
                </c:pt>
                <c:pt idx="2080">
                  <c:v>1.78228330332786E-3</c:v>
                </c:pt>
                <c:pt idx="2081">
                  <c:v>1.7848581774160251E-3</c:v>
                </c:pt>
                <c:pt idx="2082">
                  <c:v>1.79385510273278E-3</c:v>
                </c:pt>
                <c:pt idx="2083">
                  <c:v>1.80543807800859E-3</c:v>
                </c:pt>
                <c:pt idx="2084">
                  <c:v>1.8174982396885751E-3</c:v>
                </c:pt>
                <c:pt idx="2085">
                  <c:v>1.818646444007755E-3</c:v>
                </c:pt>
                <c:pt idx="2086">
                  <c:v>1.8404213478788751E-3</c:v>
                </c:pt>
                <c:pt idx="2087">
                  <c:v>1.8416261300444601E-3</c:v>
                </c:pt>
                <c:pt idx="2088">
                  <c:v>1.842428115196525E-3</c:v>
                </c:pt>
                <c:pt idx="2089">
                  <c:v>1.84310262557119E-3</c:v>
                </c:pt>
                <c:pt idx="2090">
                  <c:v>1.8436319660395399E-3</c:v>
                </c:pt>
                <c:pt idx="2091">
                  <c:v>1.84483081102371E-3</c:v>
                </c:pt>
                <c:pt idx="2092">
                  <c:v>1.8482438754290351E-3</c:v>
                </c:pt>
                <c:pt idx="2093">
                  <c:v>1.8484989413991551E-3</c:v>
                </c:pt>
                <c:pt idx="2094">
                  <c:v>1.850575557909905E-3</c:v>
                </c:pt>
                <c:pt idx="2095">
                  <c:v>1.855258364230395E-3</c:v>
                </c:pt>
                <c:pt idx="2096">
                  <c:v>1.85560679528862E-3</c:v>
                </c:pt>
                <c:pt idx="2097">
                  <c:v>1.8710052827373149E-3</c:v>
                </c:pt>
                <c:pt idx="2098">
                  <c:v>1.8720962107181549E-3</c:v>
                </c:pt>
                <c:pt idx="2099">
                  <c:v>1.87239027582109E-3</c:v>
                </c:pt>
                <c:pt idx="2100">
                  <c:v>1.8751439638435849E-3</c:v>
                </c:pt>
                <c:pt idx="2101">
                  <c:v>1.8857910763472299E-3</c:v>
                </c:pt>
                <c:pt idx="2102">
                  <c:v>1.8874292727559801E-3</c:v>
                </c:pt>
                <c:pt idx="2103">
                  <c:v>1.908901263959705E-3</c:v>
                </c:pt>
                <c:pt idx="2104">
                  <c:v>1.90977146849036E-3</c:v>
                </c:pt>
                <c:pt idx="2105">
                  <c:v>1.9109427230432649E-3</c:v>
                </c:pt>
                <c:pt idx="2106">
                  <c:v>1.9123293459415451E-3</c:v>
                </c:pt>
                <c:pt idx="2107">
                  <c:v>1.9150726730003951E-3</c:v>
                </c:pt>
                <c:pt idx="2108">
                  <c:v>1.9155134214088299E-3</c:v>
                </c:pt>
                <c:pt idx="2109">
                  <c:v>1.920539420098065E-3</c:v>
                </c:pt>
                <c:pt idx="2110">
                  <c:v>1.9277043174952249E-3</c:v>
                </c:pt>
                <c:pt idx="2111">
                  <c:v>1.9310042262077351E-3</c:v>
                </c:pt>
                <c:pt idx="2112">
                  <c:v>1.9355722470209E-3</c:v>
                </c:pt>
                <c:pt idx="2113">
                  <c:v>1.936451299116015E-3</c:v>
                </c:pt>
                <c:pt idx="2114">
                  <c:v>1.940249581821265E-3</c:v>
                </c:pt>
                <c:pt idx="2115">
                  <c:v>1.9468074897304199E-3</c:v>
                </c:pt>
                <c:pt idx="2116">
                  <c:v>1.94696616381407E-3</c:v>
                </c:pt>
                <c:pt idx="2117">
                  <c:v>1.9537440966814752E-3</c:v>
                </c:pt>
                <c:pt idx="2118">
                  <c:v>1.9763926975429049E-3</c:v>
                </c:pt>
                <c:pt idx="2119">
                  <c:v>1.9792569801211348E-3</c:v>
                </c:pt>
                <c:pt idx="2120">
                  <c:v>1.9859578460454949E-3</c:v>
                </c:pt>
                <c:pt idx="2121">
                  <c:v>1.9897350575774899E-3</c:v>
                </c:pt>
                <c:pt idx="2122">
                  <c:v>1.99720892123878E-3</c:v>
                </c:pt>
                <c:pt idx="2123">
                  <c:v>2.0059035159647452E-3</c:v>
                </c:pt>
                <c:pt idx="2124">
                  <c:v>2.0156591199338449E-3</c:v>
                </c:pt>
                <c:pt idx="2125">
                  <c:v>2.016953891143205E-3</c:v>
                </c:pt>
                <c:pt idx="2126">
                  <c:v>2.02482915483415E-3</c:v>
                </c:pt>
                <c:pt idx="2127">
                  <c:v>2.0492661278694851E-3</c:v>
                </c:pt>
                <c:pt idx="2128">
                  <c:v>2.0541055127978299E-3</c:v>
                </c:pt>
                <c:pt idx="2129">
                  <c:v>2.0556983072310699E-3</c:v>
                </c:pt>
                <c:pt idx="2130">
                  <c:v>2.0561274141073249E-3</c:v>
                </c:pt>
                <c:pt idx="2131">
                  <c:v>2.0665654446929702E-3</c:v>
                </c:pt>
                <c:pt idx="2132">
                  <c:v>2.0848063286393898E-3</c:v>
                </c:pt>
                <c:pt idx="2133">
                  <c:v>2.0933821797370902E-3</c:v>
                </c:pt>
                <c:pt idx="2134">
                  <c:v>2.09382572211325E-3</c:v>
                </c:pt>
                <c:pt idx="2135">
                  <c:v>2.1024283487349749E-3</c:v>
                </c:pt>
                <c:pt idx="2136">
                  <c:v>2.1063685417175302E-3</c:v>
                </c:pt>
                <c:pt idx="2137">
                  <c:v>2.11358955129981E-3</c:v>
                </c:pt>
                <c:pt idx="2138">
                  <c:v>2.1151308901607999E-3</c:v>
                </c:pt>
                <c:pt idx="2139">
                  <c:v>2.1167830564081652E-3</c:v>
                </c:pt>
                <c:pt idx="2140">
                  <c:v>2.1210992708802202E-3</c:v>
                </c:pt>
                <c:pt idx="2141">
                  <c:v>2.1212487481534498E-3</c:v>
                </c:pt>
                <c:pt idx="2142">
                  <c:v>2.12319567799568E-3</c:v>
                </c:pt>
                <c:pt idx="2143">
                  <c:v>2.1317312493920348E-3</c:v>
                </c:pt>
                <c:pt idx="2144">
                  <c:v>2.1483285818249E-3</c:v>
                </c:pt>
                <c:pt idx="2145">
                  <c:v>2.1487730555236348E-3</c:v>
                </c:pt>
                <c:pt idx="2146">
                  <c:v>2.1600786130875349E-3</c:v>
                </c:pt>
                <c:pt idx="2147">
                  <c:v>2.1675014868378648E-3</c:v>
                </c:pt>
                <c:pt idx="2148">
                  <c:v>2.1677000913768998E-3</c:v>
                </c:pt>
                <c:pt idx="2149">
                  <c:v>2.1839616820216201E-3</c:v>
                </c:pt>
                <c:pt idx="2150">
                  <c:v>2.1851409692317252E-3</c:v>
                </c:pt>
                <c:pt idx="2151">
                  <c:v>2.1883773151785148E-3</c:v>
                </c:pt>
                <c:pt idx="2152">
                  <c:v>2.1933943498879649E-3</c:v>
                </c:pt>
                <c:pt idx="2153">
                  <c:v>2.2015448193997149E-3</c:v>
                </c:pt>
                <c:pt idx="2154">
                  <c:v>2.235895954072475E-3</c:v>
                </c:pt>
                <c:pt idx="2155">
                  <c:v>2.243271097540855E-3</c:v>
                </c:pt>
                <c:pt idx="2156">
                  <c:v>2.2652067709714148E-3</c:v>
                </c:pt>
                <c:pt idx="2157">
                  <c:v>2.273014513775705E-3</c:v>
                </c:pt>
                <c:pt idx="2158">
                  <c:v>2.2833119146525851E-3</c:v>
                </c:pt>
                <c:pt idx="2159">
                  <c:v>2.283704932779075E-3</c:v>
                </c:pt>
                <c:pt idx="2160">
                  <c:v>2.284924732521175E-3</c:v>
                </c:pt>
                <c:pt idx="2161">
                  <c:v>2.3120474070310601E-3</c:v>
                </c:pt>
                <c:pt idx="2162">
                  <c:v>2.3148602340370399E-3</c:v>
                </c:pt>
                <c:pt idx="2163">
                  <c:v>2.3157377727329748E-3</c:v>
                </c:pt>
                <c:pt idx="2164">
                  <c:v>2.3295676801353702E-3</c:v>
                </c:pt>
                <c:pt idx="2165">
                  <c:v>2.3312347475439301E-3</c:v>
                </c:pt>
                <c:pt idx="2166">
                  <c:v>2.3353281430900101E-3</c:v>
                </c:pt>
                <c:pt idx="2167">
                  <c:v>2.3398709017783399E-3</c:v>
                </c:pt>
                <c:pt idx="2168">
                  <c:v>2.3432488087564698E-3</c:v>
                </c:pt>
                <c:pt idx="2169">
                  <c:v>2.3552912753075348E-3</c:v>
                </c:pt>
                <c:pt idx="2170">
                  <c:v>2.36877053976059E-3</c:v>
                </c:pt>
                <c:pt idx="2171">
                  <c:v>2.3711393587291249E-3</c:v>
                </c:pt>
                <c:pt idx="2172">
                  <c:v>2.3826169781386848E-3</c:v>
                </c:pt>
                <c:pt idx="2173">
                  <c:v>2.3916279897093751E-3</c:v>
                </c:pt>
                <c:pt idx="2174">
                  <c:v>2.4129159282892951E-3</c:v>
                </c:pt>
                <c:pt idx="2175">
                  <c:v>2.4167250376194698E-3</c:v>
                </c:pt>
                <c:pt idx="2176">
                  <c:v>2.42096628062427E-3</c:v>
                </c:pt>
                <c:pt idx="2177">
                  <c:v>2.4225756060332051E-3</c:v>
                </c:pt>
                <c:pt idx="2178">
                  <c:v>2.4244245141744601E-3</c:v>
                </c:pt>
                <c:pt idx="2179">
                  <c:v>2.4290771689265949E-3</c:v>
                </c:pt>
                <c:pt idx="2180">
                  <c:v>2.4312422610819348E-3</c:v>
                </c:pt>
                <c:pt idx="2181">
                  <c:v>2.4362853728234751E-3</c:v>
                </c:pt>
                <c:pt idx="2182">
                  <c:v>2.4471643846482052E-3</c:v>
                </c:pt>
                <c:pt idx="2183">
                  <c:v>2.4596557486802348E-3</c:v>
                </c:pt>
                <c:pt idx="2184">
                  <c:v>2.4625384248793151E-3</c:v>
                </c:pt>
                <c:pt idx="2185">
                  <c:v>2.4650015402585251E-3</c:v>
                </c:pt>
                <c:pt idx="2186">
                  <c:v>2.4657449685037149E-3</c:v>
                </c:pt>
                <c:pt idx="2187">
                  <c:v>2.4785045534372351E-3</c:v>
                </c:pt>
                <c:pt idx="2188">
                  <c:v>2.5000737514346851E-3</c:v>
                </c:pt>
                <c:pt idx="2189">
                  <c:v>2.5093171279877398E-3</c:v>
                </c:pt>
                <c:pt idx="2190">
                  <c:v>2.5134161114692701E-3</c:v>
                </c:pt>
                <c:pt idx="2191">
                  <c:v>2.5150924921035749E-3</c:v>
                </c:pt>
                <c:pt idx="2192">
                  <c:v>2.5301093701273199E-3</c:v>
                </c:pt>
                <c:pt idx="2193">
                  <c:v>2.55567883141339E-3</c:v>
                </c:pt>
                <c:pt idx="2194">
                  <c:v>2.5573901366442451E-3</c:v>
                </c:pt>
                <c:pt idx="2195">
                  <c:v>2.5593233294785001E-3</c:v>
                </c:pt>
                <c:pt idx="2196">
                  <c:v>2.5877628941088902E-3</c:v>
                </c:pt>
                <c:pt idx="2197">
                  <c:v>2.6091749314218751E-3</c:v>
                </c:pt>
                <c:pt idx="2198">
                  <c:v>2.6231701485812651E-3</c:v>
                </c:pt>
                <c:pt idx="2199">
                  <c:v>2.63024168089032E-3</c:v>
                </c:pt>
                <c:pt idx="2200">
                  <c:v>2.6337578892707799E-3</c:v>
                </c:pt>
                <c:pt idx="2201">
                  <c:v>2.6371714193373901E-3</c:v>
                </c:pt>
                <c:pt idx="2202">
                  <c:v>2.643808256834745E-3</c:v>
                </c:pt>
                <c:pt idx="2203">
                  <c:v>2.6510697789490201E-3</c:v>
                </c:pt>
                <c:pt idx="2204">
                  <c:v>2.6717651635408401E-3</c:v>
                </c:pt>
                <c:pt idx="2205">
                  <c:v>2.6756988372653701E-3</c:v>
                </c:pt>
                <c:pt idx="2206">
                  <c:v>2.67648953013122E-3</c:v>
                </c:pt>
                <c:pt idx="2207">
                  <c:v>2.683200407773255E-3</c:v>
                </c:pt>
                <c:pt idx="2208">
                  <c:v>2.6856611948460349E-3</c:v>
                </c:pt>
                <c:pt idx="2209">
                  <c:v>2.691555535420775E-3</c:v>
                </c:pt>
                <c:pt idx="2210">
                  <c:v>2.6996203232556599E-3</c:v>
                </c:pt>
                <c:pt idx="2211">
                  <c:v>2.7064001187682152E-3</c:v>
                </c:pt>
                <c:pt idx="2212">
                  <c:v>2.7226689271628848E-3</c:v>
                </c:pt>
                <c:pt idx="2213">
                  <c:v>2.7431130874902001E-3</c:v>
                </c:pt>
                <c:pt idx="2214">
                  <c:v>2.7441245038062351E-3</c:v>
                </c:pt>
                <c:pt idx="2215">
                  <c:v>2.7492945082485702E-3</c:v>
                </c:pt>
                <c:pt idx="2216">
                  <c:v>2.7531008236110202E-3</c:v>
                </c:pt>
                <c:pt idx="2217">
                  <c:v>2.7916710823774351E-3</c:v>
                </c:pt>
                <c:pt idx="2218">
                  <c:v>2.8091964777559051E-3</c:v>
                </c:pt>
                <c:pt idx="2219">
                  <c:v>2.8118090704083451E-3</c:v>
                </c:pt>
                <c:pt idx="2220">
                  <c:v>2.8156326152384299E-3</c:v>
                </c:pt>
                <c:pt idx="2221">
                  <c:v>2.8170526493340748E-3</c:v>
                </c:pt>
                <c:pt idx="2222">
                  <c:v>2.8206079732626698E-3</c:v>
                </c:pt>
                <c:pt idx="2223">
                  <c:v>2.824388910084965E-3</c:v>
                </c:pt>
                <c:pt idx="2224">
                  <c:v>2.8244014829397202E-3</c:v>
                </c:pt>
                <c:pt idx="2225">
                  <c:v>2.8485362417995951E-3</c:v>
                </c:pt>
                <c:pt idx="2226">
                  <c:v>2.8729364275932299E-3</c:v>
                </c:pt>
                <c:pt idx="2227">
                  <c:v>2.87503655999899E-3</c:v>
                </c:pt>
                <c:pt idx="2228">
                  <c:v>2.8837106656283149E-3</c:v>
                </c:pt>
                <c:pt idx="2229">
                  <c:v>2.8896671719849101E-3</c:v>
                </c:pt>
                <c:pt idx="2230">
                  <c:v>2.9032030142843702E-3</c:v>
                </c:pt>
                <c:pt idx="2231">
                  <c:v>2.9033992905169751E-3</c:v>
                </c:pt>
                <c:pt idx="2232">
                  <c:v>2.9145127627998599E-3</c:v>
                </c:pt>
                <c:pt idx="2233">
                  <c:v>2.9165477026253952E-3</c:v>
                </c:pt>
                <c:pt idx="2234">
                  <c:v>2.9216951224952949E-3</c:v>
                </c:pt>
                <c:pt idx="2235">
                  <c:v>2.932613249868155E-3</c:v>
                </c:pt>
                <c:pt idx="2236">
                  <c:v>2.9350758995860802E-3</c:v>
                </c:pt>
                <c:pt idx="2237">
                  <c:v>2.9852907173335548E-3</c:v>
                </c:pt>
                <c:pt idx="2238">
                  <c:v>3.0296172481030252E-3</c:v>
                </c:pt>
                <c:pt idx="2239">
                  <c:v>3.062892938032745E-3</c:v>
                </c:pt>
                <c:pt idx="2240">
                  <c:v>3.1095750164240599E-3</c:v>
                </c:pt>
                <c:pt idx="2241">
                  <c:v>3.1195555347949249E-3</c:v>
                </c:pt>
                <c:pt idx="2242">
                  <c:v>3.1334117520600549E-3</c:v>
                </c:pt>
                <c:pt idx="2243">
                  <c:v>3.1378900166600951E-3</c:v>
                </c:pt>
                <c:pt idx="2244">
                  <c:v>3.146599512547255E-3</c:v>
                </c:pt>
                <c:pt idx="2245">
                  <c:v>3.153292229399085E-3</c:v>
                </c:pt>
                <c:pt idx="2246">
                  <c:v>3.2356609590351599E-3</c:v>
                </c:pt>
                <c:pt idx="2247">
                  <c:v>3.2458186615258451E-3</c:v>
                </c:pt>
                <c:pt idx="2248">
                  <c:v>3.2703345641493802E-3</c:v>
                </c:pt>
                <c:pt idx="2249">
                  <c:v>3.2933510374277852E-3</c:v>
                </c:pt>
                <c:pt idx="2250">
                  <c:v>3.311542561277745E-3</c:v>
                </c:pt>
                <c:pt idx="2251">
                  <c:v>3.3130138181149951E-3</c:v>
                </c:pt>
                <c:pt idx="2252">
                  <c:v>3.337849164381625E-3</c:v>
                </c:pt>
                <c:pt idx="2253">
                  <c:v>3.3394452184438701E-3</c:v>
                </c:pt>
                <c:pt idx="2254">
                  <c:v>3.3756047487258898E-3</c:v>
                </c:pt>
                <c:pt idx="2255">
                  <c:v>3.382144030183555E-3</c:v>
                </c:pt>
                <c:pt idx="2256">
                  <c:v>3.4107796382158999E-3</c:v>
                </c:pt>
                <c:pt idx="2257">
                  <c:v>3.4192185848951348E-3</c:v>
                </c:pt>
                <c:pt idx="2258">
                  <c:v>3.4454776905477051E-3</c:v>
                </c:pt>
                <c:pt idx="2259">
                  <c:v>3.44977295026183E-3</c:v>
                </c:pt>
                <c:pt idx="2260">
                  <c:v>3.4673395566642302E-3</c:v>
                </c:pt>
                <c:pt idx="2261">
                  <c:v>3.4715058282017699E-3</c:v>
                </c:pt>
                <c:pt idx="2262">
                  <c:v>3.481300547719E-3</c:v>
                </c:pt>
                <c:pt idx="2263">
                  <c:v>3.4823853056877851E-3</c:v>
                </c:pt>
                <c:pt idx="2264">
                  <c:v>3.50380130112171E-3</c:v>
                </c:pt>
                <c:pt idx="2265">
                  <c:v>3.5054651089012601E-3</c:v>
                </c:pt>
                <c:pt idx="2266">
                  <c:v>3.5123410634696501E-3</c:v>
                </c:pt>
                <c:pt idx="2267">
                  <c:v>3.516952274367215E-3</c:v>
                </c:pt>
                <c:pt idx="2268">
                  <c:v>3.51964053697884E-3</c:v>
                </c:pt>
                <c:pt idx="2269">
                  <c:v>3.5635454114526502E-3</c:v>
                </c:pt>
                <c:pt idx="2270">
                  <c:v>3.5894054453819999E-3</c:v>
                </c:pt>
                <c:pt idx="2271">
                  <c:v>3.600578755140305E-3</c:v>
                </c:pt>
                <c:pt idx="2272">
                  <c:v>3.6150412634015101E-3</c:v>
                </c:pt>
                <c:pt idx="2273">
                  <c:v>3.6282644141465452E-3</c:v>
                </c:pt>
                <c:pt idx="2274">
                  <c:v>3.6493502557277701E-3</c:v>
                </c:pt>
                <c:pt idx="2275">
                  <c:v>3.6603456828743202E-3</c:v>
                </c:pt>
                <c:pt idx="2276">
                  <c:v>3.6626975052058701E-3</c:v>
                </c:pt>
                <c:pt idx="2277">
                  <c:v>3.6671308334916852E-3</c:v>
                </c:pt>
                <c:pt idx="2278">
                  <c:v>3.6675890441983951E-3</c:v>
                </c:pt>
                <c:pt idx="2279">
                  <c:v>3.6856727674603449E-3</c:v>
                </c:pt>
                <c:pt idx="2280">
                  <c:v>3.7007764913141749E-3</c:v>
                </c:pt>
                <c:pt idx="2281">
                  <c:v>3.705454524606465E-3</c:v>
                </c:pt>
                <c:pt idx="2282">
                  <c:v>3.73811274766922E-3</c:v>
                </c:pt>
                <c:pt idx="2283">
                  <c:v>3.754981327801945E-3</c:v>
                </c:pt>
                <c:pt idx="2284">
                  <c:v>3.879735013470055E-3</c:v>
                </c:pt>
                <c:pt idx="2285">
                  <c:v>3.9411652833223352E-3</c:v>
                </c:pt>
                <c:pt idx="2286">
                  <c:v>3.9647961966693401E-3</c:v>
                </c:pt>
                <c:pt idx="2287">
                  <c:v>3.9770686998963347E-3</c:v>
                </c:pt>
                <c:pt idx="2288">
                  <c:v>4.0578134357929247E-3</c:v>
                </c:pt>
                <c:pt idx="2289">
                  <c:v>4.1010752320289603E-3</c:v>
                </c:pt>
                <c:pt idx="2290">
                  <c:v>4.13982244208455E-3</c:v>
                </c:pt>
                <c:pt idx="2291">
                  <c:v>4.1959546506404903E-3</c:v>
                </c:pt>
                <c:pt idx="2292">
                  <c:v>4.2977072298526747E-3</c:v>
                </c:pt>
                <c:pt idx="2293">
                  <c:v>4.3313209898769847E-3</c:v>
                </c:pt>
                <c:pt idx="2294">
                  <c:v>4.33845305815339E-3</c:v>
                </c:pt>
                <c:pt idx="2295">
                  <c:v>4.3564923107624054E-3</c:v>
                </c:pt>
                <c:pt idx="2296">
                  <c:v>4.3572741560637951E-3</c:v>
                </c:pt>
                <c:pt idx="2297">
                  <c:v>4.3821223080158251E-3</c:v>
                </c:pt>
                <c:pt idx="2298">
                  <c:v>4.5047746971249598E-3</c:v>
                </c:pt>
                <c:pt idx="2299">
                  <c:v>4.5298123732209197E-3</c:v>
                </c:pt>
                <c:pt idx="2300">
                  <c:v>4.5752986334264296E-3</c:v>
                </c:pt>
                <c:pt idx="2301">
                  <c:v>4.5885089784860602E-3</c:v>
                </c:pt>
                <c:pt idx="2302">
                  <c:v>4.6040397137403497E-3</c:v>
                </c:pt>
                <c:pt idx="2303">
                  <c:v>4.9130045808851702E-3</c:v>
                </c:pt>
                <c:pt idx="2304">
                  <c:v>4.919358994811775E-3</c:v>
                </c:pt>
                <c:pt idx="2305">
                  <c:v>4.9977763555943949E-3</c:v>
                </c:pt>
                <c:pt idx="2306">
                  <c:v>5.0253784283995498E-3</c:v>
                </c:pt>
                <c:pt idx="2307">
                  <c:v>5.0690732896327998E-3</c:v>
                </c:pt>
                <c:pt idx="2308">
                  <c:v>5.2714464254677504E-3</c:v>
                </c:pt>
                <c:pt idx="2309">
                  <c:v>5.3842295892536501E-3</c:v>
                </c:pt>
                <c:pt idx="2310">
                  <c:v>5.5429954081774001E-3</c:v>
                </c:pt>
                <c:pt idx="2311">
                  <c:v>6.0832775197923001E-3</c:v>
                </c:pt>
                <c:pt idx="2312">
                  <c:v>6.2063992954790497E-3</c:v>
                </c:pt>
                <c:pt idx="2313">
                  <c:v>6.3208378851413501E-3</c:v>
                </c:pt>
                <c:pt idx="2314">
                  <c:v>6.4996699802577504E-3</c:v>
                </c:pt>
              </c:numCache>
            </c:numRef>
          </c:yVal>
          <c:smooth val="0"/>
          <c:extLst xmlns="http://schemas.openxmlformats.org/drawingml/2006/chart">
            <c:ext xmlns:c16="http://schemas.microsoft.com/office/drawing/2014/chart" uri="{C3380CC4-5D6E-409C-BE32-E72D297353CC}">
              <c16:uniqueId val="{00000000-FC28-445A-AE2D-DD6E4EC357B8}"/>
            </c:ext>
          </c:extLst>
        </c:ser>
        <c:dLbls>
          <c:showLegendKey val="0"/>
          <c:showVal val="0"/>
          <c:showCatName val="0"/>
          <c:showSerName val="0"/>
          <c:showPercent val="0"/>
          <c:showBubbleSize val="0"/>
        </c:dLbls>
        <c:axId val="978804832"/>
        <c:axId val="895948368"/>
      </c:scatterChart>
      <c:valAx>
        <c:axId val="978804832"/>
        <c:scaling>
          <c:orientation val="minMax"/>
        </c:scaling>
        <c:delete val="0"/>
        <c:axPos val="b"/>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50" b="0" i="0" u="none" strike="noStrike" kern="1200" baseline="0">
                <a:solidFill>
                  <a:schemeClr val="tx1"/>
                </a:solidFill>
                <a:latin typeface="+mn-lt"/>
                <a:ea typeface="+mn-ea"/>
                <a:cs typeface="+mn-cs"/>
              </a:defRPr>
            </a:pPr>
            <a:endParaRPr lang="en-US"/>
          </a:p>
        </c:txPr>
        <c:crossAx val="895948368"/>
        <c:crosses val="autoZero"/>
        <c:crossBetween val="midCat"/>
      </c:valAx>
      <c:valAx>
        <c:axId val="8959483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50" b="0" i="0" u="none" strike="noStrike" kern="1200" baseline="0">
                <a:solidFill>
                  <a:schemeClr val="tx1"/>
                </a:solidFill>
                <a:latin typeface="+mn-lt"/>
                <a:ea typeface="+mn-ea"/>
                <a:cs typeface="+mn-cs"/>
              </a:defRPr>
            </a:pPr>
            <a:endParaRPr lang="en-US"/>
          </a:p>
        </c:txPr>
        <c:crossAx val="978804832"/>
        <c:crosses val="autoZero"/>
        <c:crossBetween val="midCat"/>
      </c:valAx>
      <c:spPr>
        <a:noFill/>
        <a:ln>
          <a:noFill/>
        </a:ln>
        <a:effectLst/>
      </c:spPr>
    </c:plotArea>
    <c:plotVisOnly val="1"/>
    <c:dispBlanksAs val="gap"/>
    <c:showDLblsOverMax val="0"/>
  </c:chart>
  <c:spPr>
    <a:solidFill>
      <a:schemeClr val="bg1"/>
    </a:solidFill>
    <a:ln w="9525" cap="flat" cmpd="sng" algn="ctr">
      <a:solidFill>
        <a:sysClr val="window" lastClr="FFFFFF"/>
      </a:solidFill>
      <a:round/>
    </a:ln>
    <a:effectLst/>
  </c:spPr>
  <c:txPr>
    <a:bodyPr/>
    <a:lstStyle/>
    <a:p>
      <a:pPr>
        <a:defRPr sz="1200">
          <a:solidFill>
            <a:schemeClr val="tx1"/>
          </a:solidFill>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C8AB073-C0FE-416F-9FD8-2B7C8619DA22}"/>
      </w:docPartPr>
      <w:docPartBody>
        <w:p w:rsidR="00026546" w:rsidRDefault="00527F91">
          <w:r w:rsidRPr="00C947DB">
            <w:rPr>
              <w:rStyle w:val="PlaceholderText"/>
            </w:rPr>
            <w:t>Click or tap here to enter text.</w:t>
          </w:r>
        </w:p>
      </w:docPartBody>
    </w:docPart>
    <w:docPart>
      <w:docPartPr>
        <w:name w:val="08D23A0B0AE545CFA5F4F009173B72E9"/>
        <w:category>
          <w:name w:val="General"/>
          <w:gallery w:val="placeholder"/>
        </w:category>
        <w:types>
          <w:type w:val="bbPlcHdr"/>
        </w:types>
        <w:behaviors>
          <w:behavior w:val="content"/>
        </w:behaviors>
        <w:guid w:val="{A4C5DABB-2297-4D4B-98C4-25F6980A152D}"/>
      </w:docPartPr>
      <w:docPartBody>
        <w:p w:rsidR="00AE4D1A" w:rsidRDefault="00265361" w:rsidP="00265361">
          <w:pPr>
            <w:pStyle w:val="08D23A0B0AE545CFA5F4F009173B72E9"/>
          </w:pPr>
          <w:r w:rsidRPr="00C947DB">
            <w:rPr>
              <w:rStyle w:val="PlaceholderText"/>
            </w:rPr>
            <w:t>Click or tap here to enter text.</w:t>
          </w:r>
        </w:p>
      </w:docPartBody>
    </w:docPart>
    <w:docPart>
      <w:docPartPr>
        <w:name w:val="8DBEB46D80544FB19E3805FDDE5D55BF"/>
        <w:category>
          <w:name w:val="General"/>
          <w:gallery w:val="placeholder"/>
        </w:category>
        <w:types>
          <w:type w:val="bbPlcHdr"/>
        </w:types>
        <w:behaviors>
          <w:behavior w:val="content"/>
        </w:behaviors>
        <w:guid w:val="{E2B8A820-EBAA-4557-8E38-8E09E6661CCB}"/>
      </w:docPartPr>
      <w:docPartBody>
        <w:p w:rsidR="00AE4D1A" w:rsidRDefault="00265361" w:rsidP="00265361">
          <w:pPr>
            <w:pStyle w:val="8DBEB46D80544FB19E3805FDDE5D55BF"/>
          </w:pPr>
          <w:r w:rsidRPr="00C947DB">
            <w:rPr>
              <w:rStyle w:val="PlaceholderText"/>
            </w:rPr>
            <w:t>Click or tap here to enter text.</w:t>
          </w:r>
        </w:p>
      </w:docPartBody>
    </w:docPart>
    <w:docPart>
      <w:docPartPr>
        <w:name w:val="17AC38031D164AF0B3E8DEE54BF5645B"/>
        <w:category>
          <w:name w:val="General"/>
          <w:gallery w:val="placeholder"/>
        </w:category>
        <w:types>
          <w:type w:val="bbPlcHdr"/>
        </w:types>
        <w:behaviors>
          <w:behavior w:val="content"/>
        </w:behaviors>
        <w:guid w:val="{1C4196D2-2D04-4A5E-A35F-1AE756C8A8CC}"/>
      </w:docPartPr>
      <w:docPartBody>
        <w:p w:rsidR="00D33C5C" w:rsidRDefault="00C05021" w:rsidP="00C05021">
          <w:pPr>
            <w:pStyle w:val="17AC38031D164AF0B3E8DEE54BF5645B"/>
          </w:pPr>
          <w:r w:rsidRPr="000E02EE">
            <w:rPr>
              <w:rStyle w:val="PlaceholderText"/>
            </w:rPr>
            <w:t>Click or tap here to enter text.</w:t>
          </w:r>
        </w:p>
      </w:docPartBody>
    </w:docPart>
    <w:docPart>
      <w:docPartPr>
        <w:name w:val="DD0DD144C7C74759AE9381913662A274"/>
        <w:category>
          <w:name w:val="General"/>
          <w:gallery w:val="placeholder"/>
        </w:category>
        <w:types>
          <w:type w:val="bbPlcHdr"/>
        </w:types>
        <w:behaviors>
          <w:behavior w:val="content"/>
        </w:behaviors>
        <w:guid w:val="{8351A047-0A3F-43AE-BB9B-C2AF892E63CA}"/>
      </w:docPartPr>
      <w:docPartBody>
        <w:p w:rsidR="00D33C5C" w:rsidRDefault="00C05021" w:rsidP="00C05021">
          <w:pPr>
            <w:pStyle w:val="DD0DD144C7C74759AE9381913662A274"/>
          </w:pPr>
          <w:r w:rsidRPr="000E02E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F91"/>
    <w:rsid w:val="00026546"/>
    <w:rsid w:val="00061A5A"/>
    <w:rsid w:val="000B0715"/>
    <w:rsid w:val="000C2FF5"/>
    <w:rsid w:val="00121EE8"/>
    <w:rsid w:val="00122955"/>
    <w:rsid w:val="0021267B"/>
    <w:rsid w:val="00213AB6"/>
    <w:rsid w:val="00216DB6"/>
    <w:rsid w:val="00265361"/>
    <w:rsid w:val="002D31ED"/>
    <w:rsid w:val="00315A4B"/>
    <w:rsid w:val="003C4888"/>
    <w:rsid w:val="004142F6"/>
    <w:rsid w:val="00527F91"/>
    <w:rsid w:val="00534B9F"/>
    <w:rsid w:val="00563798"/>
    <w:rsid w:val="005D116F"/>
    <w:rsid w:val="00640DD0"/>
    <w:rsid w:val="006A0BA3"/>
    <w:rsid w:val="006A5424"/>
    <w:rsid w:val="006F6576"/>
    <w:rsid w:val="007536CB"/>
    <w:rsid w:val="007C497B"/>
    <w:rsid w:val="008275B8"/>
    <w:rsid w:val="00842BD8"/>
    <w:rsid w:val="00960C86"/>
    <w:rsid w:val="00A0334D"/>
    <w:rsid w:val="00A61C3D"/>
    <w:rsid w:val="00AE4D1A"/>
    <w:rsid w:val="00C05021"/>
    <w:rsid w:val="00C274B1"/>
    <w:rsid w:val="00C4373B"/>
    <w:rsid w:val="00C62718"/>
    <w:rsid w:val="00D33C5C"/>
    <w:rsid w:val="00DC2C7C"/>
    <w:rsid w:val="00DE39B1"/>
    <w:rsid w:val="00E04CFA"/>
    <w:rsid w:val="00E1504B"/>
    <w:rsid w:val="00F93060"/>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05021"/>
    <w:rPr>
      <w:color w:val="808080"/>
    </w:rPr>
  </w:style>
  <w:style w:type="paragraph" w:customStyle="1" w:styleId="08D23A0B0AE545CFA5F4F009173B72E9">
    <w:name w:val="08D23A0B0AE545CFA5F4F009173B72E9"/>
    <w:rsid w:val="00265361"/>
    <w:rPr>
      <w:lang w:bidi="ar-SA"/>
    </w:rPr>
  </w:style>
  <w:style w:type="paragraph" w:customStyle="1" w:styleId="8DBEB46D80544FB19E3805FDDE5D55BF">
    <w:name w:val="8DBEB46D80544FB19E3805FDDE5D55BF"/>
    <w:rsid w:val="00265361"/>
    <w:rPr>
      <w:lang w:bidi="ar-SA"/>
    </w:rPr>
  </w:style>
  <w:style w:type="paragraph" w:customStyle="1" w:styleId="17AC38031D164AF0B3E8DEE54BF5645B">
    <w:name w:val="17AC38031D164AF0B3E8DEE54BF5645B"/>
    <w:rsid w:val="00C05021"/>
    <w:rPr>
      <w:lang w:bidi="ar-SA"/>
    </w:rPr>
  </w:style>
  <w:style w:type="paragraph" w:customStyle="1" w:styleId="DD0DD144C7C74759AE9381913662A274">
    <w:name w:val="DD0DD144C7C74759AE9381913662A274"/>
    <w:rsid w:val="00C05021"/>
    <w:rPr>
      <w:lang w:bidi="ar-S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53E3C37-941F-4700-8E13-9BB6CCA12ACD}">
  <we:reference id="wa104382081" version="1.46.0.0" store="en-US" storeType="OMEX"/>
  <we:alternateReferences>
    <we:reference id="wa104382081" version="1.46.0.0" store="wa104382081" storeType="OMEX"/>
  </we:alternateReferences>
  <we:properties>
    <we:property name="MENDELEY_CITATIONS" value="[{&quot;citationID&quot;:&quot;MENDELEY_CITATION_ca4b1d8a-2e73-4cff-b018-579a1d903a5c&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&quot;,&quot;citationItems&quot;:[{&quot;id&quot;:&quot;9c12554c-3bb1-5c09-bb83-05a39fdb3db4&quot;,&quot;itemData&quot;:{&quot;DOI&quot;:&quot;10.1186/1745-6215-10-5&quot;,&quot;ISSN&quot;:&quot;1745-6215&quot;,&quot;abstract&quot;:&quot;BACKGROUND: The Tehran Lipid and Glucose Study (TLGS) is a long term integrated community-based program for prevention of non-communicable disorders (NCD) by development of a healthy lifestyle and reduction of NCD risk factors. The study begun in 1999, is ongoing, to be continued for at least 20 years. A primary survey was done to collect baseline data in 15005 individuals, over 3 years of age, selected from cohorts of three medical heath centers. A questionnaire for past medical history and data was completed during interviews; blood pressure, pulse rate, and anthropometrical measurements and a limited physical examination were performed and lipid profiles, fasting blood sugar and 2-hours-postload-glucose challenge were measured. A DNA bank was also collected. For those subjects aged over 30 years, Rose questionnaire was completed and an electrocardiogram was taken. Data collected were directly stored in computers as database software- computer assisted system. The aim of this study is to evaluate the feasibility and effectiveness of lifestyle modification in preventing or postponing the development of NCD risk factors and outcomes in the TLGS population. DESIGN AND METHODS: In phase II of the TLGS, lifestyle interventions were implemented in 5630 people and 9375 individuals served as controls. Primary, secondary and tertiary interventions were designed based on specific target groups including schoolchildren, housewives, and high-risk persons. Officials of various sectors such as health, education, municipality, police, media, traders and community leaders were actively engaged as decision makers and collaborators. Interventional strategies were based on lifestyle modifications in diet, smoking and physical activity through face-to-face education, leaflets &amp; brochures, school program alterations, training volunteers as health team and treating patients with NCD risk factors. Collection of demographic, clinical and laboratory data will be repeated every 3 years to assess the effects of different interventions in the intervention group as compared to control group. CONCLUSION: This controlled community intervention will test the possibility of preventing or delaying the onset of non-communicable risk factors and disorders in a population in nutrition transition. TRIAL REGISTRATION: ISRCTN52588395.&quot;,&quot;author&quot;:[{&quot;dropping-particle&quot;:&quot;&quot;,&quot;family&quot;:&quot;Azizi&quot;,&quot;given&quot;:&quot;Fereidoun&quot;,&quot;non-dropping-particle&quot;:&quot;&quot;,&quot;parse-names&quot;:false,&quot;suffix&quot;:&quot;&quot;},{&quot;dropping-particle&quot;:&quot;&quot;,&quot;family&quot;:&quot;Ghanbarian&quot;,&quot;given&quot;:&quot;Arash&quot;,&quot;non-dropping-particle&quot;:&quot;&quot;,&quot;parse-names&quot;:false,&quot;suffix&quot;:&quot;&quot;},{&quot;dropping-particle&quot;:&quot;&quot;,&quot;family&quot;:&quot;Momenan&quot;,&quot;given&quot;:&quot;Amir Abbas&quot;,&quot;non-dropping-particle&quot;:&quot;&quot;,&quot;parse-names&quot;:false,&quot;suffix&quot;:&quot;&quot;},{&quot;dropping-particle&quot;:&quot;&quot;,&quot;family&quot;:&quot;Hadaegh&quot;,&quot;given&quot;:&quot;Farzad&quot;,&quot;non-dropping-particle&quot;:&quot;&quot;,&quot;parse-names&quot;:false,&quot;suffix&quot;:&quot;&quot;},{&quot;dropping-particle&quot;:&quot;&quot;,&quot;family&quot;:&quot;Mirmiran&quot;,&quot;given&quot;:&quot;Parvin&quot;,&quot;non-dropping-particle&quot;:&quot;&quot;,&quot;parse-names&quot;:false,&quot;suffix&quot;:&quot;&quot;},{&quot;dropping-particle&quot;:&quot;&quot;,&quot;family&quot;:&quot;Hedayati&quot;,&quot;given&quot;:&quot;Mehdi&quot;,&quot;non-dropping-particle&quot;:&quot;&quot;,&quot;parse-names&quot;:false,&quot;suffix&quot;:&quot;&quot;},{&quot;dropping-particle&quot;:&quot;&quot;,&quot;family&quot;:&quot;Mehrabi&quot;,&quot;given&quot;:&quot;Yadollah&quot;,&quot;non-dropping-particle&quot;:&quot;&quot;,&quot;parse-names&quot;:false,&quot;suffix&quot;:&quot;&quot;},{&quot;dropping-particle&quot;:&quot;&quot;,&quot;family&quot;:&quot;Zahedi-Asl&quot;,&quot;given&quot;:&quot;Saleh&quot;,&quot;non-dropping-particle&quot;:&quot;&quot;,&quot;parse-names&quot;:false,&quot;suffix&quot;:&quot;&quot;},{&quot;dropping-particle&quot;:&quot;&quot;,&quot;family&quot;:&quot;Group&quot;,&quot;given&quot;:&quot;Tehran Lipid and Glucose Study&quot;,&quot;non-dropping-particle&quot;:&quot;&quot;,&quot;parse-names&quot;:false,&quot;suffix&quot;:&quot;&quot;}],&quot;container-title&quot;:&quot;Trials&quot;,&quot;id&quot;:&quot;9c12554c-3bb1-5c09-bb83-05a39fdb3db4&quot;,&quot;issued&quot;:{&quot;date-parts&quot;:[[&quot;2009&quot;,&quot;1&quot;,&quot;25&quot;]]},&quot;language&quot;:&quot;eng&quot;,&quot;page&quot;:&quot;5&quot;,&quot;publisher&quot;:&quot;BioMed Central&quot;,&quot;title&quot;:&quot;Prevention of non-communicable disease in a population in nutrition transition: Tehran Lipid and Glucose Study phase II&quot;,&quot;type&quot;:&quot;article-journal&quot;,&quot;volume&quot;:&quot;10&quot;,&quot;container-title-short&quot;:&quot;Trials&quot;},&quot;uris&quot;:[&quot;http://www.mendeley.com/documents/?uuid=e78a941c-a644-4d87-b8be-c57756867943&quot;],&quot;isTemporary&quot;:false,&quot;legacyDesktopId&quot;:&quot;e78a941c-a644-4d87-b8be-c57756867943&quot;},{&quot;id&quot;:&quot;367a2a67-48ed-5e56-8de5-903c3a9b0a39&quot;,&quot;itemData&quot;:{&quot;DOI&quot;:&quot;10.5812/ijem.84777&quot;,&quot;ISBN&quot;:&quot;1726-913X (Print)\r1726-913x&quot;,&quot;PMID&quot;:&quot;30584442&quot;,&quot;abstract&quot;:&quot;In the late 1990s the non-communicable diseases were becoming increasingly more prevalent and a significant proportion of evidence in this regard had originated from industrialized \&quot;Western\&quot; countries. This had led to a landscape where most national and local health decisions regarding non-communicable diseases (NCDs) were informed by data generated elsewhere. Iran, as a large country in the Middle East was no exception and was going through significant population growth and urban development at the time. An initiative by the Iranian National Scientific Research Council funded an idea that was aimed at delineating the local epidemiology of NCDs and their risk factors in a manner that was unprecedented. The result was Tehran Lipid and Glucose Study (TLGS), the first and longest running cohort of its sort in Iran. Initial data out of TLGS reported the characteristics of 15005 people aged over 3 years in a representative population of Tehranians. Additionally, distribution and prevalence of cardiovascular risk factors among the study population were characterized. This population was selected through a multistage stratified cluster random sampling technique from the population of district 13 in Tehran. In addition, TLGS gave rise to a great deal of important and highly effective initial findings on national cut-off points for various variables, information about nutrition, hypertension, dyslipoproteinemia, and metabolic syndrome. TLGS also generated information about metabolic health indicators among children and adolescents. Here we present a brief overview of rationale, design, and initial findings of TLGS.&quot;,&quot;author&quot;:[{&quot;dropping-particle&quot;:&quot;&quot;,&quot;family&quot;:&quot;Azizi&quot;,&quot;given&quot;:&quot;F&quot;,&quot;non-dropping-particle&quot;:&quot;&quot;,&quot;parse-names&quot;:false,&quot;suffix&quot;:&quot;&quot;},{&quot;dropping-particle&quot;:&quot;&quot;,&quot;family&quot;:&quot;Zadeh-Vakili&quot;,&quot;given&quot;:&quot;A&quot;,&quot;non-dropping-particle&quot;:&quot;&quot;,&quot;parse-names&quot;:false,&quot;suffix&quot;:&quot;&quot;},{&quot;dropping-particle&quot;:&quot;&quot;,&quot;family&quot;:&quot;Takyar&quot;,&quot;given&quot;:&quot;M&quot;,&quot;non-dropping-particle&quot;:&quot;&quot;,&quot;parse-names&quot;:false,&quot;suffix&quot;:&quot;&quot;}],&quot;container-title&quot;:&quot;Int J Endocrinol Metab&quot;,&quot;edition&quot;:&quot;2018/12/26&quot;,&quot;id&quot;:&quot;367a2a67-48ed-5e56-8de5-903c3a9b0a39&quot;,&quot;issue&quot;:&quot;4 Suppl&quot;,&quot;issued&quot;:{&quot;date-parts&quot;:[[&quot;2018&quot;]]},&quot;language&quot;:&quot;eng&quot;,&quot;note&quot;:&quot;1726-9148\nAzizi, Fereidoun\nZadeh-Vakili, Azita\nTakyar, Miralireza\nJournal Article\nReview\nInt J Endocrinol Metab. 2018 Oct 22;16(4 Suppl):e84777. doi: 10.5812/ijem.84777. eCollection 2018 Oct.&quot;,&quot;page&quot;:&quot;e84777&quot;,&quot;title&quot;:&quot;Review of Rationale, Design, and Initial Findings: Tehran Lipid and Glucose Study&quot;,&quot;type&quot;:&quot;article-journal&quot;,&quot;volume&quot;:&quot;16&quot;,&quot;container-title-short&quot;:&quot;&quot;},&quot;uris&quot;:[&quot;http://www.mendeley.com/documents/?uuid=a016ba34-7118-4feb-97bf-5f9032d8dc31&quot;],&quot;isTemporary&quot;:false,&quot;legacyDesktopId&quot;:&quot;a016ba34-7118-4feb-97bf-5f9032d8dc31&quot;}]},{&quot;citationID&quot;:&quot;MENDELEY_CITATION_4af0b25d-0576-4425-8fde-adf99b682c23&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&quot;,&quot;citationItems&quot;:[{&quot;id&quot;:&quot;2e4131e7-213a-5b4c-a701-4c3993a521e6&quot;,&quot;itemData&quot;:{&quot;DOI&quot;:&quot;10.2196/resprot.5214&quot;,&quot;ISSN&quot;:&quot;1929-0748&quot;,&quot;author&quot;:[{&quot;dropping-particle&quot;:&quot;&quot;,&quot;family&quot;:&quot;Barzin&quot;,&quot;given&quot;:&quot;Maryam&quot;,&quot;non-dropping-particle&quot;:&quot;&quot;,&quot;parse-names&quot;:false,&quot;suffix&quot;:&quot;&quot;},{&quot;dropping-particle&quot;:&quot;&quot;,&quot;family&quot;:&quot;Hosseinpanah&quot;,&quot;given&quot;:&quot;Farhad&quot;,&quot;non-dropping-particle&quot;:&quot;&quot;,&quot;parse-names&quot;:false,&quot;suffix&quot;:&quot;&quot;},{&quot;dropping-particle&quot;:&quot;&quot;,&quot;family&quot;:&quot;Motamedi&quot;,&quot;given&quot;:&quot;Mohammad Ali&quot;,&quot;non-dropping-particle&quot;:&quot;&quot;,&quot;parse-names&quot;:false,&quot;suffix&quot;:&quot;&quot;},{&quot;dropping-particle&quot;:&quot;&quot;,&quot;family&quot;:&quot;Shapoori&quot;,&quot;given&quot;:&quot;Parvin&quot;,&quot;non-dropping-particle&quot;:&quot;&quot;,&quot;parse-names&quot;:false,&quot;suffix&quot;:&quot;&quot;},{&quot;dropping-particle&quot;:&quot;&quot;,&quot;family&quot;:&quot;Arian&quot;,&quot;given&quot;:&quot;Peyman&quot;,&quot;non-dropping-particle&quot;:&quot;&quot;,&quot;parse-names&quot;:false,&quot;suffix&quot;:&quot;&quot;},{&quot;dropping-particle&quot;:&quot;&quot;,&quot;family&quot;:&quot;Daneshpour&quot;,&quot;given&quot;:&quot;Maryam Alsadat&quot;,&quot;non-dropping-particle&quot;:&quot;&quot;,&quot;parse-names&quot;:false,&quot;suffix&quot;:&quot;&quot;},{&quot;dropping-particle&quot;:&quot;&quot;,&quot;family&quot;:&quot;Asghari&quot;,&quot;given&quot;:&quot;Golale&quot;,&quot;non-dropping-particle&quot;:&quot;&quot;,&quot;parse-names&quot;:false,&quot;suffix&quot;:&quot;&quot;},{&quot;dropping-particle&quot;:&quot;&quot;,&quot;family&quot;:&quot;Teymoornejad&quot;,&quot;given&quot;:&quot;Ahmad&quot;,&quot;non-dropping-particle&quot;:&quot;&quot;,&quot;parse-names&quot;:false,&quot;suffix&quot;:&quot;&quot;},{&quot;dropping-particle&quot;:&quot;&quot;,&quot;family&quot;:&quot;Eslamifar&quot;,&quot;given&quot;:&quot;Ali&quot;,&quot;non-dropping-particle&quot;:&quot;&quot;,&quot;parse-names&quot;:false,&quot;suffix&quot;:&quot;&quot;},{&quot;dropping-particle&quot;:&quot;&quot;,&quot;family&quot;:&quot;Khalili&quot;,&quot;given&quot;:&quot;Davood&quot;,&quot;non-dropping-particle&quot;:&quot;&quot;,&quot;parse-names&quot;:false,&quot;suffix&quot;:&quot;&quot;},{&quot;dropping-particle&quot;:&quot;&quot;,&quot;family&quot;:&quot;Jodeiri&quot;,&quot;given&quot;:&quot;Behzad&quot;,&quot;non-dropping-particle&quot;:&quot;&quot;,&quot;parse-names&quot;:false,&quot;suffix&quot;:&quot;&quot;},{&quot;dropping-particle&quot;:&quot;&quot;,&quot;family&quot;:&quot;Alamdari&quot;,&quot;given&quot;:&quot;Shahram&quot;,&quot;non-dropping-particle&quot;:&quot;&quot;,&quot;parse-names&quot;:false,&quot;suffix&quot;:&quot;&quot;},{&quot;dropping-particle&quot;:&quot;&quot;,&quot;family&quot;:&quot;Azizi&quot;,&quot;given&quot;:&quot;Fereidoun&quot;,&quot;non-dropping-particle&quot;:&quot;&quot;,&quot;parse-names&quot;:false,&quot;suffix&quot;:&quot;&quot;},{&quot;dropping-particle&quot;:&quot;&quot;,&quot;family&quot;:&quot;Khalaj&quot;,&quot;given&quot;:&quot;Alireza&quot;,&quot;non-dropping-particle&quot;:&quot;&quot;,&quot;parse-names&quot;:false,&quot;suffix&quot;:&quot;&quot;}],&quot;container-title&quot;:&quot;JMIR Research Protocols&quot;,&quot;id&quot;:&quot;2e4131e7-213a-5b4c-a701-4c3993a521e6&quot;,&quot;issue&quot;:&quot;1&quot;,&quot;issued&quot;:{&quot;date-parts&quot;:[[&quot;2016&quot;,&quot;1&quot;,&quot;20&quot;]]},&quot;page&quot;:&quot;e8&quot;,&quot;title&quot;:&quot;Bariatric Surgery for Morbid Obesity: Tehran Obesity Treatment Study (TOTS) Rationale and Study Design&quot;,&quot;type&quot;:&quot;article-journal&quot;,&quot;volume&quot;:&quot;5&quot;,&quot;container-title-short&quot;:&quot;JMIR Res Protoc&quot;},&quot;uris&quot;:[&quot;http://www.mendeley.com/documents/?uuid=2c865b5d-8dae-3e5a-9809-cf5df8430f0e&quot;],&quot;isTemporary&quot;:false,&quot;legacyDesktopId&quot;:&quot;2c865b5d-8dae-3e5a-9809-cf5df8430f0e&quot;}]},{&quot;citationID&quot;:&quot;MENDELEY_CITATION_e9f9bfd8-92fc-431d-848f-9d36434df03a&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&quot;,&quot;citationItems&quot;:[{&quot;id&quot;:&quot;6d67f516-3ff1-5c3b-bcbc-5780b818f5c9&quot;,&quot;itemData&quot;:{&quot;DOI&quot;:&quot;10.3109/10408363.2015.1129529&quot;,&quot;ISSN&quot;:&quot;1549781X&quot;,&quot;PMID&quot;:&quot;26678667&quot;,&quot;abstract&quot;:&quot;Abstract: Thyroid cancer is the most common endocrine malignancy and accounts for nearly 1% of all of human cancer. Thyroid cancer has four main histological types: papillary, follicular, medullary, and anaplastic. Papillary, follicular, and anaplastic thyroid carcinomas are derived from follicular thyroid cells, whereas medullary thyroid carcinoma (MTC) originates from the neural crest parafollicular cells or C-cells of the thyroid gland. MTC represents a neuroendocrine tumor and differs considerably from differentiated thyroid carcinoma. MTC is one of the aggressive types of thyroid cancer, which represents 3–10% of all thyroid cancers. It occurs in hereditary (25%) and sporadic (75%) forms. The hereditary form of MTC has an autosomal dominant mode of inheritance. According to the present classification, hereditary MTC is classified as a multiple endocrine neoplasi type 2 A &amp; B (MEN2A &amp; MEN2B) and familial MTC (FMTC). The RET proto-oncogene is located on chromosome 10q11.21. It is composed of 21 exons and encodes a transmembrane receptor tyrosine kinase. RET regulates a complex network of signal transduction pathways during development, survival, proliferation, differentiation, and migration of the enteric nervous system progenitor cells. Gain of function mutations in RET have been well demonstrated in MTC development. Variants of MTC result from different RET mutations, and they have a good genotype–phenotype correlation. Various MTC related mutations have been reported in different exons of the RET gene. We proposed that RET genetic mutations may be different in distinct populations. Therefore, the aim of this study was to find a geographical pattern of RET mutations in different populations.&quot;,&quot;author&quot;:[{&quot;dropping-particle&quot;:&quot;&quot;,&quot;family&quot;:&quot;Hedayati&quot;,&quot;given&quot;:&quot;Mehdi&quot;,&quot;non-dropping-particle&quot;:&quot;&quot;,&quot;parse-names&quot;:false,&quot;suffix&quot;:&quot;&quot;},{&quot;dropping-particle&quot;:&quot;&quot;,&quot;family&quot;:&quot;Zarif Yeganeh&quot;,&quot;given&quot;:&quot;Marjan&quot;,&quot;non-dropping-particle&quot;:&quot;&quot;,&quot;parse-names&quot;:false,&quot;suffix&quot;:&quot;&quot;},{&quot;dropping-particle&quot;:&quot;&quot;,&quot;family&quot;:&quot;Sheikholeslami&quot;,&quot;given&quot;:&quot;Sara&quot;,&quot;non-dropping-particle&quot;:&quot;&quot;,&quot;parse-names&quot;:false,&quot;suffix&quot;:&quot;&quot;},{&quot;dropping-particle&quot;:&quot;&quot;,&quot;family&quot;:&quot;Afsari&quot;,&quot;given&quot;:&quot;Farinaz&quot;,&quot;non-dropping-particle&quot;:&quot;&quot;,&quot;parse-names&quot;:false,&quot;suffix&quot;:&quot;&quot;}],&quot;container-title&quot;:&quot;Critical Reviews in Clinical Laboratory Sciences&quot;,&quot;id&quot;:&quot;6d67f516-3ff1-5c3b-bcbc-5780b818f5c9&quot;,&quot;issue&quot;:&quot;4&quot;,&quot;issued&quot;:{&quot;date-parts&quot;:[[&quot;2016&quot;,&quot;7&quot;,&quot;3&quot;]]},&quot;page&quot;:&quot;217-227&quot;,&quot;publisher&quot;:&quot;Taylor and Francis Ltd&quot;,&quot;title&quot;:&quot;Diversity of mutations in the RET proto-oncogene and its oncogenic mechanism in medullary thyroid cancer&quot;,&quot;type&quot;:&quot;article-journal&quot;,&quot;volume&quot;:&quot;53&quot;,&quot;container-title-short&quot;:&quot;Crit Rev Clin Lab Sci&quot;},&quot;uris&quot;:[&quot;http://www.mendeley.com/documents/?uuid=b40fdbe2-a8df-3bea-af9d-1dbfb9b727ee&quot;],&quot;isTemporary&quot;:false,&quot;legacyDesktopId&quot;:&quot;b40fdbe2-a8df-3bea-af9d-1dbfb9b727ee&quot;}]},{&quot;citationID&quot;:&quot;MENDELEY_CITATION_511273d3-80ac-462d-96d8-072b74eb8477&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&quot;,&quot;citationItems&quot;:[{&quot;id&quot;:&quot;18926106-e01e-5467-8bff-cf95e4cd94c1&quot;,&quot;itemData&quot;:{&quot;DOI&quot;:&quot;10.1038/jhg.2010.96&quot;,&quot;ISSN&quot;:&quot;1435-232X&quot;,&quot;PMID&quot;:&quot;20739942&quot;,&quot;abstract&quot;:&quot;Hearing loss (HL) is the most prevalent sensory defect affecting 1 in 500 neonates. Genetic factors are involved in half of the cases. The extreme heterogeneity of HL makes it difficult to analyze and determine the accurate genetic causes of the impairment. Up to now, 10 genes, namely, GJB2, GJB6, SLC26A4, TECTA, PJVK, Col11A2, Myo15A, TMC1, RDX and microRNA (miR-183), have been studied in an Iranian population. The prevalence of HL in Iran was estimated to be 2–3 times higher than that in other parts of the world. Here, the most common bases of congenital nonsyndromic hearing loss (NSHL) are discussed. We reviewed GJB2, GJB6 (large deletion), TECTA, SLC26A4 and PEJVK mutations, and studied their frequencies and distributions in different ethnic groups in 1934, 500, 121, 80 and 34 unrelated families throughout Iran, respectively. GJB2 mutation was the most common factor causing NSHL, with a mean frequency of 18.17% in the Iranian population. The importance of Iran's geographical location in the migration pathway from west to east through the silk route was also highlighted. SLC26A4 and TECTA mutations were the second and third main reasons of HL and accounted for up to 10 and 4% of prelingual HL in Iran, respectively. Mutations in GJB2, SLC26, TECTA and PJVK genes have an important role in HL in Iran and a screening test should be generated for better intervention and diagnosis programs.&quot;,&quot;author&quot;:[{&quot;dropping-particle&quot;:&quot;&quot;,&quot;family&quot;:&quot;Mahdieh&quot;,&quot;given&quot;:&quot;Nejat&quot;,&quot;non-dropping-particle&quot;:&quot;&quot;,&quot;parse-names&quot;:false,&quot;suffix&quot;:&quot;&quot;},{&quot;dropping-particle&quot;:&quot;&quot;,&quot;family&quot;:&quot;Rabbani&quot;,&quot;given&quot;:&quot;Bahareh&quot;,&quot;non-dropping-particle&quot;:&quot;&quot;,&quot;parse-names&quot;:false,&quot;suffix&quot;:&quot;&quot;},{&quot;dropping-particle&quot;:&quot;&quot;,&quot;family&quot;:&quot;Wiley&quot;,&quot;given&quot;:&quot;Susan&quot;,&quot;non-dropping-particle&quot;:&quot;&quot;,&quot;parse-names&quot;:false,&quot;suffix&quot;:&quot;&quot;},{&quot;dropping-particle&quot;:&quot;&quot;,&quot;family&quot;:&quot;Akbari&quot;,&quot;given&quot;:&quot;Mohammad Taghi&quot;,&quot;non-dropping-particle&quot;:&quot;&quot;,&quot;parse-names&quot;:false,&quot;suffix&quot;:&quot;&quot;},{&quot;dropping-particle&quot;:&quot;&quot;,&quot;family&quot;:&quot;Zeinali&quot;,&quot;given&quot;:&quot;Sirous&quot;,&quot;non-dropping-particle&quot;:&quot;&quot;,&quot;parse-names&quot;:false,&quot;suffix&quot;:&quot;&quot;}],&quot;container-title&quot;:&quot;Journal of Human Genetics 2010 55:10&quot;,&quot;id&quot;:&quot;18926106-e01e-5467-8bff-cf95e4cd94c1&quot;,&quot;issue&quot;:&quot;10&quot;,&quot;issued&quot;:{&quot;date-parts&quot;:[[&quot;2010&quot;,&quot;8&quot;,&quot;26&quot;]]},&quot;page&quot;:&quot;639-648&quot;,&quot;publisher&quot;:&quot;Nature Publishing Group&quot;,&quot;title&quot;:&quot;Genetic causes of nonsyndromic hearing loss in Iran in comparison with other populations&quot;,&quot;type&quot;:&quot;article-journal&quot;,&quot;volume&quot;:&quot;55&quot;,&quot;container-title-short&quot;:&quot;&quot;},&quot;uris&quot;:[&quot;http://www.mendeley.com/documents/?uuid=afc48b71-f0be-3994-b5d2-42b4d8075995&quot;],&quot;isTemporary&quot;:false,&quot;legacyDesktopId&quot;:&quot;afc48b71-f0be-3994-b5d2-42b4d8075995&quot;}]},{&quot;citationID&quot;:&quot;MENDELEY_CITATION_011d8f7c-90ea-484b-9a74-2545f3060c71&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&quot;,&quot;citationItems&quot;:[{&quot;id&quot;:&quot;f68695d4-5d1d-5c71-85a8-ed9b8b27abfa&quot;,&quot;itemData&quot;:{&quot;DOI&quot;:&quot;10.2188/jea.JE20090083&quot;,&quot;ISSN&quot;:&quot;09175040&quot;,&quot;PMID&quot;:&quot;20154450&quot;,&quot;abstract&quot;:&quot;Objective: To examine the validity and reproducibility of food groups in the semi-quantitative food frequency questionnaire (FFQ) developed for the Tehran Lipid and Glucose Study (TLGS). Methods: To evaluate the reproducibility of food groups included in the FFQ, 132 subjects (61 men and 71 women) aged 20 years or older twice completed a 168-item FFQ (FFQ1, FFQ2), with a 14-month interval between FFQ1 and FFQ2. Over the 1-year interval, 12 dietary recalls (DRs) were collected (1 each month) to assess the validity of the FFQ. Seventeen food groups were derived from the FFQ based on methods described in previous studies. Ageadjusted and deattenuated Spearman correlation coefficients were used to assess the validity of the FFQ. Results: The mean (SD) age and body mass index of subjects were 35.5 (16.8) years and 25.5 (5.2) kg/m2, respectively. Validity correlation coefficients ranged from 0.03 (liquid oil) to 0.77 (simple sugars) in men (median, 0.44), and from 0.12 (snacks) to 0.79 (simple sugars) in women (median, 0.37). The energy-adjusted intraclass correlation coefficient, which reflects the reproducibility of the FFQ, was 0.51 in men and was highest for tea and coffee (0.91); in women it was 0.59 and was highest for simple sugars (0.74). The highest percentage of complete agreement and disagreement was observed for snacks and desserts (60.6%) and potatoes and dairy products (12.8%), respectively, in men, and tea and coffee (62.9%) and legumes (15.7%) in women. Conclusions: The FFQ that was designed for the TLGS was found to be reliable and valid for assessing the intake of several food groups. Copyright © 2010 by the Japan Epidemiological Association.&quot;,&quot;author&quot;:[{&quot;dropping-particle&quot;:&quot;&quot;,&quot;family&quot;:&quot;Esfahani&quot;,&quot;given&quot;:&quot;Firoozeh Hosseini&quot;,&quot;non-dropping-particle&quot;:&quot;&quot;,&quot;parse-names&quot;:false,&quot;suffix&quot;:&quot;&quot;},{&quot;dropping-particle&quot;:&quot;&quot;,&quot;family&quot;:&quot;Asghari&quot;,&quot;given&quot;:&quot;Golaleh&quot;,&quot;non-dropping-particle&quot;:&quot;&quot;,&quot;parse-names&quot;:false,&quot;suffix&quot;:&quot;&quot;},{&quot;dropping-particle&quot;:&quot;&quot;,&quot;family&quot;:&quot;Mirmiran&quot;,&quot;given&quot;:&quot;Parvin&quot;,&quot;non-dropping-particle&quot;:&quot;&quot;,&quot;parse-names&quot;:false,&quot;suffix&quot;:&quot;&quot;},{&quot;dropping-particle&quot;:&quot;&quot;,&quot;family&quot;:&quot;Azizi&quot;,&quot;given&quot;:&quot;Fereidoun&quot;,&quot;non-dropping-particle&quot;:&quot;&quot;,&quot;parse-names&quot;:false,&quot;suffix&quot;:&quot;&quot;}],&quot;container-title&quot;:&quot;Journal of Epidemiology&quot;,&quot;id&quot;:&quot;f68695d4-5d1d-5c71-85a8-ed9b8b27abfa&quot;,&quot;issue&quot;:&quot;2&quot;,&quot;issued&quot;:{&quot;date-parts&quot;:[[&quot;2010&quot;]]},&quot;page&quot;:&quot;150-158&quot;,&quot;title&quot;:&quot;Reproducibility and relative validity of food group intake in a food frequency questionnaire developed for the Tehran Lipid and Glucose Study&quot;,&quot;type&quot;:&quot;article-journal&quot;,&quot;volume&quot;:&quot;20&quot;,&quot;container-title-short&quot;:&quot;J Epidemiol&quot;},&quot;uris&quot;:[&quot;http://www.mendeley.com/documents/?uuid=e8701712-804b-3dcb-91a6-e2dfbc60d506&quot;],&quot;isTemporary&quot;:false,&quot;legacyDesktopId&quot;:&quot;e8701712-804b-3dcb-91a6-e2dfbc60d506&quot;}]},{&quot;citationID&quot;:&quot;MENDELEY_CITATION_e9c0d846-3808-439c-be7e-f2b4b297cd5c&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&quot;,&quot;citationItems&quot;:[{&quot;id&quot;:&quot;71384cf0-4bea-55d8-a264-17a83359bde6&quot;,&quot;itemData&quot;:{&quot;DOI&quot;:&quot;10.1017/S1368980009991698&quot;,&quot;ISSN&quot;:&quot;1475-2727&quot;,&quot;PMID&quot;:&quot;19807937&quot;,&quot;abstract&quot;:&quot;Objective To describe the relative validity and reliability of the FFQ used for assessing nutrient intakes of participants in the Tehran Lipid and Glucose Study (TLGS).Design A total of 132 subjects (sixty-one males and seventy-one females) were included in the study. Dietary data were collected monthly by means of twelve 24 h dietary recalls (24hDR). Subjects completed two, 168-item semi-quantitative FFQ. Blood and urine samples were taken every season for measurement of plasma biomarkers and urinary N and K.Results Mean age and BMI of the participants were 35.5 (sd 16.8) years and 25.5 (sd 5.2) kg/m2, respectively. The mean energy-adjusted and deattenuated correlation coefficients for overall nutrient intake between the 24hDR and FFQ2 were 0.44 and 0.37 in ≤35-year-olds and &gt;35-year-olds, respectively, and for individual nutrients ranged from 0.24 to 0.71 in men (mean r = 0.53) and from 0.11 to 0.60 in women (mean r = 0.39). The mean energy-adjusted reliability coefficients varied from 0.48 in ≤35-year-olds to 0.65 in &gt;35-year-olds, and ranged from 0.41 to 0.79 in men (mean r = 0.59) and from 0.39 to 0.74 in women (mean r = 0.60). The FFQ2 and 24hDR produced exact agreement rates ranging between 396 % and 683 % in men and between 39.6 % and 54.1 % in women. The ranges of questionnaire validity coefficients, with the sample correlation between the questionnaires and biochemical marker as the lower limit and the estimate obtained by the method of triads as the upper limit, were 0.21-0.56 (protein) and 0.37-0.61 (K).Conclusions The FFQ developed for the TLGS has reasonable relative validity and reliability for nutrient intakes in Tehranian adults. © 2009 The Authors.&quot;,&quot;author&quot;:[{&quot;dropping-particle&quot;:&quot;&quot;,&quot;family&quot;:&quot;Mirmiran&quot;,&quot;given&quot;:&quot;Parvin&quot;,&quot;non-dropping-particle&quot;:&quot;&quot;,&quot;parse-names&quot;:false,&quot;suffix&quot;:&quot;&quot;},{&quot;dropping-particle&quot;:&quot;&quot;,&quot;family&quot;:&quot;Hosseini Esfahani&quot;,&quot;given&quot;:&quot;Firoozeh&quot;,&quot;non-dropping-particle&quot;:&quot;&quot;,&quot;parse-names&quot;:false,&quot;suffix&quot;:&quot;&quot;},{&quot;dropping-particle&quot;:&quot;&quot;,&quot;family&quot;:&quot;Mehrabi&quot;,&quot;given&quot;:&quot;Yadollah&quot;,&quot;non-dropping-particle&quot;:&quot;&quot;,&quot;parse-names&quot;:false,&quot;suffix&quot;:&quot;&quot;},{&quot;dropping-particle&quot;:&quot;&quot;,&quot;family&quot;:&quot;Hedayati&quot;,&quot;given&quot;:&quot;Mahdi&quot;,&quot;non-dropping-particle&quot;:&quot;&quot;,&quot;parse-names&quot;:false,&quot;suffix&quot;:&quot;&quot;},{&quot;dropping-particle&quot;:&quot;&quot;,&quot;family&quot;:&quot;Azizi&quot;,&quot;given&quot;:&quot;Fereidoon&quot;,&quot;non-dropping-particle&quot;:&quot;&quot;,&quot;parse-names&quot;:false,&quot;suffix&quot;:&quot;&quot;}],&quot;container-title&quot;:&quot;Public health nutrition&quot;,&quot;id&quot;:&quot;71384cf0-4bea-55d8-a264-17a83359bde6&quot;,&quot;issue&quot;:&quot;5&quot;,&quot;issued&quot;:{&quot;date-parts&quot;:[[&quot;2010&quot;]]},&quot;page&quot;:&quot;654-662&quot;,&quot;publisher&quot;:&quot;Public Health Nutr&quot;,&quot;title&quot;:&quot;Reliability and relative validity of an FFQ for nutrients in the Tehran lipid and glucose study&quot;,&quot;type&quot;:&quot;article-journal&quot;,&quot;volume&quot;:&quot;13&quot;,&quot;container-title-short&quot;:&quot;Public Health Nutr&quot;},&quot;uris&quot;:[&quot;http://www.mendeley.com/documents/?uuid=cabfe681-67b6-3e7e-bcf2-9261fec27d9f&quot;],&quot;isTemporary&quot;:false,&quot;legacyDesktopId&quot;:&quot;cabfe681-67b6-3e7e-bcf2-9261fec27d9f&quot;}]},{&quot;citationID&quot;:&quot;MENDELEY_CITATION_1ecf02fe-37b0-407d-84bc-6c6ddaa31aa2&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&quot;,&quot;citationItems&quot;:[{&quot;id&quot;:&quot;72abbcdc-083e-533b-9c60-cc778118b31e&quot;,&quot;itemData&quot;:{&quot;DOI&quot;:&quot;10.1186/1477-7525-9-12&quot;,&quot;ISSN&quot;:&quot;1477-7525&quot;,&quot;PMID&quot;:&quot;21385359&quot;,&quot;abstract&quot;:&quot;Background: The SF-12v2 is the improved version of the SF-12v1. This study aimed to validate the SF-12v2 in Iran.Methods: A random sample of the general population aged 18 years and over living in Tehran, Iran completed the instrument. Reliability was estimated using internal consistency and validity was assessed using known-groups comparison and convergent validity. In addition the factor structure of the questionnaire was extracted by performing both exploratory and confirmatory factor analyses (EFA and CFA).Results: In all, 3685 individuals were studied (1887male and 1798 female). Internal consistency for both summary measures was satisfactory. Cronbach's α for the Physical Component Summary (PCS-12) was 0.87 and for the Mental Component Summary (MCS-12) it was 0.82. Known-groups comparison showed that the SF-12v2 discriminated well between men and women and those who differed in age and educational status (P &lt; 0.05). Furthermore, as hypothesized the physical functioning, role physical, bodily pain and general health subscales correlated higher with the PCS-12, while the vitality, social functioning, role emotional and mental health subscales correlated higher with the MCS-12. Finally the exploratory factor analysis indicated a two-factor structure (physical and mental health) that jointly accounted for 59.9% of the variance. The confirmatory factory analysis also indicated a good fit to the data for the two-latent structure (physical and mental health).Conclusion: Although the findings could not be generalized to the Iranian population, overall the findings suggest that the SF-12v2 is a reliable and valid measure of health related quality of life among Iranians and now could be used in future health outcome studies. However, further studies are recommended to establish its stability, responsiveness to change, and concurrent validity for this health survey in Iran. © 2011 Montazeri et al; licensee BioMed Central Ltd.&quot;,&quot;author&quot;:[{&quot;dropping-particle&quot;:&quot;&quot;,&quot;family&quot;:&quot;Montazeri&quot;,&quot;given&quot;:&quot;Ali&quot;,&quot;non-dropping-particle&quot;:&quot;&quot;,&quot;parse-names&quot;:false,&quot;suffix&quot;:&quot;&quot;},{&quot;dropping-particle&quot;:&quot;&quot;,&quot;family&quot;:&quot;Vahdaninia&quot;,&quot;given&quot;:&quot;Mariam&quot;,&quot;non-dropping-particle&quot;:&quot;&quot;,&quot;parse-names&quot;:false,&quot;suffix&quot;:&quot;&quot;},{&quot;dropping-particle&quot;:&quot;&quot;,&quot;family&quot;:&quot;Mousavi&quot;,&quot;given&quot;:&quot;Sayed Javad&quot;,&quot;non-dropping-particle&quot;:&quot;&quot;,&quot;parse-names&quot;:false,&quot;suffix&quot;:&quot;&quot;},{&quot;dropping-particle&quot;:&quot;&quot;,&quot;family&quot;:&quot;Asadi-Lari&quot;,&quot;given&quot;:&quot;Mohsen&quot;,&quot;non-dropping-particle&quot;:&quot;&quot;,&quot;parse-names&quot;:false,&quot;suffix&quot;:&quot;&quot;},{&quot;dropping-particle&quot;:&quot;&quot;,&quot;family&quot;:&quot;Omidvari&quot;,&quot;given&quot;:&quot;Sepideh&quot;,&quot;non-dropping-particle&quot;:&quot;&quot;,&quot;parse-names&quot;:false,&quot;suffix&quot;:&quot;&quot;},{&quot;dropping-particle&quot;:&quot;&quot;,&quot;family&quot;:&quot;Tavousi&quot;,&quot;given&quot;:&quot;Mahmoud&quot;,&quot;non-dropping-particle&quot;:&quot;&quot;,&quot;parse-names&quot;:false,&quot;suffix&quot;:&quot;&quot;}],&quot;container-title&quot;:&quot;Health and quality of life outcomes&quot;,&quot;id&quot;:&quot;72abbcdc-083e-533b-9c60-cc778118b31e&quot;,&quot;issued&quot;:{&quot;date-parts&quot;:[[&quot;2011&quot;,&quot;3&quot;,&quot;7&quot;]]},&quot;publisher&quot;:&quot;Health Qual Life Outcomes&quot;,&quot;title&quot;:&quot;The 12-item medical outcomes study short form health survey version 2.0 (SF-12v2): a population-based validation study from Tehran, Iran&quot;,&quot;type&quot;:&quot;article-journal&quot;,&quot;volume&quot;:&quot;9&quot;,&quot;container-title-short&quot;:&quot;Health Qual Life Outcomes&quot;},&quot;uris&quot;:[&quot;http://www.mendeley.com/documents/?uuid=c9f7dccb-1ca0-366c-9aab-0cd42a599949&quot;],&quot;isTemporary&quot;:false,&quot;legacyDesktopId&quot;:&quot;c9f7dccb-1ca0-366c-9aab-0cd42a599949&quot;}]},{&quot;citationID&quot;:&quot;MENDELEY_CITATION_6ba29e50-1ccf-4059-9e78-4bf31e111aaf&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&quot;,&quot;citationItems&quot;:[{&quot;id&quot;:&quot;f1d7f3cc-5421-5fd9-8aa3-9a0bd553b661&quot;,&quot;itemData&quot;:{&quot;abstract&quot;:&quot;The assessment tool collection encompasses all assessments that are used in medical rehabilitation with a primary focus on physical therapy and occupational therapy.&quot;,&quot;author&quot;:[{&quot;dropping-particle&quot;:&quot;&quot;,&quot;family&quot;:&quot;Loewen&quot;,&quot;given&quot;:&quot;Hal&quot;,&quot;non-dropping-particle&quot;:&quot;&quot;,&quot;parse-names&quot;:false,&quot;suffix&quot;:&quot;&quot;}],&quot;id&quot;:&quot;f1d7f3cc-5421-5fd9-8aa3-9a0bd553b661&quot;,&quot;issued&quot;:{&quot;date-parts&quot;:[[&quot;0&quot;]]},&quot;title&quot;:&quot;LibGuides: Assessment Tools: How to score version 2 of the SF-12 health survey (with a supplement documenting version 1)&quot;,&quot;type&quot;:&quot;article-journal&quot;,&quot;container-title-short&quot;:&quot;&quot;},&quot;uris&quot;:[&quot;http://www.mendeley.com/documents/?uuid=e2fdfdd4-c700-3492-a893-e383d941de62&quot;],&quot;isTemporary&quot;:false,&quot;legacyDesktopId&quot;:&quot;e2fdfdd4-c700-3492-a893-e383d941de62&quot;}]},{&quot;citationID&quot;:&quot;MENDELEY_CITATION_afa921de-18f9-489a-b9ca-6dffdd30793d&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&quot;,&quot;citationItems&quot;:[{&quot;id&quot;:&quot;cdbb0387-a626-574d-a727-7cae60527f85&quot;,&quot;itemData&quot;:{&quot;DOI&quot;:&quot;10.18502/IJPH.V48I8.2988&quot;,&quot;ISSN&quot;:&quot;2251-6093&quot;,&quot;abstract&quot;:&quot;&lt;p&gt;Background: We aimed to investigate the reliability and validity of the Iranian version of the short form social well-being scale. Methods: After linguistic validation, the Iranian version of social well-being scale was completed by 715 participants, aged ≥18 yr between Jan and Sep 2015. Concurrent validity was examined by calculating the Pearson’s correlation coefficient between the dimensions of social well-being and social support. Internal consistency, Cronbach’s alpha coefficient, confirmatory and explanatory factor analyses were also examined. Results: The internal consistency as measured by Cronbach’s alpha coefficients was 0.72 for total score. No ceiling and floor effect was found in total score or any of the subscales. The concurrent correlation coefficients between social well-being and social support ranged from good to excellent agreement. Exploratory factor analysis supported mainly comparable results with the original US English dialect version. The results of the confirmatory factor analysis for 5-factor models indicated acceptable fit for the proposed research models. Conclusion: The findings support the initial reliability and validity of the Iranian version of the social well-being scale in the research and community settings in Iran.&lt;/p&gt;&quot;,&quot;author&quot;:[{&quot;dropping-particle&quot;:&quot;&quot;,&quot;family&quot;:&quot;SHAYEGHIAN&quot;,&quot;given&quot;:&quot;Zeinab&quot;,&quot;non-dropping-particle&quot;:&quot;&quot;,&quot;parse-names&quot;:false,&quot;suffix&quot;:&quot;&quot;},{&quot;dropping-particle&quot;:&quot;&quot;,&quot;family&quot;:&quot;AMIRI&quot;,&quot;given&quot;:&quot;Parisa&quot;,&quot;non-dropping-particle&quot;:&quot;&quot;,&quot;parse-names&quot;:false,&quot;suffix&quot;:&quot;&quot;},{&quot;dropping-particle&quot;:&quot;&quot;,&quot;family&quot;:&quot;VAHEDI-NOTASH&quot;,&quot;given&quot;:&quot;Golnaz&quot;,&quot;non-dropping-particle&quot;:&quot;&quot;,&quot;parse-names&quot;:false,&quot;suffix&quot;:&quot;&quot;},{&quot;dropping-particle&quot;:&quot;&quot;,&quot;family&quot;:&quot;KARIMI&quot;,&quot;given&quot;:&quot;Mehrdad&quot;,&quot;non-dropping-particle&quot;:&quot;&quot;,&quot;parse-names&quot;:false,&quot;suffix&quot;:&quot;&quot;},{&quot;dropping-particle&quot;:&quot;&quot;,&quot;family&quot;:&quot;AZIZI&quot;,&quot;given&quot;:&quot;Fereidoun&quot;,&quot;non-dropping-particle&quot;:&quot;&quot;,&quot;parse-names&quot;:false,&quot;suffix&quot;:&quot;&quot;}],&quot;container-title&quot;:&quot;Iranian Journal of Public Health&quot;,&quot;id&quot;:&quot;cdbb0387-a626-574d-a727-7cae60527f85&quot;,&quot;issue&quot;:&quot;8&quot;,&quot;issued&quot;:{&quot;date-parts&quot;:[[&quot;2019&quot;,&quot;7&quot;,&quot;18&quot;]]},&quot;page&quot;:&quot;1478-1487&quot;,&quot;title&quot;:&quot;Validity and Reliability of the Iranian Version of the Short Form Social Well Being Scale in a General Urban Population&quot;,&quot;type&quot;:&quot;article-journal&quot;,&quot;volume&quot;:&quot;48&quot;,&quot;container-title-short&quot;:&quot;Iran J Public Health&quot;},&quot;uris&quot;:[&quot;http://www.mendeley.com/documents/?uuid=32e0e7ac-ab06-3df9-b286-32ee01589526&quot;],&quot;isTemporary&quot;:false,&quot;legacyDesktopId&quot;:&quot;32e0e7ac-ab06-3df9-b286-32ee01589526&quot;}]},{&quot;citationID&quot;:&quot;MENDELEY_CITATION_89ffd6d2-4c15-4564-8c2f-b318f52dc595&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&quot;,&quot;citationItems&quot;:[{&quot;id&quot;:&quot;f1c2bdfb-86e6-5b0a-bb8c-5698176e58c6&quot;,&quot;itemData&quot;:{&quot;DOI&quot;:&quot;10.2307/2787065&quot;,&quot;ISSN&quot;:&quot;01902725&quot;,&quot;abstract&quot;:&quot;The proposal of five dimensions of social well-being, social integration, social contribution, social coherence, social actualization, and social acceptance, is theoretically substantiated. The theoretical structure, construct validity, and the social structural sources of the dimensions of social well-being are investigated in two studies. Item and confirmatory factor analyses in both studies corroborate the theoretical model of social well-being. The new scales correlate convergently with measures of anomie, generativity, perceived social constraints, community involvement and neighborhood quality. The new scales correlate discriminantly with measures of dysphoria, global well-being, physical health and optimism. Multivariate analyses in both studies substantiate the claim that social well-being is an achievement, facilitated by educational attainment and age. The state and direction of the study of adult functioning are discussed.&quot;,&quot;author&quot;:[{&quot;dropping-particle&quot;:&quot;&quot;,&quot;family&quot;:&quot;Keyes&quot;,&quot;given&quot;:&quot;Corey Lee M.&quot;,&quot;non-dropping-particle&quot;:&quot;&quot;,&quot;parse-names&quot;:false,&quot;suffix&quot;:&quot;&quot;}],&quot;container-title&quot;:&quot;Social Psychology Quarterly&quot;,&quot;id&quot;:&quot;f1c2bdfb-86e6-5b0a-bb8c-5698176e58c6&quot;,&quot;issue&quot;:&quot;2&quot;,&quot;issued&quot;:{&quot;date-parts&quot;:[[&quot;1998&quot;]]},&quot;page&quot;:&quot;121-137&quot;,&quot;publisher&quot;:&quot;American Sociological Association&quot;,&quot;title&quot;:&quot;Social well-being&quot;,&quot;type&quot;:&quot;article-journal&quot;,&quot;volume&quot;:&quot;61&quot;,&quot;container-title-short&quot;:&quot;Soc Psychol Q&quot;},&quot;uris&quot;:[&quot;http://www.mendeley.com/documents/?uuid=cc4eb98d-c3c0-34ef-8529-41ea8f8a67be&quot;],&quot;isTemporary&quot;:false,&quot;legacyDesktopId&quot;:&quot;cc4eb98d-c3c0-34ef-8529-41ea8f8a67be&quot;}]},{&quot;citationID&quot;:&quot;MENDELEY_CITATION_abccfc0e-8589-42e0-866b-f7a73e5f4968&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&quot;,&quot;citationItems&quot;:[{&quot;id&quot;:&quot;deb7a225-f8eb-51d0-83fa-7c1498e886e7&quot;,&quot;itemData&quot;:{&quot;author&quot;:[{&quot;dropping-particle&quot;:&quot;&quot;,&quot;family&quot;:&quot;P.&quot;,&quot;given&quot;:&quot;AMIRI&quot;,&quot;non-dropping-particle&quot;:&quot;&quot;,&quot;parse-names&quot;:false,&quot;suffix&quot;:&quot;&quot;},{&quot;dropping-particle&quot;:&quot;&quot;,&quot;family&quot;:&quot;M.&quot;,&quot;given&quot;:&quot;ABBASI&quot;,&quot;non-dropping-particle&quot;:&quot;&quot;,&quot;parse-names&quot;:false,&quot;suffix&quot;:&quot;&quot;},{&quot;dropping-particle&quot;:&quot;&quot;,&quot;family&quot;:&quot;S.&quot;,&quot;given&quot;:&quot;GHARIBZADEH&quot;,&quot;non-dropping-particle&quot;:&quot;&quot;,&quot;parse-names&quot;:false,&quot;suffix&quot;:&quot;&quot;},{&quot;dropping-particle&quot;:&quot;&quot;,&quot;family&quot;:&quot;M.&quot;,&quot;given&quot;:&quot;ASGHARI JAFARABADI&quot;,&quot;non-dropping-particle&quot;:&quot;&quot;,&quot;parse-names&quot;:false,&quot;suffix&quot;:&quot;&quot;},{&quot;dropping-particle&quot;:&quot;&quot;,&quot;family&quot;:&quot;N.&quot;,&quot;given&quot;:&quot;HAMZAVI ZARGHANI&quot;,&quot;non-dropping-particle&quot;:&quot;&quot;,&quot;parse-names&quot;:false,&quot;suffix&quot;:&quot;&quot;},{&quot;dropping-particle&quot;:&quot;&quot;,&quot;family&quot;:&quot;F.&quot;,&quot;given&quot;:&quot;AZIZI&quot;,&quot;non-dropping-particle&quot;:&quot;&quot;,&quot;parse-names&quot;:false,&quot;suffix&quot;:&quot;&quot;}],&quot;id&quot;:&quot;deb7a225-f8eb-51d0-83fa-7c1498e886e7&quot;,&quot;issue&quot;:&quot;30&quot;,&quot;issued&quot;:{&quot;date-parts&quot;:[[&quot;2015&quot;,&quot;1&quot;,&quot;1&quot;]]},&quot;page&quot;:&quot;25-55&quot;,&quot;publisher&quot;:&quot;MEDICAL ETHICS&quot;,&quot;title&quot;:&quot;Designation And Psychometric Assessment Of A Comprehensive Spiritual Health Questionnaire For Iranian Populations&quot;,&quot;type&quot;:&quot;article&quot;,&quot;volume&quot;:&quot;8&quot;,&quot;container-title-short&quot;:&quot;&quot;},&quot;uris&quot;:[&quot;http://www.mendeley.com/documents/?uuid=69bbc167-fb25-36a5-b1a0-4eb036941ddd&quot;],&quot;isTemporary&quot;:false,&quot;legacyDesktopId&quot;:&quot;69bbc167-fb25-36a5-b1a0-4eb036941ddd&quot;}]},{&quot;citationID&quot;:&quot;MENDELEY_CITATION_9543e522-d7cd-4ff0-881a-4956f5f1cbca&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&quot;,&quot;citationItems&quot;:[{&quot;id&quot;:&quot;38743f91-19ac-5b38-ba92-ac1bb324310b&quot;,&quot;itemData&quot;:{&quot;URL&quot;:&quot;https://icd.who.int/browse11/l-m/en&quot;,&quot;accessed&quot;:{&quot;date-parts&quot;:[[&quot;2022&quot;,&quot;8&quot;,&quot;17&quot;]]},&quot;id&quot;:&quot;38743f91-19ac-5b38-ba92-ac1bb324310b&quot;,&quot;issued&quot;:{&quot;date-parts&quot;:[[&quot;0&quot;]]},&quot;title&quot;:&quot;ICD-11 for Mortality and Morbidity Statistics&quot;,&quot;type&quot;:&quot;webpage&quot;,&quot;container-title-short&quot;:&quot;&quot;},&quot;uris&quot;:[&quot;http://www.mendeley.com/documents/?uuid=83ee97c5-ac98-387b-9a66-29616d77f815&quot;],&quot;isTemporary&quot;:false,&quot;legacyDesktopId&quot;:&quot;83ee97c5-ac98-387b-9a66-29616d77f815&quot;}]},{&quot;citationID&quot;:&quot;MENDELEY_CITATION_e48d9ab3-0b40-4d6b-a298-612aa055b3e6&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&quot;,&quot;citationItems&quot;:[{&quot;id&quot;:&quot;125b8e1a-c57d-50f8-ad17-9b96e547f9de&quot;,&quot;itemData&quot;:{&quot;DOI&quot;:&quot;10.2144/00291bm09&quot;,&quot;ISSN&quot;:&quot;0736-6205 (Print)&quot;,&quot;PMID&quot;:&quot;10907076&quot;,&quot;author&quot;:[{&quot;dropping-particle&quot;:&quot;&quot;,&quot;family&quot;:&quot;Truett&quot;,&quot;given&quot;:&quot;G E&quot;,&quot;non-dropping-particle&quot;:&quot;&quot;,&quot;parse-names&quot;:false,&quot;suffix&quot;:&quot;&quot;},{&quot;dropping-particle&quot;:&quot;&quot;,&quot;family&quot;:&quot;Heeger&quot;,&quot;given&quot;:&quot;P&quot;,&quot;non-dropping-particle&quot;:&quot;&quot;,&quot;parse-names&quot;:false,&quot;suffix&quot;:&quot;&quot;},{&quot;dropping-particle&quot;:&quot;&quot;,&quot;family&quot;:&quot;Mynatt&quot;,&quot;given&quot;:&quot;R L&quot;,&quot;non-dropping-particle&quot;:&quot;&quot;,&quot;parse-names&quot;:false,&quot;suffix&quot;:&quot;&quot;},{&quot;dropping-particle&quot;:&quot;&quot;,&quot;family&quot;:&quot;Truett&quot;,&quot;given&quot;:&quot;A A&quot;,&quot;non-dropping-particle&quot;:&quot;&quot;,&quot;parse-names&quot;:false,&quot;suffix&quot;:&quot;&quot;},{&quot;dropping-particle&quot;:&quot;&quot;,&quot;family&quot;:&quot;Walker&quot;,&quot;given&quot;:&quot;J A&quot;,&quot;non-dropping-particle&quot;:&quot;&quot;,&quot;parse-names&quot;:false,&quot;suffix&quot;:&quot;&quot;},{&quot;dropping-particle&quot;:&quot;&quot;,&quot;family&quot;:&quot;Warman&quot;,&quot;given&quot;:&quot;M L&quot;,&quot;non-dropping-particle&quot;:&quot;&quot;,&quot;parse-names&quot;:false,&quot;suffix&quot;:&quot;&quot;}],&quot;container-title&quot;:&quot;BioTechniques&quot;,&quot;id&quot;:&quot;125b8e1a-c57d-50f8-ad17-9b96e547f9de&quot;,&quot;issue&quot;:&quot;1&quot;,&quot;issued&quot;:{&quot;date-parts&quot;:[[&quot;2000&quot;,&quot;7&quot;]]},&quot;language&quot;:&quot;eng&quot;,&quot;page&quot;:&quot;52,54&quot;,&quot;publisher-place&quot;:&quot;England&quot;,&quot;title&quot;:&quot;Preparation of PCR-quality mouse genomic DNA with hot sodium hydroxide and tris (HotSHOT).&quot;,&quot;type&quot;:&quot;article-journal&quot;,&quot;volume&quot;:&quot;29&quot;,&quot;container-title-short&quot;:&quot;Biotechniques&quot;},&quot;uris&quot;:[&quot;http://www.mendeley.com/documents/?uuid=c9e5d0cb-c653-4832-b5de-1b7d7c7fda7d&quot;],&quot;isTemporary&quot;:false,&quot;legacyDesktopId&quot;:&quot;c9e5d0cb-c653-4832-b5de-1b7d7c7fda7d&quot;}]},{&quot;citationID&quot;:&quot;MENDELEY_CITATION_d8f71614-d55d-4602-90bc-3bee0a4b499f&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&quot;,&quot;citationItems&quot;:[{&quot;id&quot;:&quot;a8068675-0d6d-5dbf-9771-fbd8b075cc96&quot;,&quot;itemData&quot;:{&quot;URL&quot;:&quot;https://www.investiniran.ir/en/Iran-At-a-Glance&quot;,&quot;accessed&quot;:{&quot;date-parts&quot;:[[&quot;2022&quot;,&quot;8&quot;,&quot;17&quot;]]},&quot;id&quot;:&quot;a8068675-0d6d-5dbf-9771-fbd8b075cc96&quot;,&quot;issued&quot;:{&quot;date-parts&quot;:[[&quot;0&quot;]]},&quot;title&quot;:&quot;Iran At a Glance&quot;,&quot;type&quot;:&quot;webpage&quot;,&quot;container-title-short&quot;:&quot;&quot;},&quot;uris&quot;:[&quot;http://www.mendeley.com/documents/?uuid=87aa1256-bd35-30f9-860f-41dd86371727&quot;],&quot;isTemporary&quot;:false,&quot;legacyDesktopId&quot;:&quot;87aa1256-bd35-30f9-860f-41dd86371727&quot;}]},{&quot;citationID&quot;:&quot;MENDELEY_CITATION_b6b56657-ab8d-40e8-a9b5-6de416e05a22&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&quot;,&quot;citationItems&quot;:[{&quot;id&quot;:&quot;fe1be3f0-e716-58b2-b37e-7ebba34ad503&quot;,&quot;itemData&quot;:{&quot;URL&quot;:&quot;https://www.atlasofhumanity.com/iranians&quot;,&quot;accessed&quot;:{&quot;date-parts&quot;:[[&quot;2022&quot;,&quot;8&quot;,&quot;17&quot;]]},&quot;id&quot;:&quot;fe1be3f0-e716-58b2-b37e-7ebba34ad503&quot;,&quot;issued&quot;:{&quot;date-parts&quot;:[[&quot;0&quot;]]},&quot;title&quot;:&quot;Iranians in the World&quot;,&quot;type&quot;:&quot;webpage&quot;,&quot;container-title-short&quot;:&quot;&quot;},&quot;uris&quot;:[&quot;http://www.mendeley.com/documents/?uuid=c773aa98-cf66-3ab7-9821-a6bf4894d661&quot;],&quot;isTemporary&quot;:false,&quot;legacyDesktopId&quot;:&quot;c773aa98-cf66-3ab7-9821-a6bf4894d661&quot;}]},{&quot;citationID&quot;:&quot;MENDELEY_CITATION_d830a90d-a439-4a8a-8bbb-897f0e439d9e&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&quot;,&quot;citationItems&quot;:[{&quot;id&quot;:&quot;6d1fe7af-31c2-5d8c-8a9a-beefe05d3468&quot;,&quot;itemData&quot;:{&quot;URL&quot;:&quot;https://books.google.com/books?id=v_bLCQAAQBAJ&amp;pg=PA365&amp;lpg=PA365&amp;dq=other+groups+consist+of+Azerbaijani+Turks+(16+%25),+Kurds+(7+%25),+Lurs+(6+%25),+Arabs+(2+%25),+Baluchis+(2+%25),+Turkmens+(1+%25),+Turkish+tribal+groups&amp;source=bl&amp;ots=C8HJpGYmuI&amp;sig=ACfU3U3rcD3LjxRqwCbkgBTu_674R0U4ZA&amp;hl=en&amp;sa=X&amp;ved=2ahUKEwjkkL6Nlc35AhWRi_0HHS7BC88Q6AF6BAgCEAM#v=onepage&amp;q=other groups consist of Azerbaijani Turks (16 %25)%2C Kurds (7 %25)%2C Lurs (6 %25)%2C Arabs (2 %25)%2C Baluchis (2 %25)%2C Turkmens (1 %25)%2C Turkish tribal groups&amp;f=false&quot;,&quot;accessed&quot;:{&quot;date-parts&quot;:[[&quot;2022&quot;,&quot;8&quot;,&quot;17&quot;]]},&quot;id&quot;:&quot;6d1fe7af-31c2-5d8c-8a9a-beefe05d3468&quot;,&quot;issued&quot;:{&quot;date-parts&quot;:[[&quot;0&quot;]]},&quot;title&quot;:&quot;The International Handbook of the Demography of Race and Ethnicity - Google Books&quot;,&quot;type&quot;:&quot;webpage&quot;,&quot;container-title-short&quot;:&quot;&quot;},&quot;uris&quot;:[&quot;http://www.mendeley.com/documents/?uuid=4917ac38-4391-32ab-b3f1-38cd589d30f2&quot;],&quot;isTemporary&quot;:false,&quot;legacyDesktopId&quot;:&quot;4917ac38-4391-32ab-b3f1-38cd589d30f2&quot;}]}]"/>
    <we:property name="MENDELEY_CITATIONS_STYLE" value="{&quot;id&quot;:&quot;https://www.zotero.org/styles/scientific-reports&quot;,&quot;title&quot;:&quot;Scientific Reports&quot;,&quot;format&quot;:&quot;numeric&quot;,&quot;defaultLocale&quot;:&quot;en-GB&quot;}"/>
    <we:property name="MENDELEY_CITATIONS_LOCALE_CODE" value="&quot;en-GB&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BTNg6gGBewKKjqKHJP5olXXYK4Q==">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</go:docsCustomData>
</go:gDocsCustomXmlDataStorage>
</file>

<file path=customXml/itemProps1.xml><?xml version="1.0" encoding="utf-8"?>
<ds:datastoreItem xmlns:ds="http://schemas.openxmlformats.org/officeDocument/2006/customXml" ds:itemID="{12685553-ABDD-4DC9-8FAD-682637B5FB90}">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6976</Words>
  <Characters>39764</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Daneshpour</dc:creator>
  <cp:keywords/>
  <dc:description/>
  <cp:lastModifiedBy>maryam daneshpour</cp:lastModifiedBy>
  <cp:revision>2</cp:revision>
  <dcterms:created xsi:type="dcterms:W3CDTF">2022-11-20T11:16:00Z</dcterms:created>
  <dcterms:modified xsi:type="dcterms:W3CDTF">2022-11-20T11:16:00Z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http://www.zotero.org/styles/scientific-reports</vt:lpwstr>
  </property>
  <property fmtid="{D5CDD505-2E9C-101B-9397-08002B2CF9AE}" pid="21" name="Mendeley Recent Style Name 9_1">
    <vt:lpwstr>Scientific Reports</vt:lpwstr>
  </property>
  <property fmtid="{D5CDD505-2E9C-101B-9397-08002B2CF9AE}" pid="22" name="Mendeley Document_1">
    <vt:lpwstr>True</vt:lpwstr>
  </property>
  <property fmtid="{D5CDD505-2E9C-101B-9397-08002B2CF9AE}" pid="23" name="Mendeley Unique User Id_1">
    <vt:lpwstr>2cb6afd2-a15e-35fb-9d53-a8f2a7567a40</vt:lpwstr>
  </property>
  <property fmtid="{D5CDD505-2E9C-101B-9397-08002B2CF9AE}" pid="24" name="Mendeley Citation Style_1">
    <vt:lpwstr>http://www.zotero.org/styles/scientific-reports</vt:lpwstr>
  </property>
</Properties>
</file>