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B9787" w14:textId="77777777" w:rsidR="000C67B3" w:rsidRDefault="000C67B3" w:rsidP="000C67B3">
      <w:pPr>
        <w:rPr>
          <w:rFonts w:ascii="Arial" w:hAnsi="Arial"/>
          <w:sz w:val="20"/>
        </w:rPr>
      </w:pPr>
      <w:r w:rsidRPr="004A01CB">
        <w:rPr>
          <w:rFonts w:ascii="Arial" w:hAnsi="Arial" w:cs="Arial"/>
          <w:noProof/>
          <w:sz w:val="21"/>
          <w:szCs w:val="21"/>
        </w:rPr>
        <w:t>Table 3</w:t>
      </w:r>
      <w:r w:rsidRPr="004A01CB">
        <w:rPr>
          <w:rFonts w:ascii="Arial" w:hAnsi="Arial" w:cs="Arial"/>
          <w:sz w:val="21"/>
          <w:szCs w:val="21"/>
        </w:rPr>
        <w:t xml:space="preserve"> </w:t>
      </w:r>
      <w:r w:rsidRPr="004A01CB">
        <w:rPr>
          <w:rFonts w:ascii="Arial" w:hAnsi="Arial"/>
          <w:sz w:val="21"/>
          <w:szCs w:val="21"/>
        </w:rPr>
        <w:t>:</w:t>
      </w:r>
      <w:r w:rsidRPr="00670740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Emancipatory power building: p</w:t>
      </w:r>
      <w:r w:rsidRPr="00670740">
        <w:rPr>
          <w:rFonts w:ascii="Arial" w:hAnsi="Arial"/>
          <w:sz w:val="20"/>
        </w:rPr>
        <w:t xml:space="preserve">ower dynamics </w:t>
      </w:r>
      <w:r>
        <w:rPr>
          <w:rFonts w:ascii="Arial" w:hAnsi="Arial"/>
          <w:sz w:val="20"/>
        </w:rPr>
        <w:t xml:space="preserve">observed </w:t>
      </w:r>
      <w:r w:rsidRPr="00670740">
        <w:rPr>
          <w:rFonts w:ascii="Arial" w:hAnsi="Arial"/>
          <w:sz w:val="20"/>
        </w:rPr>
        <w:t xml:space="preserve">within and between action learning cycles </w:t>
      </w:r>
      <w:r w:rsidRPr="0093580F">
        <w:rPr>
          <w:rFonts w:ascii="Arial" w:hAnsi="Arial" w:cs="Arial"/>
          <w:noProof/>
          <w:sz w:val="16"/>
          <w:szCs w:val="16"/>
        </w:rPr>
        <w:t xml:space="preserve"> </w:t>
      </w:r>
    </w:p>
    <w:p w14:paraId="67D0DBA6" w14:textId="77777777" w:rsidR="000C67B3" w:rsidRPr="00670740" w:rsidRDefault="000C67B3" w:rsidP="000C67B3">
      <w:pPr>
        <w:rPr>
          <w:rFonts w:ascii="Arial" w:hAnsi="Arial" w:cs="Arial"/>
          <w:sz w:val="20"/>
          <w:szCs w:val="21"/>
        </w:rPr>
      </w:pPr>
    </w:p>
    <w:tbl>
      <w:tblPr>
        <w:tblStyle w:val="TableGrid"/>
        <w:tblW w:w="15730" w:type="dxa"/>
        <w:tblInd w:w="-142" w:type="dxa"/>
        <w:tblLook w:val="04A0" w:firstRow="1" w:lastRow="0" w:firstColumn="1" w:lastColumn="0" w:noHBand="0" w:noVBand="1"/>
      </w:tblPr>
      <w:tblGrid>
        <w:gridCol w:w="988"/>
        <w:gridCol w:w="4914"/>
        <w:gridCol w:w="4914"/>
        <w:gridCol w:w="4914"/>
      </w:tblGrid>
      <w:tr w:rsidR="000C67B3" w:rsidRPr="00E92D38" w14:paraId="7BB57090" w14:textId="77777777" w:rsidTr="00520EFC">
        <w:tc>
          <w:tcPr>
            <w:tcW w:w="988" w:type="dxa"/>
            <w:tcBorders>
              <w:top w:val="nil"/>
              <w:left w:val="nil"/>
            </w:tcBorders>
            <w:shd w:val="clear" w:color="auto" w:fill="auto"/>
          </w:tcPr>
          <w:p w14:paraId="528765B1" w14:textId="77777777" w:rsidR="000C67B3" w:rsidRPr="0093580F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</w:p>
        </w:tc>
        <w:tc>
          <w:tcPr>
            <w:tcW w:w="4914" w:type="dxa"/>
            <w:shd w:val="clear" w:color="auto" w:fill="F2F2F2" w:themeFill="background1" w:themeFillShade="F2"/>
          </w:tcPr>
          <w:p w14:paraId="2F5510D7" w14:textId="77777777" w:rsidR="000C67B3" w:rsidRPr="0093580F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93580F">
              <w:rPr>
                <w:rFonts w:ascii="Arial" w:hAnsi="Arial" w:cs="Arial"/>
                <w:i/>
                <w:iCs/>
                <w:sz w:val="16"/>
                <w:szCs w:val="16"/>
              </w:rPr>
              <w:t>Power Within: capabilities internal to a community supporting collective control/action</w:t>
            </w:r>
            <w:r w:rsidRPr="0093580F">
              <w:rPr>
                <w:rFonts w:ascii="Arial" w:hAnsi="Arial"/>
                <w:i/>
                <w:iCs/>
                <w:sz w:val="16"/>
                <w:szCs w:val="16"/>
              </w:rPr>
              <w:t>, recognising shared interests and values</w:t>
            </w:r>
          </w:p>
        </w:tc>
        <w:tc>
          <w:tcPr>
            <w:tcW w:w="4914" w:type="dxa"/>
            <w:shd w:val="clear" w:color="auto" w:fill="F2F2F2" w:themeFill="background1" w:themeFillShade="F2"/>
          </w:tcPr>
          <w:p w14:paraId="6D73E444" w14:textId="77777777" w:rsidR="000C67B3" w:rsidRPr="0093580F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 w:rsidRPr="0093580F">
              <w:rPr>
                <w:rFonts w:ascii="Arial" w:hAnsi="Arial" w:cs="Arial"/>
                <w:i/>
                <w:iCs/>
                <w:sz w:val="16"/>
                <w:szCs w:val="16"/>
              </w:rPr>
              <w:t>Power With: capabilities to build alliances, work, and act with other agencies/communities to achieve common goals</w:t>
            </w:r>
          </w:p>
        </w:tc>
        <w:tc>
          <w:tcPr>
            <w:tcW w:w="4914" w:type="dxa"/>
            <w:shd w:val="clear" w:color="auto" w:fill="F2F2F2" w:themeFill="background1" w:themeFillShade="F2"/>
          </w:tcPr>
          <w:p w14:paraId="1208EE94" w14:textId="77777777" w:rsidR="000C67B3" w:rsidRPr="0093580F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 w:rsidRPr="0093580F">
              <w:rPr>
                <w:rFonts w:ascii="Arial" w:hAnsi="Arial" w:cs="Arial"/>
                <w:i/>
                <w:iCs/>
                <w:sz w:val="16"/>
                <w:szCs w:val="16"/>
              </w:rPr>
              <w:t>Power To: capabilities associated with implementation of community action, including the establishment of structures and opportunities for collective action</w:t>
            </w:r>
          </w:p>
        </w:tc>
      </w:tr>
      <w:tr w:rsidR="000C67B3" w:rsidRPr="00670740" w14:paraId="53085401" w14:textId="77777777" w:rsidTr="00520EFC">
        <w:tc>
          <w:tcPr>
            <w:tcW w:w="988" w:type="dxa"/>
            <w:shd w:val="clear" w:color="auto" w:fill="F2F2F2" w:themeFill="background1" w:themeFillShade="F2"/>
          </w:tcPr>
          <w:p w14:paraId="7AAC4B7B" w14:textId="77777777" w:rsidR="000C67B3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 w:rsidRPr="0093580F">
              <w:rPr>
                <w:rFonts w:ascii="Arial" w:hAnsi="Arial"/>
                <w:i/>
                <w:iCs/>
                <w:sz w:val="16"/>
                <w:szCs w:val="16"/>
              </w:rPr>
              <w:t>C</w:t>
            </w:r>
            <w:r>
              <w:rPr>
                <w:rFonts w:ascii="Arial" w:hAnsi="Arial"/>
                <w:i/>
                <w:iCs/>
                <w:sz w:val="16"/>
                <w:szCs w:val="16"/>
              </w:rPr>
              <w:t xml:space="preserve">ycle </w:t>
            </w:r>
            <w:r w:rsidRPr="0093580F">
              <w:rPr>
                <w:rFonts w:ascii="Arial" w:hAnsi="Arial"/>
                <w:i/>
                <w:iCs/>
                <w:sz w:val="16"/>
                <w:szCs w:val="16"/>
              </w:rPr>
              <w:t>1</w:t>
            </w:r>
          </w:p>
          <w:p w14:paraId="3ED8A199" w14:textId="77777777" w:rsidR="000C67B3" w:rsidRPr="0093580F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>
              <w:rPr>
                <w:rFonts w:ascii="Arial" w:hAnsi="Arial"/>
                <w:i/>
                <w:iCs/>
                <w:sz w:val="16"/>
                <w:szCs w:val="16"/>
              </w:rPr>
              <w:t>(2017-19)</w:t>
            </w:r>
          </w:p>
        </w:tc>
        <w:tc>
          <w:tcPr>
            <w:tcW w:w="4914" w:type="dxa"/>
          </w:tcPr>
          <w:p w14:paraId="17BC446D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Engagement supported with sensitive facilitation, transparency, and consistency of core principles and regular, predictable meetings and workshops formats </w:t>
            </w:r>
          </w:p>
          <w:p w14:paraId="2C99B4E8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1FBE01AC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Ownership supported through sharing control (nominating health priorities; directing expansion of participant base; dates, times, locations of meetings)</w:t>
            </w:r>
          </w:p>
          <w:p w14:paraId="5752F1B5" w14:textId="77777777" w:rsidR="000C67B3" w:rsidRPr="002C62DE" w:rsidRDefault="000C67B3" w:rsidP="00520EFC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  <w:p w14:paraId="240F9EDF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Collective capabilities and awareness built through deliberative processes (presenting and discussing, public speaking, consensus-building, co-facilitation of meetings, and selecting and captioning visual data)</w:t>
            </w:r>
          </w:p>
          <w:p w14:paraId="064E9CFE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10E976CC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14" w:type="dxa"/>
          </w:tcPr>
          <w:p w14:paraId="677F1E43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Community power built when tangible commitments were built with the authorities. It didn’t matter in some ways whether action plans were executed. It was an exercise in trust, relationship-building, collective accountability, and mutual empowerment</w:t>
            </w:r>
          </w:p>
          <w:p w14:paraId="12B8EC59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5B4FDD69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Engagement between communities and the authorities supported with sensitive facilitation and credible, actionable information on burden and local action</w:t>
            </w:r>
          </w:p>
          <w:p w14:paraId="21EDDF23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3D95FAF6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Tangible commitments to cooperative action (development of local action plans) with the authorities deepened community power</w:t>
            </w:r>
          </w:p>
          <w:p w14:paraId="3DC98084" w14:textId="77777777" w:rsidR="000C67B3" w:rsidRPr="002C62DE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  <w:p w14:paraId="765416ED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Collective mindsets built by recognition of shared concerns and futility of working in isolation</w:t>
            </w:r>
          </w:p>
          <w:p w14:paraId="13006D2C" w14:textId="77777777" w:rsidR="000C67B3" w:rsidRPr="002C62DE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14" w:type="dxa"/>
          </w:tcPr>
          <w:p w14:paraId="1268FA31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Learning prioritised through joint implementation of local action plans, especially reframing ‘failures’ as learning opportunities, appreciatively and without blame</w:t>
            </w:r>
          </w:p>
          <w:p w14:paraId="6052EF08" w14:textId="77777777" w:rsidR="000C67B3" w:rsidRPr="002C62DE" w:rsidRDefault="000C67B3" w:rsidP="00520EFC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  <w:p w14:paraId="68A8FFD0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Acceptability of cooperative learning between communities and authorities supported by prioritising psychologically safe spaces for learning and dialogue</w:t>
            </w:r>
          </w:p>
          <w:p w14:paraId="366ABCB5" w14:textId="77777777" w:rsidR="000C67B3" w:rsidRPr="002C62DE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7D6460B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Collective reflection on and adaption of the process supported uptake and improved acceptability/relevance and feasibility. </w:t>
            </w:r>
          </w:p>
          <w:p w14:paraId="3249E91E" w14:textId="77777777" w:rsidR="000C67B3" w:rsidRPr="002C62DE" w:rsidRDefault="000C67B3" w:rsidP="00520EFC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  <w:p w14:paraId="5880E48F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Resulted in formal partnership for VAPAR to join formal PHC governance (DHMT and PHC structures including CHWs)</w:t>
            </w:r>
          </w:p>
          <w:p w14:paraId="63CD38C9" w14:textId="77777777" w:rsidR="000C67B3" w:rsidRPr="002C62DE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C67B3" w:rsidRPr="00670740" w14:paraId="34FB8863" w14:textId="77777777" w:rsidTr="00520EFC">
        <w:tc>
          <w:tcPr>
            <w:tcW w:w="988" w:type="dxa"/>
            <w:shd w:val="clear" w:color="auto" w:fill="F2F2F2" w:themeFill="background1" w:themeFillShade="F2"/>
          </w:tcPr>
          <w:p w14:paraId="018B942B" w14:textId="77777777" w:rsidR="000C67B3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 w:rsidRPr="0093580F">
              <w:rPr>
                <w:rFonts w:ascii="Arial" w:hAnsi="Arial"/>
                <w:i/>
                <w:iCs/>
                <w:sz w:val="16"/>
                <w:szCs w:val="16"/>
              </w:rPr>
              <w:t>C</w:t>
            </w:r>
            <w:r>
              <w:rPr>
                <w:rFonts w:ascii="Arial" w:hAnsi="Arial"/>
                <w:i/>
                <w:iCs/>
                <w:sz w:val="16"/>
                <w:szCs w:val="16"/>
              </w:rPr>
              <w:t xml:space="preserve">ycle </w:t>
            </w:r>
            <w:r w:rsidRPr="0093580F">
              <w:rPr>
                <w:rFonts w:ascii="Arial" w:hAnsi="Arial"/>
                <w:i/>
                <w:iCs/>
                <w:sz w:val="16"/>
                <w:szCs w:val="16"/>
              </w:rPr>
              <w:t>2</w:t>
            </w:r>
          </w:p>
          <w:p w14:paraId="62BFD504" w14:textId="77777777" w:rsidR="000C67B3" w:rsidRPr="0093580F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>
              <w:rPr>
                <w:rFonts w:ascii="Arial" w:hAnsi="Arial"/>
                <w:i/>
                <w:iCs/>
                <w:sz w:val="16"/>
                <w:szCs w:val="16"/>
              </w:rPr>
              <w:t>(2019-20)</w:t>
            </w:r>
          </w:p>
        </w:tc>
        <w:tc>
          <w:tcPr>
            <w:tcW w:w="4914" w:type="dxa"/>
          </w:tcPr>
          <w:p w14:paraId="745BD869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2C62DE">
              <w:rPr>
                <w:rFonts w:ascii="Arial" w:hAnsi="Arial"/>
                <w:sz w:val="16"/>
                <w:szCs w:val="16"/>
              </w:rPr>
              <w:t>Collective capabilities extended as principles and tools understood and applied. Community stakeholders take ownership of discussions, leading, and facilitating deliberations</w:t>
            </w:r>
          </w:p>
          <w:p w14:paraId="028A3746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  <w:p w14:paraId="0B77271D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2C62DE">
              <w:rPr>
                <w:rFonts w:ascii="Arial" w:hAnsi="Arial"/>
                <w:sz w:val="16"/>
                <w:szCs w:val="16"/>
              </w:rPr>
              <w:t>Engagement deepened as new stakeholders identified by participants to join process. Supported and underscored commitment to local ownership and control</w:t>
            </w:r>
          </w:p>
          <w:p w14:paraId="75243D3B" w14:textId="77777777" w:rsidR="000C67B3" w:rsidRPr="002C62DE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0A4DEC06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2C62DE">
              <w:rPr>
                <w:rFonts w:ascii="Arial" w:hAnsi="Arial"/>
                <w:sz w:val="16"/>
                <w:szCs w:val="16"/>
              </w:rPr>
              <w:t>Collective capabilities for action enhanced through p</w:t>
            </w:r>
            <w:r w:rsidRPr="002C62DE">
              <w:rPr>
                <w:rFonts w:ascii="Arial" w:hAnsi="Arial" w:cs="Arial"/>
                <w:sz w:val="16"/>
                <w:szCs w:val="16"/>
              </w:rPr>
              <w:t>ronounced</w:t>
            </w:r>
            <w:r w:rsidRPr="002C62DE">
              <w:rPr>
                <w:rFonts w:ascii="Arial" w:hAnsi="Arial"/>
                <w:sz w:val="16"/>
                <w:szCs w:val="16"/>
              </w:rPr>
              <w:t xml:space="preserve"> ‘localisation’ of process - local action agendas were shorter, more feasible, focussed, and achievable</w:t>
            </w:r>
          </w:p>
          <w:p w14:paraId="6A646696" w14:textId="77777777" w:rsidR="000C67B3" w:rsidRPr="002C62DE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914" w:type="dxa"/>
          </w:tcPr>
          <w:p w14:paraId="28C0827A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B712F80" wp14:editId="1037FE4F">
                      <wp:simplePos x="0" y="0"/>
                      <wp:positionH relativeFrom="column">
                        <wp:posOffset>2712720</wp:posOffset>
                      </wp:positionH>
                      <wp:positionV relativeFrom="paragraph">
                        <wp:posOffset>194310</wp:posOffset>
                      </wp:positionV>
                      <wp:extent cx="734060" cy="1162050"/>
                      <wp:effectExtent l="38100" t="19050" r="46990" b="57150"/>
                      <wp:wrapNone/>
                      <wp:docPr id="1" name="Lightning Bol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734060" cy="1162050"/>
                              </a:xfrm>
                              <a:prstGeom prst="lightningBolt">
                                <a:avLst/>
                              </a:prstGeom>
                              <a:solidFill>
                                <a:schemeClr val="accent1">
                                  <a:alpha val="44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55B754" id="_x0000_t73" coordsize="21600,21600" o:spt="73" path="m8472,l,3890,7602,8382,5022,9705r7200,4192l10012,14915r11588,6685l14767,12877r1810,-870l11050,6797r1810,-717xe">
                      <v:stroke joinstyle="miter"/>
                      <v:path o:connecttype="custom" o:connectlocs="8472,0;0,3890;5022,9705;10012,14915;21600,21600;16577,12007;12860,6080" o:connectangles="270,270,180,180,90,0,0" textboxrect="8757,7437,13917,14277"/>
                    </v:shapetype>
                    <v:shape id="Lightning Bolt 1" o:spid="_x0000_s1026" type="#_x0000_t73" style="position:absolute;margin-left:213.6pt;margin-top:15.3pt;width:57.8pt;height:91.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" fillcolor="#4472c4 [3204]" strokecolor="#1f3763 [1604]" strokeweight="1pt">
                      <v:fill opacity="28784f"/>
                    </v:shape>
                  </w:pict>
                </mc:Fallback>
              </mc:AlternateContent>
            </w:r>
            <w:r w:rsidRPr="002C62DE">
              <w:rPr>
                <w:rFonts w:ascii="Arial" w:hAnsi="Arial" w:cs="Arial"/>
                <w:sz w:val="16"/>
                <w:szCs w:val="16"/>
              </w:rPr>
              <w:t xml:space="preserve">More, and more strategic relationships fostered through community stakeholders identifying key actors to bring into process, to tailor and enable claims for local community health action </w:t>
            </w:r>
          </w:p>
          <w:p w14:paraId="7C5A5111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2FE4F5B5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Building new connections in local services and across sectors further enabled identification of, and engagement with, those with the power to act</w:t>
            </w:r>
          </w:p>
          <w:p w14:paraId="7DB2F665" w14:textId="77777777" w:rsidR="000C67B3" w:rsidRPr="002C62DE" w:rsidRDefault="000C67B3" w:rsidP="00520EFC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  <w:p w14:paraId="55A37222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Legitimacy of process was built through regular interaction between otherwise un-connected stakeholders. Deepened collective mindsets and developed unique dialogue spaces</w:t>
            </w:r>
          </w:p>
          <w:p w14:paraId="7A5E5C7D" w14:textId="77777777" w:rsidR="000C67B3" w:rsidRPr="002C62DE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14" w:type="dxa"/>
          </w:tcPr>
          <w:p w14:paraId="110F14F5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Collective redesign during public health emergency deepened relevance - revealed urgent need to formalise dialogue spaces for collective action between service users and providers </w:t>
            </w:r>
          </w:p>
          <w:p w14:paraId="0AA3C410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47A5511C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Collective redesign improved focus in public health emergency – redesign focussed on training CHWs in rapid PAR methods and principles for bottom-up learning and action. </w:t>
            </w:r>
          </w:p>
          <w:p w14:paraId="2C257AF6" w14:textId="77777777" w:rsidR="000C67B3" w:rsidRPr="002C62DE" w:rsidRDefault="000C67B3" w:rsidP="00520EFC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  <w:p w14:paraId="34EAF666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Resulted in formal invitation to progress training programme for CHWs in community mobilisation competencies via rapid PAR </w:t>
            </w:r>
          </w:p>
        </w:tc>
      </w:tr>
      <w:tr w:rsidR="000C67B3" w:rsidRPr="00670740" w14:paraId="07BDCE62" w14:textId="77777777" w:rsidTr="00520EFC">
        <w:tc>
          <w:tcPr>
            <w:tcW w:w="988" w:type="dxa"/>
            <w:shd w:val="clear" w:color="auto" w:fill="F2F2F2" w:themeFill="background1" w:themeFillShade="F2"/>
          </w:tcPr>
          <w:p w14:paraId="30AC15EF" w14:textId="77777777" w:rsidR="000C67B3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 w:rsidRPr="0093580F">
              <w:rPr>
                <w:rFonts w:ascii="Arial" w:hAnsi="Arial"/>
                <w:i/>
                <w:iCs/>
                <w:sz w:val="16"/>
                <w:szCs w:val="16"/>
              </w:rPr>
              <w:t>C</w:t>
            </w:r>
            <w:r>
              <w:rPr>
                <w:rFonts w:ascii="Arial" w:hAnsi="Arial"/>
                <w:i/>
                <w:iCs/>
                <w:sz w:val="16"/>
                <w:szCs w:val="16"/>
              </w:rPr>
              <w:t xml:space="preserve">ycle </w:t>
            </w:r>
            <w:r w:rsidRPr="0093580F">
              <w:rPr>
                <w:rFonts w:ascii="Arial" w:hAnsi="Arial"/>
                <w:i/>
                <w:iCs/>
                <w:sz w:val="16"/>
                <w:szCs w:val="16"/>
              </w:rPr>
              <w:t>3</w:t>
            </w:r>
          </w:p>
          <w:p w14:paraId="54D22EBD" w14:textId="77777777" w:rsidR="000C67B3" w:rsidRPr="0093580F" w:rsidRDefault="000C67B3" w:rsidP="00520EFC">
            <w:pPr>
              <w:rPr>
                <w:rFonts w:ascii="Arial" w:hAnsi="Arial"/>
                <w:i/>
                <w:iCs/>
                <w:sz w:val="16"/>
                <w:szCs w:val="16"/>
              </w:rPr>
            </w:pPr>
            <w:r>
              <w:rPr>
                <w:rFonts w:ascii="Arial" w:hAnsi="Arial"/>
                <w:i/>
                <w:iCs/>
                <w:sz w:val="16"/>
                <w:szCs w:val="16"/>
              </w:rPr>
              <w:t>(2021-22)</w:t>
            </w:r>
          </w:p>
        </w:tc>
        <w:tc>
          <w:tcPr>
            <w:tcW w:w="4914" w:type="dxa"/>
          </w:tcPr>
          <w:p w14:paraId="1E57FC5A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Collective capability building extended to CHWs. CHWs supported by researchers, community mentors and health officials to work with local communities to raise and frame priority issues</w:t>
            </w:r>
          </w:p>
          <w:p w14:paraId="3078CD8E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257297A8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Building capacities identifying local health concerns with public speaking, PAR principles and tools. Supported recognition of CHWs in health system and improved relationships between CHWs</w:t>
            </w:r>
          </w:p>
          <w:p w14:paraId="3830BE0E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40F7F780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Collective capabilities among community stakeholders deepened and became more visible as community mentors took initiative to support CHWs during training </w:t>
            </w:r>
          </w:p>
          <w:p w14:paraId="03DED03B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15E71C09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Ownership and control enabled as participants assumed control of workshops and in facilitating and recording activities</w:t>
            </w:r>
          </w:p>
          <w:p w14:paraId="5E2B4C60" w14:textId="77777777" w:rsidR="000C67B3" w:rsidRPr="002C62DE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914" w:type="dxa"/>
          </w:tcPr>
          <w:p w14:paraId="3E1DE72D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Learning platform enabled connections with other agencies and communities. Supported mutual understanding, trust, relationships within/between community groups and with CHWs</w:t>
            </w:r>
          </w:p>
          <w:p w14:paraId="1C3A7D32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0AE1A475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Learning from previous cycles with community mentors working to embed collective monitoring </w:t>
            </w:r>
          </w:p>
          <w:p w14:paraId="0D6EE650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72863B50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Consistent, flexible presence and profile acknowledging public health emergency and avoiding imposing additional administrative burdens in already over-burdened system</w:t>
            </w:r>
          </w:p>
          <w:p w14:paraId="229E6B5E" w14:textId="77777777" w:rsidR="000C67B3" w:rsidRPr="002C62DE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  <w:p w14:paraId="3289C001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Sensitive engagement supported partnership with DoH to become more visible locally</w:t>
            </w:r>
            <w:bookmarkStart w:id="0" w:name="_Hlk119486008"/>
            <w:r w:rsidRPr="002C62DE">
              <w:rPr>
                <w:rFonts w:ascii="Arial" w:hAnsi="Arial" w:cs="Arial"/>
                <w:sz w:val="16"/>
                <w:szCs w:val="16"/>
              </w:rPr>
              <w:t>. Clinic OMs and higher-level managers became part of process, supporting CHWs and participating</w:t>
            </w:r>
          </w:p>
          <w:bookmarkEnd w:id="0"/>
          <w:p w14:paraId="6997AB72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914" w:type="dxa"/>
          </w:tcPr>
          <w:p w14:paraId="7A992062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Collective agreement to re-establish previous CHW support structures and/or develop new</w:t>
            </w:r>
          </w:p>
          <w:p w14:paraId="5F7C45FD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3D95D473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 xml:space="preserve">Collective agreement to bring to clinic/be part of clinic processes: with focus on CHWs as key public health agents in district health system, embedding PAR into clinic processes </w:t>
            </w:r>
          </w:p>
          <w:p w14:paraId="38041BF1" w14:textId="77777777" w:rsidR="000C67B3" w:rsidRPr="002C62DE" w:rsidRDefault="000C67B3" w:rsidP="00520EFC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  <w:p w14:paraId="10B0B010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Progressive/expansive shift in collective agreement to roll out of PAR training throughout sub-district with DoH, with consideration of permanent CHW platform at Agincourt HDSS</w:t>
            </w:r>
          </w:p>
          <w:p w14:paraId="655F228A" w14:textId="77777777" w:rsidR="000C67B3" w:rsidRPr="002C62DE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  <w:p w14:paraId="0DBCE1FA" w14:textId="77777777" w:rsidR="000C67B3" w:rsidRPr="002C62DE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C62DE">
              <w:rPr>
                <w:rFonts w:ascii="Arial" w:hAnsi="Arial" w:cs="Arial"/>
                <w:sz w:val="16"/>
                <w:szCs w:val="16"/>
              </w:rPr>
              <w:t>Key health actors (OTLs) did not see process as imposed activity but owned and relevant (ownership and embedding for sustainability)</w:t>
            </w:r>
          </w:p>
          <w:p w14:paraId="2235DF22" w14:textId="77777777" w:rsidR="000C67B3" w:rsidRPr="002C62DE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17A32D77" w14:textId="77777777" w:rsidR="000C67B3" w:rsidRDefault="000C67B3" w:rsidP="000C67B3">
      <w:pPr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23D7E4" wp14:editId="2D1E32B3">
                <wp:simplePos x="0" y="0"/>
                <wp:positionH relativeFrom="margin">
                  <wp:posOffset>457200</wp:posOffset>
                </wp:positionH>
                <wp:positionV relativeFrom="paragraph">
                  <wp:posOffset>86995</wp:posOffset>
                </wp:positionV>
                <wp:extent cx="231775" cy="256540"/>
                <wp:effectExtent l="38100" t="19050" r="0" b="48260"/>
                <wp:wrapNone/>
                <wp:docPr id="4" name="Lightning Bol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31775" cy="256540"/>
                        </a:xfrm>
                        <a:prstGeom prst="lightningBolt">
                          <a:avLst/>
                        </a:prstGeom>
                        <a:solidFill>
                          <a:schemeClr val="accent1">
                            <a:alpha val="44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AFA43" id="Lightning Bolt 4" o:spid="_x0000_s1026" type="#_x0000_t73" style="position:absolute;margin-left:36pt;margin-top:6.85pt;width:18.25pt;height:20.2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" fillcolor="#4472c4 [3204]" strokecolor="#1f3763 [1604]" strokeweight="1pt">
                <v:fill opacity="28784f"/>
                <w10:wrap anchorx="margin"/>
              </v:shape>
            </w:pict>
          </mc:Fallback>
        </mc:AlternateContent>
      </w:r>
      <w:r w:rsidRPr="009B707B">
        <w:rPr>
          <w:rFonts w:ascii="Arial" w:hAnsi="Arial" w:cs="Arial"/>
          <w:noProof/>
          <w:sz w:val="20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8BD3F1" wp14:editId="614EB95D">
                <wp:simplePos x="0" y="0"/>
                <wp:positionH relativeFrom="margin">
                  <wp:posOffset>19050</wp:posOffset>
                </wp:positionH>
                <wp:positionV relativeFrom="paragraph">
                  <wp:posOffset>59690</wp:posOffset>
                </wp:positionV>
                <wp:extent cx="236093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FE35C" w14:textId="77777777" w:rsidR="000C67B3" w:rsidRPr="009B707B" w:rsidRDefault="000C67B3" w:rsidP="000C67B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Key: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         Emergence of </w:t>
                            </w:r>
                            <w:r w:rsidRPr="009B707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COVID-19 in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early </w:t>
                            </w:r>
                            <w:r w:rsidRPr="009B707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8BD3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4.7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" filled="f" stroked="f">
                <v:textbox style="mso-fit-shape-to-text:t">
                  <w:txbxContent>
                    <w:p w14:paraId="277FE35C" w14:textId="77777777" w:rsidR="000C67B3" w:rsidRPr="009B707B" w:rsidRDefault="000C67B3" w:rsidP="000C67B3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Key: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         Emergence of </w:t>
                      </w:r>
                      <w:r w:rsidRPr="009B707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COVID-19 in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early </w:t>
                      </w:r>
                      <w:r w:rsidRPr="009B707B">
                        <w:rPr>
                          <w:rFonts w:ascii="Arial" w:hAnsi="Arial" w:cs="Arial"/>
                          <w:sz w:val="20"/>
                          <w:szCs w:val="20"/>
                        </w:rPr>
                        <w:t>2020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13F9FB" w14:textId="77777777" w:rsidR="000C67B3" w:rsidRPr="00670740" w:rsidRDefault="000C67B3" w:rsidP="000C67B3">
      <w:pPr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br w:type="column"/>
      </w:r>
      <w:r>
        <w:rPr>
          <w:rFonts w:ascii="Arial" w:hAnsi="Arial" w:cs="Arial"/>
          <w:sz w:val="20"/>
          <w:szCs w:val="18"/>
        </w:rPr>
        <w:lastRenderedPageBreak/>
        <w:t xml:space="preserve">Table 4: </w:t>
      </w:r>
      <w:r w:rsidRPr="00670740">
        <w:rPr>
          <w:rFonts w:ascii="Arial" w:hAnsi="Arial" w:cs="Arial"/>
          <w:sz w:val="20"/>
          <w:szCs w:val="18"/>
        </w:rPr>
        <w:t xml:space="preserve"> Limiting power framework: </w:t>
      </w:r>
      <w:r>
        <w:rPr>
          <w:rFonts w:ascii="Arial" w:hAnsi="Arial" w:cs="Arial"/>
          <w:sz w:val="20"/>
          <w:szCs w:val="18"/>
        </w:rPr>
        <w:t>power limiting factors and forces observed during Cycles 1-3</w:t>
      </w:r>
    </w:p>
    <w:p w14:paraId="1B6A0487" w14:textId="77777777" w:rsidR="000C67B3" w:rsidRPr="00670740" w:rsidRDefault="000C67B3" w:rsidP="000C67B3">
      <w:pPr>
        <w:rPr>
          <w:rFonts w:ascii="Arial" w:hAnsi="Arial"/>
          <w:sz w:val="20"/>
        </w:rPr>
      </w:pPr>
    </w:p>
    <w:tbl>
      <w:tblPr>
        <w:tblStyle w:val="TableGrid"/>
        <w:tblW w:w="15588" w:type="dxa"/>
        <w:tblLook w:val="04A0" w:firstRow="1" w:lastRow="0" w:firstColumn="1" w:lastColumn="0" w:noHBand="0" w:noVBand="1"/>
      </w:tblPr>
      <w:tblGrid>
        <w:gridCol w:w="991"/>
        <w:gridCol w:w="2973"/>
        <w:gridCol w:w="3969"/>
        <w:gridCol w:w="4005"/>
        <w:gridCol w:w="3650"/>
      </w:tblGrid>
      <w:tr w:rsidR="000C67B3" w:rsidRPr="00670740" w14:paraId="73586C8D" w14:textId="77777777" w:rsidTr="00520EFC">
        <w:tc>
          <w:tcPr>
            <w:tcW w:w="991" w:type="dxa"/>
            <w:tcBorders>
              <w:top w:val="nil"/>
              <w:left w:val="nil"/>
            </w:tcBorders>
            <w:shd w:val="clear" w:color="auto" w:fill="auto"/>
          </w:tcPr>
          <w:p w14:paraId="4D3C6990" w14:textId="77777777" w:rsidR="000C67B3" w:rsidRPr="00221A06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973" w:type="dxa"/>
            <w:shd w:val="clear" w:color="auto" w:fill="F2F2F2" w:themeFill="background1" w:themeFillShade="F2"/>
          </w:tcPr>
          <w:p w14:paraId="21AA8DD5" w14:textId="77777777" w:rsidR="000C67B3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Compulsory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power</w:t>
            </w: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‘direct and visible’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:</w:t>
            </w:r>
          </w:p>
          <w:p w14:paraId="270FFA06" w14:textId="77777777" w:rsidR="000C67B3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2AF78342" w14:textId="77777777" w:rsidR="000C67B3" w:rsidRPr="00221A06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Direct and visible exercised by/through, e.g., police, local and national legislation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747354F6" w14:textId="77777777" w:rsidR="000C67B3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Institutional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power</w:t>
            </w: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‘less visible’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:</w:t>
            </w:r>
          </w:p>
          <w:p w14:paraId="078F6758" w14:textId="77777777" w:rsidR="000C67B3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237C45C1" w14:textId="77777777" w:rsidR="000C67B3" w:rsidRPr="00221A06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E</w:t>
            </w: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xercised through organizational rules, procedures, and norms, e.g., controlling information put into the public sphere, who is involved in decision-making</w:t>
            </w:r>
          </w:p>
        </w:tc>
        <w:tc>
          <w:tcPr>
            <w:tcW w:w="4005" w:type="dxa"/>
            <w:shd w:val="clear" w:color="auto" w:fill="F2F2F2" w:themeFill="background1" w:themeFillShade="F2"/>
          </w:tcPr>
          <w:p w14:paraId="718CCC16" w14:textId="77777777" w:rsidR="000C67B3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Structural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power</w:t>
            </w: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‘invisible’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:</w:t>
            </w:r>
          </w:p>
          <w:p w14:paraId="417E5311" w14:textId="77777777" w:rsidR="000C67B3" w:rsidRPr="00221A06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26457C62" w14:textId="77777777" w:rsidR="000C67B3" w:rsidRPr="00221A06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Invisible, systematic biases embedded in social institutions, generating/sustaining social hierarchies of class, gender, ethnicity and resources, opportunities, social status.</w:t>
            </w:r>
          </w:p>
          <w:p w14:paraId="52C180D6" w14:textId="77777777" w:rsidR="000C67B3" w:rsidRPr="00221A06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3650" w:type="dxa"/>
            <w:shd w:val="clear" w:color="auto" w:fill="F2F2F2" w:themeFill="background1" w:themeFillShade="F2"/>
          </w:tcPr>
          <w:p w14:paraId="64786549" w14:textId="77777777" w:rsidR="000C67B3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Productive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power</w:t>
            </w: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‘operates through practices’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:</w:t>
            </w:r>
          </w:p>
          <w:p w14:paraId="79D28FA9" w14:textId="77777777" w:rsidR="000C67B3" w:rsidRPr="00221A06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1DDE470C" w14:textId="77777777" w:rsidR="000C67B3" w:rsidRPr="00221A06" w:rsidRDefault="000C67B3" w:rsidP="00520EFC">
            <w:pPr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21A06">
              <w:rPr>
                <w:rFonts w:ascii="Arial" w:hAnsi="Arial" w:cs="Arial"/>
                <w:i/>
                <w:iCs/>
                <w:sz w:val="16"/>
                <w:szCs w:val="16"/>
              </w:rPr>
              <w:t>Invisible, operates through diffuse social discourses and practices to legitimate some forms of knowledge, while marginalizing others. Shapes meanings of different social identities.</w:t>
            </w:r>
          </w:p>
        </w:tc>
      </w:tr>
      <w:tr w:rsidR="000C67B3" w:rsidRPr="00670740" w14:paraId="1044B43C" w14:textId="77777777" w:rsidTr="00520EFC">
        <w:tc>
          <w:tcPr>
            <w:tcW w:w="991" w:type="dxa"/>
            <w:shd w:val="clear" w:color="auto" w:fill="F2F2F2" w:themeFill="background1" w:themeFillShade="F2"/>
          </w:tcPr>
          <w:p w14:paraId="22494B38" w14:textId="77777777" w:rsidR="000C67B3" w:rsidRPr="00221A06" w:rsidRDefault="000C67B3" w:rsidP="00520EFC">
            <w:pPr>
              <w:rPr>
                <w:rFonts w:ascii="Arial" w:hAnsi="Arial"/>
                <w:sz w:val="16"/>
                <w:szCs w:val="16"/>
              </w:rPr>
            </w:pPr>
            <w:r w:rsidRPr="00221A06">
              <w:rPr>
                <w:rFonts w:ascii="Arial" w:hAnsi="Arial"/>
                <w:sz w:val="16"/>
                <w:szCs w:val="16"/>
              </w:rPr>
              <w:t>Power limiting dynamics</w:t>
            </w:r>
          </w:p>
        </w:tc>
        <w:tc>
          <w:tcPr>
            <w:tcW w:w="2973" w:type="dxa"/>
          </w:tcPr>
          <w:p w14:paraId="70D76FB1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21A06">
              <w:rPr>
                <w:rFonts w:ascii="Arial" w:hAnsi="Arial" w:cs="Arial"/>
                <w:sz w:val="16"/>
                <w:szCs w:val="16"/>
              </w:rPr>
              <w:t>Community voice typically expressed through violen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221A06">
              <w:rPr>
                <w:rFonts w:ascii="Arial" w:hAnsi="Arial" w:cs="Arial"/>
                <w:sz w:val="16"/>
                <w:szCs w:val="16"/>
              </w:rPr>
              <w:t xml:space="preserve"> service delivery protests</w:t>
            </w:r>
          </w:p>
          <w:p w14:paraId="13E4DD07" w14:textId="77777777" w:rsidR="000C67B3" w:rsidRPr="00221A06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4E00159B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21A06">
              <w:rPr>
                <w:rFonts w:ascii="Arial" w:hAnsi="Arial" w:cs="Arial"/>
                <w:sz w:val="16"/>
                <w:szCs w:val="16"/>
              </w:rPr>
              <w:t>Alcohol and drug abuse criminalised</w:t>
            </w:r>
            <w:r>
              <w:rPr>
                <w:rFonts w:ascii="Arial" w:hAnsi="Arial" w:cs="Arial"/>
                <w:sz w:val="16"/>
                <w:szCs w:val="16"/>
              </w:rPr>
              <w:t xml:space="preserve"> and stigmatised</w:t>
            </w:r>
            <w:r w:rsidRPr="00221A06">
              <w:rPr>
                <w:rFonts w:ascii="Arial" w:hAnsi="Arial" w:cs="Arial"/>
                <w:sz w:val="16"/>
                <w:szCs w:val="16"/>
              </w:rPr>
              <w:t>, less of public health response. Leads shift away from public health approach with collective action</w:t>
            </w:r>
          </w:p>
          <w:p w14:paraId="7449C0C2" w14:textId="77777777" w:rsidR="000C67B3" w:rsidRPr="00221A06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</w:p>
          <w:p w14:paraId="4C74D06E" w14:textId="77777777" w:rsidR="000C67B3" w:rsidRPr="00221A06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221A06">
              <w:rPr>
                <w:rFonts w:ascii="Arial" w:hAnsi="Arial" w:cs="Arial"/>
                <w:sz w:val="16"/>
                <w:szCs w:val="16"/>
              </w:rPr>
              <w:t>Legislation shifting the system to COVID responses limited attention to other critical public health priorities</w:t>
            </w:r>
          </w:p>
        </w:tc>
        <w:tc>
          <w:tcPr>
            <w:tcW w:w="3969" w:type="dxa"/>
          </w:tcPr>
          <w:p w14:paraId="386CF2D7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221A06">
              <w:rPr>
                <w:rFonts w:ascii="Arial" w:hAnsi="Arial"/>
                <w:sz w:val="16"/>
                <w:szCs w:val="16"/>
              </w:rPr>
              <w:t>Top-down</w:t>
            </w:r>
            <w:r>
              <w:rPr>
                <w:rFonts w:ascii="Arial" w:hAnsi="Arial"/>
                <w:sz w:val="16"/>
                <w:szCs w:val="16"/>
              </w:rPr>
              <w:t xml:space="preserve"> governance. Pronounced </w:t>
            </w:r>
            <w:r w:rsidRPr="00221A06">
              <w:rPr>
                <w:rFonts w:ascii="Arial" w:hAnsi="Arial"/>
                <w:sz w:val="16"/>
                <w:szCs w:val="16"/>
              </w:rPr>
              <w:t xml:space="preserve"> ‘compliance culture’ </w:t>
            </w:r>
            <w:bookmarkStart w:id="1" w:name="_Hlk113814386"/>
            <w:r>
              <w:rPr>
                <w:rFonts w:ascii="Arial" w:hAnsi="Arial"/>
                <w:sz w:val="16"/>
                <w:szCs w:val="16"/>
              </w:rPr>
              <w:t xml:space="preserve">in district health </w:t>
            </w:r>
            <w:r w:rsidRPr="002F7C1F">
              <w:rPr>
                <w:rFonts w:ascii="Arial" w:hAnsi="Arial" w:cs="Arial"/>
                <w:sz w:val="16"/>
                <w:szCs w:val="16"/>
              </w:rPr>
              <w:t>system</w:t>
            </w:r>
            <w:r>
              <w:rPr>
                <w:rFonts w:ascii="Arial" w:hAnsi="Arial" w:cs="Arial"/>
                <w:sz w:val="16"/>
                <w:szCs w:val="16"/>
              </w:rPr>
              <w:t xml:space="preserve">. Limited spaces for learning, </w:t>
            </w:r>
            <w:r w:rsidRPr="00221A06">
              <w:rPr>
                <w:rFonts w:ascii="Arial" w:hAnsi="Arial" w:cs="Arial"/>
                <w:sz w:val="16"/>
                <w:szCs w:val="16"/>
              </w:rPr>
              <w:t xml:space="preserve">little recognition of resilience, ingenuity that exist at </w:t>
            </w:r>
            <w:r>
              <w:rPr>
                <w:rFonts w:ascii="Arial" w:hAnsi="Arial" w:cs="Arial"/>
                <w:sz w:val="16"/>
                <w:szCs w:val="16"/>
              </w:rPr>
              <w:t>operational levels of the system</w:t>
            </w:r>
            <w:r w:rsidRPr="00221A0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21A06">
              <w:rPr>
                <w:rFonts w:ascii="Arial" w:hAnsi="Arial"/>
                <w:sz w:val="16"/>
                <w:szCs w:val="16"/>
              </w:rPr>
              <w:t xml:space="preserve">– </w:t>
            </w:r>
            <w:r w:rsidRPr="002F7C1F">
              <w:rPr>
                <w:rFonts w:ascii="Arial" w:hAnsi="Arial"/>
                <w:sz w:val="16"/>
                <w:szCs w:val="16"/>
              </w:rPr>
              <w:t xml:space="preserve">marginalises experiential knowledge </w:t>
            </w:r>
            <w:bookmarkEnd w:id="1"/>
          </w:p>
          <w:p w14:paraId="46ACE4A4" w14:textId="77777777" w:rsidR="000C67B3" w:rsidRPr="00302307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  <w:p w14:paraId="71CC4CCE" w14:textId="77777777" w:rsidR="000C67B3" w:rsidRPr="00302307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302307">
              <w:rPr>
                <w:rFonts w:ascii="Arial" w:hAnsi="Arial" w:cs="Arial"/>
                <w:sz w:val="16"/>
                <w:szCs w:val="16"/>
              </w:rPr>
              <w:t xml:space="preserve">Poorly functional participatory governance </w:t>
            </w:r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Pr="00302307">
              <w:rPr>
                <w:rFonts w:ascii="Arial" w:hAnsi="Arial"/>
                <w:sz w:val="16"/>
                <w:szCs w:val="16"/>
              </w:rPr>
              <w:t>Limited, initial, recognition of community members as active change agents</w:t>
            </w:r>
          </w:p>
          <w:p w14:paraId="45AB63E3" w14:textId="77777777" w:rsidR="000C67B3" w:rsidRPr="00302307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5B23C86A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Discussions open to capture by dominant or powerful actors</w:t>
            </w:r>
          </w:p>
          <w:p w14:paraId="06CC7941" w14:textId="77777777" w:rsidR="000C67B3" w:rsidRPr="00302307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6D5477EB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Parallel community governance systems and tensions. </w:t>
            </w:r>
            <w:r w:rsidRPr="00302307">
              <w:rPr>
                <w:rFonts w:ascii="Arial" w:hAnsi="Arial"/>
                <w:sz w:val="16"/>
                <w:szCs w:val="16"/>
              </w:rPr>
              <w:t>CDF varied roles within – limits potential</w:t>
            </w:r>
            <w:r>
              <w:rPr>
                <w:rFonts w:ascii="Arial" w:hAnsi="Arial"/>
                <w:sz w:val="16"/>
                <w:szCs w:val="16"/>
              </w:rPr>
              <w:t>. T</w:t>
            </w:r>
            <w:r w:rsidRPr="00302307">
              <w:rPr>
                <w:rFonts w:ascii="Arial" w:hAnsi="Arial"/>
                <w:sz w:val="16"/>
                <w:szCs w:val="16"/>
              </w:rPr>
              <w:t>raditional authorities and former tribal areas dominating democratic</w:t>
            </w:r>
            <w:r>
              <w:rPr>
                <w:rFonts w:ascii="Arial" w:hAnsi="Arial"/>
                <w:sz w:val="16"/>
                <w:szCs w:val="16"/>
              </w:rPr>
              <w:t xml:space="preserve"> spaces</w:t>
            </w:r>
            <w:r w:rsidRPr="00302307">
              <w:rPr>
                <w:rFonts w:ascii="Arial" w:hAnsi="Arial"/>
                <w:sz w:val="16"/>
                <w:szCs w:val="16"/>
              </w:rPr>
              <w:t>, limits community voice</w:t>
            </w:r>
          </w:p>
          <w:p w14:paraId="5C89733F" w14:textId="77777777" w:rsidR="000C67B3" w:rsidRPr="004A01CB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005" w:type="dxa"/>
          </w:tcPr>
          <w:p w14:paraId="201721EA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bookmarkStart w:id="2" w:name="_Hlk113814679"/>
            <w:r w:rsidRPr="00302307">
              <w:rPr>
                <w:rFonts w:ascii="Arial" w:hAnsi="Arial"/>
                <w:sz w:val="16"/>
                <w:szCs w:val="16"/>
              </w:rPr>
              <w:t>Local politics</w:t>
            </w:r>
            <w:r w:rsidRPr="00221A06">
              <w:rPr>
                <w:rFonts w:ascii="Arial" w:hAnsi="Arial" w:cs="Arial"/>
                <w:sz w:val="16"/>
                <w:szCs w:val="16"/>
              </w:rPr>
              <w:t xml:space="preserve"> seen in some discussions dominated by local politicians</w:t>
            </w:r>
          </w:p>
          <w:p w14:paraId="327CC24F" w14:textId="77777777" w:rsidR="000C67B3" w:rsidRPr="00302307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  <w:p w14:paraId="7737224B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221A06">
              <w:rPr>
                <w:rFonts w:ascii="Arial" w:hAnsi="Arial" w:cs="Arial"/>
                <w:sz w:val="16"/>
                <w:szCs w:val="16"/>
              </w:rPr>
              <w:t xml:space="preserve">Little recognition of expertise from the margins, little recognition of </w:t>
            </w:r>
            <w:r w:rsidRPr="00302307">
              <w:rPr>
                <w:rFonts w:ascii="Arial" w:hAnsi="Arial"/>
                <w:sz w:val="16"/>
                <w:szCs w:val="16"/>
              </w:rPr>
              <w:t xml:space="preserve">alternative forms of data and evidence (e.g., visual data) (academic institutions) </w:t>
            </w:r>
          </w:p>
          <w:p w14:paraId="192B9008" w14:textId="77777777" w:rsidR="000C67B3" w:rsidRPr="00304EFD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37415541" w14:textId="77777777" w:rsidR="000C67B3" w:rsidRPr="00302307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304EFD">
              <w:rPr>
                <w:rFonts w:ascii="Arial" w:hAnsi="Arial"/>
                <w:sz w:val="16"/>
                <w:szCs w:val="16"/>
              </w:rPr>
              <w:t>CHWs experience multiple challenges: lack of financial, logistic and health system support and training, lack of role clarity, insecure employment, low and no pay, poor safety, and low status</w:t>
            </w:r>
          </w:p>
          <w:p w14:paraId="607069FD" w14:textId="77777777" w:rsidR="000C67B3" w:rsidRPr="00302307" w:rsidRDefault="000C67B3" w:rsidP="00520EFC">
            <w:pPr>
              <w:pStyle w:val="ListParagraph"/>
              <w:ind w:left="175"/>
              <w:rPr>
                <w:rFonts w:ascii="Arial" w:hAnsi="Arial" w:cs="Arial"/>
                <w:sz w:val="16"/>
                <w:szCs w:val="16"/>
              </w:rPr>
            </w:pPr>
            <w:bookmarkStart w:id="3" w:name="_Hlk112834920"/>
            <w:bookmarkEnd w:id="2"/>
          </w:p>
          <w:bookmarkEnd w:id="3"/>
          <w:p w14:paraId="539F04C6" w14:textId="77777777" w:rsidR="000C67B3" w:rsidRPr="00F97091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F97091">
              <w:rPr>
                <w:rFonts w:ascii="Arial" w:hAnsi="Arial" w:cs="Arial"/>
                <w:sz w:val="16"/>
                <w:szCs w:val="16"/>
              </w:rPr>
              <w:t xml:space="preserve">Deeply embedded social inequalities (ethnicity, gender, class, occupation), combines with institutional biases to marginalise </w:t>
            </w:r>
            <w:r>
              <w:rPr>
                <w:rFonts w:ascii="Arial" w:hAnsi="Arial" w:cs="Arial"/>
                <w:sz w:val="16"/>
                <w:szCs w:val="16"/>
              </w:rPr>
              <w:t>some voices and privilege others</w:t>
            </w:r>
          </w:p>
          <w:p w14:paraId="1686EF0F" w14:textId="77777777" w:rsidR="000C67B3" w:rsidRPr="00221A06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  <w:p w14:paraId="518DBEBB" w14:textId="77777777" w:rsidR="000C67B3" w:rsidRPr="00221A06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650" w:type="dxa"/>
          </w:tcPr>
          <w:p w14:paraId="45DAF32F" w14:textId="77777777" w:rsidR="000C67B3" w:rsidRPr="00F97091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F97091">
              <w:rPr>
                <w:rFonts w:ascii="Arial" w:hAnsi="Arial"/>
                <w:sz w:val="16"/>
                <w:szCs w:val="16"/>
              </w:rPr>
              <w:t xml:space="preserve">Rural village contexts – former </w:t>
            </w:r>
            <w:r w:rsidRPr="00F97091">
              <w:rPr>
                <w:rFonts w:ascii="Arial" w:hAnsi="Arial" w:cs="Arial"/>
                <w:sz w:val="16"/>
                <w:szCs w:val="16"/>
              </w:rPr>
              <w:t>homelands</w:t>
            </w:r>
            <w:r w:rsidRPr="00F97091">
              <w:rPr>
                <w:rFonts w:ascii="Arial" w:hAnsi="Arial"/>
                <w:sz w:val="16"/>
                <w:szCs w:val="16"/>
              </w:rPr>
              <w:t xml:space="preserve"> direct/visible implications around inadequate infrastructure/ racial segregation endures. Economic inequalities -</w:t>
            </w:r>
            <w:r w:rsidRPr="00F97091">
              <w:rPr>
                <w:rFonts w:ascii="Arial" w:hAnsi="Arial"/>
                <w:i/>
                <w:iCs/>
                <w:sz w:val="16"/>
                <w:szCs w:val="16"/>
              </w:rPr>
              <w:t xml:space="preserve"> </w:t>
            </w:r>
            <w:r w:rsidRPr="00F97091">
              <w:rPr>
                <w:rFonts w:ascii="Arial" w:hAnsi="Arial"/>
                <w:sz w:val="16"/>
                <w:szCs w:val="16"/>
              </w:rPr>
              <w:t xml:space="preserve">generational impact </w:t>
            </w:r>
          </w:p>
          <w:p w14:paraId="7BB03773" w14:textId="77777777" w:rsidR="000C67B3" w:rsidRPr="00F97091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  <w:p w14:paraId="324C2DC4" w14:textId="77777777" w:rsidR="000C67B3" w:rsidRPr="00F97091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F97091">
              <w:rPr>
                <w:rFonts w:ascii="Arial" w:hAnsi="Arial"/>
                <w:sz w:val="16"/>
                <w:szCs w:val="16"/>
              </w:rPr>
              <w:t xml:space="preserve">HIV stigma endures. Systems structuring reinforces stigma in how services organised </w:t>
            </w:r>
            <w:r w:rsidRPr="00F97091">
              <w:rPr>
                <w:rFonts w:ascii="Arial" w:hAnsi="Arial" w:cs="Arial"/>
                <w:sz w:val="16"/>
                <w:szCs w:val="16"/>
              </w:rPr>
              <w:t xml:space="preserve">HIV/AIDs and TB remain deeply stigmatised </w:t>
            </w:r>
          </w:p>
          <w:p w14:paraId="2F847CC4" w14:textId="77777777" w:rsidR="000C67B3" w:rsidRPr="00F97091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08B32666" w14:textId="77777777" w:rsidR="000C67B3" w:rsidRPr="00F97091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 w:cs="Arial"/>
                <w:sz w:val="16"/>
                <w:szCs w:val="16"/>
              </w:rPr>
            </w:pPr>
            <w:r w:rsidRPr="00F97091">
              <w:rPr>
                <w:rFonts w:ascii="Arial" w:hAnsi="Arial"/>
                <w:sz w:val="16"/>
                <w:szCs w:val="16"/>
              </w:rPr>
              <w:t xml:space="preserve">Legitimizing certain forms of knowledge and knowing over others – creates </w:t>
            </w:r>
            <w:r w:rsidRPr="004A01CB">
              <w:rPr>
                <w:rFonts w:ascii="Arial" w:hAnsi="Arial"/>
                <w:sz w:val="16"/>
                <w:szCs w:val="16"/>
              </w:rPr>
              <w:t>stigmatising</w:t>
            </w:r>
            <w:r w:rsidRPr="00F97091">
              <w:rPr>
                <w:rFonts w:ascii="Arial" w:hAnsi="Arial"/>
                <w:sz w:val="16"/>
                <w:szCs w:val="16"/>
              </w:rPr>
              <w:t xml:space="preserve"> identities for people experiencing hardship </w:t>
            </w:r>
          </w:p>
          <w:p w14:paraId="5BD4DD90" w14:textId="77777777" w:rsidR="000C67B3" w:rsidRPr="00F97091" w:rsidRDefault="000C67B3" w:rsidP="00520EF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C67B3" w:rsidRPr="00670740" w14:paraId="25246C73" w14:textId="77777777" w:rsidTr="00520EFC">
        <w:trPr>
          <w:trHeight w:val="1132"/>
        </w:trPr>
        <w:tc>
          <w:tcPr>
            <w:tcW w:w="991" w:type="dxa"/>
            <w:shd w:val="clear" w:color="auto" w:fill="F2F2F2" w:themeFill="background1" w:themeFillShade="F2"/>
          </w:tcPr>
          <w:p w14:paraId="36C309E2" w14:textId="77777777" w:rsidR="000C67B3" w:rsidRDefault="000C67B3" w:rsidP="00520EFC">
            <w:pPr>
              <w:rPr>
                <w:rFonts w:ascii="Arial" w:hAnsi="Arial"/>
                <w:sz w:val="16"/>
                <w:szCs w:val="16"/>
              </w:rPr>
            </w:pPr>
            <w:r w:rsidRPr="00221A06">
              <w:rPr>
                <w:rFonts w:ascii="Arial" w:hAnsi="Arial"/>
                <w:sz w:val="16"/>
                <w:szCs w:val="16"/>
              </w:rPr>
              <w:t>Forms of resistance</w:t>
            </w:r>
            <w:r>
              <w:rPr>
                <w:rFonts w:ascii="Arial" w:hAnsi="Arial"/>
                <w:sz w:val="16"/>
                <w:szCs w:val="16"/>
              </w:rPr>
              <w:t>/</w:t>
            </w:r>
          </w:p>
          <w:p w14:paraId="735F03C2" w14:textId="77777777" w:rsidR="000C67B3" w:rsidRPr="00221A06" w:rsidRDefault="000C67B3" w:rsidP="00520EFC">
            <w:pPr>
              <w:rPr>
                <w:rFonts w:ascii="Arial" w:hAnsi="Arial"/>
                <w:sz w:val="16"/>
                <w:szCs w:val="16"/>
              </w:rPr>
            </w:pPr>
            <w:r w:rsidRPr="002F7C1F">
              <w:rPr>
                <w:rFonts w:ascii="Arial" w:hAnsi="Arial" w:cs="Arial"/>
                <w:sz w:val="16"/>
                <w:szCs w:val="16"/>
              </w:rPr>
              <w:t>Areas that need attention</w:t>
            </w:r>
          </w:p>
        </w:tc>
        <w:tc>
          <w:tcPr>
            <w:tcW w:w="2973" w:type="dxa"/>
          </w:tcPr>
          <w:p w14:paraId="1F200F75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‘Safe spaces’ for dialogue between communities and authorities </w:t>
            </w:r>
          </w:p>
          <w:p w14:paraId="2BFDB739" w14:textId="77777777" w:rsidR="000C67B3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  <w:p w14:paraId="3F6AD6A1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Reframing of AOD abuse as public health priority</w:t>
            </w:r>
          </w:p>
          <w:p w14:paraId="00B8BEED" w14:textId="77777777" w:rsidR="000C67B3" w:rsidRPr="00302307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  <w:p w14:paraId="4A8134CE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Process grounded in community needs and realities highlighted attention to HIV/TB treatment continuity, as services shifted to COVDI-19 responses</w:t>
            </w:r>
          </w:p>
          <w:p w14:paraId="59D3B135" w14:textId="77777777" w:rsidR="000C67B3" w:rsidRPr="002F7C1F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969" w:type="dxa"/>
          </w:tcPr>
          <w:p w14:paraId="2942128D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bookmarkStart w:id="4" w:name="_Hlk119747065"/>
            <w:r w:rsidRPr="00302307">
              <w:rPr>
                <w:rFonts w:ascii="Arial" w:hAnsi="Arial"/>
                <w:sz w:val="16"/>
                <w:szCs w:val="16"/>
              </w:rPr>
              <w:t>Process claimed and protected spaces for new forms of ‘everyday leadership</w:t>
            </w:r>
            <w:r>
              <w:rPr>
                <w:rFonts w:ascii="Arial" w:hAnsi="Arial"/>
                <w:sz w:val="16"/>
                <w:szCs w:val="16"/>
              </w:rPr>
              <w:t>’</w:t>
            </w:r>
            <w:r w:rsidRPr="00302307">
              <w:rPr>
                <w:rFonts w:ascii="Arial" w:hAnsi="Arial"/>
                <w:sz w:val="16"/>
                <w:szCs w:val="16"/>
              </w:rPr>
              <w:t xml:space="preserve"> rooted in community voice, service response and data and evidence provision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66CE6BF5" w14:textId="77777777" w:rsidR="000C67B3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  <w:p w14:paraId="181093D0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Process strategically positioned to increase visibility and legitimacy - building alliances with and influencing formal structures and actors e.g., DHMT (district level), training resources (sub-district) OTLs and OMs (Clinic and community level)</w:t>
            </w:r>
            <w:bookmarkEnd w:id="4"/>
          </w:p>
          <w:p w14:paraId="4F034510" w14:textId="77777777" w:rsidR="000C67B3" w:rsidRPr="00304EFD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4B7D60FC" w14:textId="77777777" w:rsidR="000C67B3" w:rsidRPr="0020546F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More attention needed to enable and recognise significant resilience, capability, and ingenuity at operational levels of the system</w:t>
            </w:r>
          </w:p>
          <w:p w14:paraId="23FE8C26" w14:textId="77777777" w:rsidR="000C67B3" w:rsidRPr="00221A06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005" w:type="dxa"/>
          </w:tcPr>
          <w:p w14:paraId="77535728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Consistent presence, navigating many different worlds to challenge established narratives around voice and power</w:t>
            </w:r>
          </w:p>
          <w:p w14:paraId="53439310" w14:textId="77777777" w:rsidR="000C67B3" w:rsidRPr="00302307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626DBEA0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Cooperative, appreciate approach to sensitive conversations, building of alliances, relationships, and trust</w:t>
            </w:r>
          </w:p>
          <w:p w14:paraId="2736FCF5" w14:textId="77777777" w:rsidR="000C67B3" w:rsidRPr="00EB75D8" w:rsidRDefault="000C67B3" w:rsidP="00520EFC">
            <w:pPr>
              <w:pStyle w:val="ListParagraph"/>
              <w:rPr>
                <w:rFonts w:ascii="Arial" w:hAnsi="Arial"/>
                <w:sz w:val="16"/>
                <w:szCs w:val="16"/>
              </w:rPr>
            </w:pPr>
          </w:p>
          <w:p w14:paraId="03930E03" w14:textId="77777777" w:rsidR="000C67B3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Working to strengthen platform to build collective power in different worlds: community, health system, academic spaces</w:t>
            </w:r>
          </w:p>
          <w:p w14:paraId="3B8D35BF" w14:textId="77777777" w:rsidR="000C67B3" w:rsidRPr="00221A06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650" w:type="dxa"/>
          </w:tcPr>
          <w:p w14:paraId="3353C41E" w14:textId="77777777" w:rsidR="000C67B3" w:rsidRPr="00F97091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F97091">
              <w:rPr>
                <w:rFonts w:ascii="Arial" w:hAnsi="Arial"/>
                <w:sz w:val="16"/>
                <w:szCs w:val="16"/>
              </w:rPr>
              <w:t>Sensitive and assertive facilitation, working to avoid imposing additional burdens in an already overburdened system</w:t>
            </w:r>
          </w:p>
          <w:p w14:paraId="2F9783AC" w14:textId="77777777" w:rsidR="000C67B3" w:rsidRPr="00F97091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  <w:p w14:paraId="62A32FFB" w14:textId="77777777" w:rsidR="000C67B3" w:rsidRPr="00F97091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F97091">
              <w:rPr>
                <w:rFonts w:ascii="Arial" w:hAnsi="Arial"/>
                <w:sz w:val="16"/>
                <w:szCs w:val="16"/>
              </w:rPr>
              <w:t>Dominant and stigmatising narratives challenged through consistent, predictable, transparent presence. ‘Neutrality’ conferred by virtue of connection to research/data centre</w:t>
            </w:r>
          </w:p>
          <w:p w14:paraId="29748980" w14:textId="77777777" w:rsidR="000C67B3" w:rsidRPr="00F97091" w:rsidRDefault="000C67B3" w:rsidP="00520EFC">
            <w:pPr>
              <w:pStyle w:val="ListParagraph"/>
              <w:ind w:left="175"/>
              <w:rPr>
                <w:rFonts w:ascii="Arial" w:hAnsi="Arial"/>
                <w:sz w:val="16"/>
                <w:szCs w:val="16"/>
              </w:rPr>
            </w:pPr>
          </w:p>
          <w:p w14:paraId="76CBBAC1" w14:textId="77777777" w:rsidR="000C67B3" w:rsidRPr="00F97091" w:rsidRDefault="000C67B3" w:rsidP="00520EFC">
            <w:pPr>
              <w:pStyle w:val="ListParagraph"/>
              <w:numPr>
                <w:ilvl w:val="0"/>
                <w:numId w:val="1"/>
              </w:numPr>
              <w:ind w:left="175" w:hanging="142"/>
              <w:rPr>
                <w:rFonts w:ascii="Arial" w:hAnsi="Arial"/>
                <w:sz w:val="16"/>
                <w:szCs w:val="16"/>
              </w:rPr>
            </w:pPr>
            <w:r w:rsidRPr="00F97091">
              <w:rPr>
                <w:rFonts w:ascii="Arial" w:hAnsi="Arial"/>
                <w:sz w:val="16"/>
                <w:szCs w:val="16"/>
              </w:rPr>
              <w:t>Use of different forms of media e.g., radio, podcasts to create positive narratives about community action and community health (narrative resilience)</w:t>
            </w:r>
          </w:p>
          <w:p w14:paraId="00C8745B" w14:textId="77777777" w:rsidR="000C67B3" w:rsidRPr="00F97091" w:rsidRDefault="000C67B3" w:rsidP="00520EFC">
            <w:pPr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016143C3" w14:textId="77777777" w:rsidR="000C67B3" w:rsidRDefault="000C67B3" w:rsidP="000C67B3"/>
    <w:p w14:paraId="01B7D38D" w14:textId="77777777" w:rsidR="00755780" w:rsidRDefault="00755780"/>
    <w:sectPr w:rsidR="00755780" w:rsidSect="00E35B8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552B68"/>
    <w:multiLevelType w:val="hybridMultilevel"/>
    <w:tmpl w:val="1F766E76"/>
    <w:lvl w:ilvl="0" w:tplc="08CE24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B3"/>
    <w:rsid w:val="000C67B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CD532"/>
  <w15:chartTrackingRefBased/>
  <w15:docId w15:val="{F8DFA4CD-22E1-4513-9CCA-E7BB9477F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7B3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67B3"/>
    <w:pPr>
      <w:ind w:left="720"/>
      <w:contextualSpacing/>
    </w:pPr>
  </w:style>
  <w:style w:type="table" w:styleId="TableGrid">
    <w:name w:val="Table Grid"/>
    <w:basedOn w:val="TableNormal"/>
    <w:uiPriority w:val="39"/>
    <w:rsid w:val="000C67B3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1511</Words>
  <Characters>8617</Characters>
  <Application>Microsoft Office Word</Application>
  <DocSecurity>0</DocSecurity>
  <Lines>71</Lines>
  <Paragraphs>20</Paragraphs>
  <ScaleCrop>false</ScaleCrop>
  <Company>Springer Nature</Company>
  <LinksUpToDate>false</LinksUpToDate>
  <CharactersWithSpaces>10108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2022-11-23T05:56:00Z</dcterms:created>
  <dcterms:modified xsi:type="dcterms:W3CDTF">2022-11-23T05:57:00Z</dcterms:modified>
</cp:coreProperties>
</file>