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6AFDB" w14:textId="77777777" w:rsidR="004E7BAF" w:rsidRDefault="004E7BAF" w:rsidP="004E7BAF">
      <w:pPr>
        <w:widowControl/>
        <w:spacing w:after="0" w:line="240" w:lineRule="auto"/>
        <w:ind w:firstLineChars="0" w:firstLine="0"/>
        <w:jc w:val="left"/>
        <w:rPr>
          <w:rFonts w:eastAsiaTheme="minorEastAsia"/>
        </w:rPr>
      </w:pPr>
    </w:p>
    <w:p w14:paraId="616AF8B9" w14:textId="77777777" w:rsidR="004E7BAF" w:rsidRDefault="004E7BAF" w:rsidP="004E7BAF">
      <w:pPr>
        <w:widowControl/>
        <w:spacing w:after="0" w:line="240" w:lineRule="auto"/>
        <w:ind w:firstLineChars="0" w:firstLine="0"/>
        <w:jc w:val="left"/>
        <w:rPr>
          <w:rFonts w:eastAsiaTheme="minorEastAsia"/>
        </w:rPr>
      </w:pPr>
    </w:p>
    <w:p w14:paraId="353A32CD" w14:textId="49551DF4" w:rsidR="004E7BAF" w:rsidRDefault="004E7BAF" w:rsidP="004E7BAF">
      <w:pPr>
        <w:widowControl/>
        <w:spacing w:after="0" w:line="240" w:lineRule="auto"/>
        <w:ind w:firstLineChars="0" w:firstLine="0"/>
        <w:jc w:val="left"/>
        <w:rPr>
          <w:rFonts w:eastAsiaTheme="minorEastAsia"/>
        </w:rPr>
      </w:pPr>
      <w:r w:rsidRPr="00F82449">
        <w:rPr>
          <w:rFonts w:eastAsiaTheme="minorEastAsia"/>
          <w:noProof/>
        </w:rPr>
        <w:drawing>
          <wp:inline distT="0" distB="0" distL="0" distR="0" wp14:anchorId="6914024D" wp14:editId="3FA9283A">
            <wp:extent cx="5274310" cy="6624955"/>
            <wp:effectExtent l="0" t="0" r="0" b="0"/>
            <wp:docPr id="6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E68CE9AC-AE26-4260-9713-B670B8CA0B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E68CE9AC-AE26-4260-9713-B670B8CA0B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br w:type="page"/>
      </w:r>
    </w:p>
    <w:p w14:paraId="14BBBABE" w14:textId="77777777" w:rsidR="004E7BAF" w:rsidRDefault="004E7BAF" w:rsidP="004E7BAF">
      <w:pPr>
        <w:widowControl/>
        <w:spacing w:after="0" w:line="240" w:lineRule="auto"/>
        <w:ind w:firstLineChars="0" w:firstLine="0"/>
        <w:jc w:val="left"/>
        <w:rPr>
          <w:rFonts w:eastAsiaTheme="minorEastAsia"/>
        </w:rPr>
      </w:pPr>
      <w:r w:rsidRPr="00F82449">
        <w:rPr>
          <w:rFonts w:eastAsiaTheme="minorEastAsia"/>
          <w:noProof/>
        </w:rPr>
        <w:lastRenderedPageBreak/>
        <w:drawing>
          <wp:inline distT="0" distB="0" distL="0" distR="0" wp14:anchorId="57791442" wp14:editId="5B0B03FD">
            <wp:extent cx="3999323" cy="4480948"/>
            <wp:effectExtent l="0" t="0" r="1270" b="0"/>
            <wp:docPr id="7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5767C7D4-2BA2-4510-9C0A-A45E26C260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5767C7D4-2BA2-4510-9C0A-A45E26C260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9323" cy="448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BD74" w14:textId="77777777" w:rsidR="004E7BAF" w:rsidRDefault="004E7BAF" w:rsidP="004E7BAF">
      <w:pPr>
        <w:widowControl/>
        <w:spacing w:after="0" w:line="240" w:lineRule="auto"/>
        <w:ind w:firstLineChars="0" w:firstLine="0"/>
        <w:jc w:val="left"/>
        <w:rPr>
          <w:rFonts w:eastAsiaTheme="minorEastAsia"/>
        </w:rPr>
      </w:pPr>
    </w:p>
    <w:p w14:paraId="3B2BC7FC" w14:textId="77777777" w:rsidR="004E7BAF" w:rsidRDefault="004E7BAF" w:rsidP="004E7BAF">
      <w:pPr>
        <w:widowControl/>
        <w:spacing w:after="0" w:line="240" w:lineRule="auto"/>
        <w:ind w:firstLineChars="0" w:firstLine="0"/>
        <w:jc w:val="left"/>
        <w:rPr>
          <w:rFonts w:eastAsiaTheme="minorEastAsia"/>
        </w:rPr>
      </w:pPr>
      <w:r w:rsidRPr="00F82449">
        <w:rPr>
          <w:rFonts w:eastAsiaTheme="minorEastAsia"/>
          <w:noProof/>
        </w:rPr>
        <w:drawing>
          <wp:inline distT="0" distB="0" distL="0" distR="0" wp14:anchorId="50A4DCD9" wp14:editId="5FB945CD">
            <wp:extent cx="5274310" cy="1699260"/>
            <wp:effectExtent l="0" t="0" r="0" b="0"/>
            <wp:docPr id="8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4F2B2CF3-18C6-401B-B8F8-48CF1DCB77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4F2B2CF3-18C6-401B-B8F8-48CF1DCB77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br w:type="page"/>
      </w:r>
    </w:p>
    <w:p w14:paraId="19A3D4E9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lastRenderedPageBreak/>
        <w:t>Figure legends</w:t>
      </w:r>
    </w:p>
    <w:p w14:paraId="3D2B9CBA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 xml:space="preserve">Figure S1 Cu(sal)(phen) induces more apoptosis of CRC cells than oxaliplatin. </w:t>
      </w:r>
    </w:p>
    <w:p w14:paraId="4D285A3F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A). HCT116 and SW480 were treated with 0, 5, 10 and 25 µM of Cu(sal)(phen) or Oxaliplatin for 24 hrs, and apoptosis was assessed with the flow cytometry after Annexin V/PI double staining.</w:t>
      </w:r>
    </w:p>
    <w:p w14:paraId="201AF217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B&amp;C). Quantitative analysis of A. **p&lt; 0.01; ****p&lt;0.0001.</w:t>
      </w:r>
    </w:p>
    <w:p w14:paraId="44C60F9B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Figure S2 Cu(sal)(phen) induces more ROS than Oxaliplatin</w:t>
      </w:r>
    </w:p>
    <w:p w14:paraId="7D51906F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The level of ROS was detected by flow cytometry in HCT116 and SW480 cells treated with Cu(sal)(phen) or Oxaliplatin. The fold change in DCFH-DA intensity was shown in the right. * p&lt;0.05; ** p&lt;0.01.</w:t>
      </w:r>
    </w:p>
    <w:p w14:paraId="3D1EFE71" w14:textId="77777777" w:rsidR="004E7BAF" w:rsidRDefault="004E7BAF" w:rsidP="004E7BAF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/>
        </w:rPr>
        <w:t>Figure S3 Effect of Oxalipatin on Mitocondria membrane potential of HCT116 and SW480. MMP was analyzed with JC1 staining and flow cytometry after treating with Oxaliplatin.</w:t>
      </w:r>
    </w:p>
    <w:p w14:paraId="322ED60E" w14:textId="77777777" w:rsidR="000D4074" w:rsidRDefault="000D4074">
      <w:pPr>
        <w:ind w:firstLine="480"/>
      </w:pPr>
    </w:p>
    <w:sectPr w:rsidR="000D40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6953" w14:textId="77777777" w:rsidR="005B1C11" w:rsidRDefault="004E7BAF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5963" w14:textId="77777777" w:rsidR="005B1C11" w:rsidRDefault="004E7BAF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0AF6" w14:textId="77777777" w:rsidR="005B1C11" w:rsidRDefault="004E7BAF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A290" w14:textId="77777777" w:rsidR="005B1C11" w:rsidRDefault="004E7BAF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B3C8" w14:textId="77777777" w:rsidR="005B1C11" w:rsidRDefault="004E7BAF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4FF6" w14:textId="77777777" w:rsidR="005B1C11" w:rsidRDefault="004E7BAF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AF"/>
    <w:rsid w:val="000D4074"/>
    <w:rsid w:val="001E4B73"/>
    <w:rsid w:val="004E7BAF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5FA2"/>
  <w15:chartTrackingRefBased/>
  <w15:docId w15:val="{A6ACE0BC-D176-41DE-8280-539F1928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AF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4E7BA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E7BAF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4E7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E7BAF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4E7BAF"/>
    <w:pPr>
      <w:spacing w:line="240" w:lineRule="auto"/>
      <w:ind w:left="200" w:hangingChars="200" w:hanging="200"/>
    </w:pPr>
  </w:style>
  <w:style w:type="character" w:customStyle="1" w:styleId="EndNoteBibliography0">
    <w:name w:val="EndNote Bibliography 字符"/>
    <w:basedOn w:val="DefaultParagraphFont"/>
    <w:link w:val="EndNoteBibliography"/>
    <w:qFormat/>
    <w:rsid w:val="004E7BAF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</Words>
  <Characters>667</Characters>
  <Application>Microsoft Office Word</Application>
  <DocSecurity>0</DocSecurity>
  <Lines>5</Lines>
  <Paragraphs>1</Paragraphs>
  <ScaleCrop>false</ScaleCrop>
  <Company>Springer Nature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2022-11-24T13:26:00Z</dcterms:created>
  <dcterms:modified xsi:type="dcterms:W3CDTF">2022-11-24T13:29:00Z</dcterms:modified>
</cp:coreProperties>
</file>