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09655" w14:textId="77777777" w:rsidR="006977EF" w:rsidRPr="00E51161" w:rsidRDefault="006977EF" w:rsidP="006977EF">
      <w:pPr>
        <w:ind w:firstLine="201"/>
        <w:jc w:val="center"/>
        <w:rPr>
          <w:rFonts w:eastAsia="SimHei" w:cs="Times New Roman"/>
          <w:sz w:val="18"/>
          <w:szCs w:val="18"/>
        </w:rPr>
      </w:pPr>
      <w:r w:rsidRPr="0090238C">
        <w:rPr>
          <w:rFonts w:cs="Times New Roman"/>
          <w:b/>
        </w:rPr>
        <w:t xml:space="preserve">Table A1 </w:t>
      </w:r>
      <w:r w:rsidRPr="00E51161">
        <w:rPr>
          <w:rFonts w:cs="Times New Roman"/>
        </w:rPr>
        <w:t>A descriptions of the variables used in our model</w:t>
      </w:r>
    </w:p>
    <w:tbl>
      <w:tblPr>
        <w:tblW w:w="5041" w:type="pct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7997"/>
      </w:tblGrid>
      <w:tr w:rsidR="006977EF" w:rsidRPr="002323B1" w14:paraId="733404E2" w14:textId="77777777" w:rsidTr="007F07B2">
        <w:trPr>
          <w:trHeight w:val="276"/>
        </w:trPr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11B9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4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BC12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Definitions</w:t>
            </w:r>
          </w:p>
        </w:tc>
      </w:tr>
      <w:tr w:rsidR="006977EF" w:rsidRPr="002323B1" w14:paraId="108A9FB4" w14:textId="77777777" w:rsidTr="007F07B2">
        <w:trPr>
          <w:trHeight w:val="276"/>
        </w:trPr>
        <w:tc>
          <w:tcPr>
            <w:tcW w:w="7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462B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54067">
              <w:rPr>
                <w:rFonts w:cs="Times New Roman"/>
                <w:color w:val="000000"/>
                <w:sz w:val="18"/>
                <w:szCs w:val="18"/>
              </w:rPr>
              <w:t>L</w:t>
            </w:r>
            <w:r w:rsidRPr="00B54067">
              <w:rPr>
                <w:rFonts w:cs="Times New Roman" w:hint="eastAsia"/>
                <w:color w:val="000000"/>
                <w:sz w:val="18"/>
                <w:szCs w:val="18"/>
              </w:rPr>
              <w:t>nincome</w:t>
            </w:r>
          </w:p>
        </w:tc>
        <w:tc>
          <w:tcPr>
            <w:tcW w:w="42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A109" w14:textId="77777777" w:rsidR="006977EF" w:rsidRPr="00B54067" w:rsidRDefault="006977EF" w:rsidP="007F07B2">
            <w:pPr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54067">
              <w:rPr>
                <w:rFonts w:cs="Times New Roman"/>
                <w:color w:val="000000"/>
                <w:sz w:val="18"/>
                <w:szCs w:val="18"/>
              </w:rPr>
              <w:t>The average monthly income of the main respondent is used to represent</w:t>
            </w:r>
            <w:r>
              <w:rPr>
                <w:rFonts w:cs="Times New Roman"/>
                <w:color w:val="000000"/>
                <w:sz w:val="18"/>
                <w:szCs w:val="18"/>
              </w:rPr>
              <w:t xml:space="preserve"> the income status of families</w:t>
            </w:r>
          </w:p>
        </w:tc>
      </w:tr>
      <w:tr w:rsidR="006977EF" w:rsidRPr="002323B1" w14:paraId="2743EFBE" w14:textId="77777777" w:rsidTr="007F07B2">
        <w:trPr>
          <w:trHeight w:val="276"/>
        </w:trPr>
        <w:tc>
          <w:tcPr>
            <w:tcW w:w="763" w:type="pct"/>
            <w:shd w:val="clear" w:color="auto" w:fill="auto"/>
            <w:noWrap/>
            <w:vAlign w:val="center"/>
            <w:hideMark/>
          </w:tcPr>
          <w:p w14:paraId="311D702B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4237" w:type="pct"/>
            <w:shd w:val="clear" w:color="auto" w:fill="auto"/>
            <w:noWrap/>
            <w:vAlign w:val="center"/>
            <w:hideMark/>
          </w:tcPr>
          <w:p w14:paraId="5164E8CD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54067">
              <w:rPr>
                <w:rFonts w:cs="Times New Roman"/>
                <w:color w:val="000000"/>
                <w:sz w:val="18"/>
                <w:szCs w:val="18"/>
              </w:rPr>
              <w:t>E</w:t>
            </w:r>
            <w:r w:rsidRPr="00B54067">
              <w:rPr>
                <w:rFonts w:cs="Times New Roman" w:hint="eastAsia"/>
                <w:color w:val="000000"/>
                <w:sz w:val="18"/>
                <w:szCs w:val="18"/>
              </w:rPr>
              <w:t>du</w:t>
            </w:r>
            <w:r w:rsidRPr="00B54067">
              <w:rPr>
                <w:rFonts w:cs="Times New Roman"/>
                <w:color w:val="000000"/>
                <w:sz w:val="18"/>
                <w:szCs w:val="18"/>
              </w:rPr>
              <w:t>cation year of the main respondent</w:t>
            </w:r>
          </w:p>
        </w:tc>
      </w:tr>
      <w:tr w:rsidR="006977EF" w:rsidRPr="002323B1" w14:paraId="7C40993A" w14:textId="77777777" w:rsidTr="007F07B2">
        <w:trPr>
          <w:trHeight w:val="276"/>
        </w:trPr>
        <w:tc>
          <w:tcPr>
            <w:tcW w:w="763" w:type="pct"/>
            <w:shd w:val="clear" w:color="auto" w:fill="auto"/>
            <w:noWrap/>
            <w:vAlign w:val="center"/>
            <w:hideMark/>
          </w:tcPr>
          <w:p w14:paraId="74511BBF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4237" w:type="pct"/>
            <w:shd w:val="clear" w:color="auto" w:fill="auto"/>
            <w:noWrap/>
            <w:vAlign w:val="center"/>
            <w:hideMark/>
          </w:tcPr>
          <w:p w14:paraId="66A2526A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54067">
              <w:rPr>
                <w:rFonts w:cs="Times New Roman"/>
                <w:color w:val="000000"/>
                <w:sz w:val="18"/>
                <w:szCs w:val="18"/>
              </w:rPr>
              <w:t>The age of the main respondent</w:t>
            </w:r>
          </w:p>
        </w:tc>
      </w:tr>
      <w:tr w:rsidR="006977EF" w:rsidRPr="002323B1" w14:paraId="52E5162D" w14:textId="77777777" w:rsidTr="007F07B2">
        <w:trPr>
          <w:trHeight w:val="552"/>
        </w:trPr>
        <w:tc>
          <w:tcPr>
            <w:tcW w:w="763" w:type="pct"/>
            <w:shd w:val="clear" w:color="auto" w:fill="auto"/>
            <w:noWrap/>
            <w:vAlign w:val="center"/>
            <w:hideMark/>
          </w:tcPr>
          <w:p w14:paraId="5543356A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Rural</w:t>
            </w:r>
          </w:p>
        </w:tc>
        <w:tc>
          <w:tcPr>
            <w:tcW w:w="4237" w:type="pct"/>
            <w:shd w:val="clear" w:color="auto" w:fill="auto"/>
            <w:vAlign w:val="center"/>
            <w:hideMark/>
          </w:tcPr>
          <w:p w14:paraId="0E64FA5A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54067">
              <w:rPr>
                <w:rFonts w:cs="Times New Roman"/>
                <w:color w:val="000000"/>
                <w:sz w:val="18"/>
                <w:szCs w:val="18"/>
              </w:rPr>
              <w:t>A dummy variable that equals to 1 if the main respondent has a rural household registration and equals to 0 if the main respondent has an urban household registration</w:t>
            </w:r>
          </w:p>
        </w:tc>
      </w:tr>
      <w:tr w:rsidR="006977EF" w:rsidRPr="002323B1" w14:paraId="29344C9A" w14:textId="77777777" w:rsidTr="007F07B2">
        <w:trPr>
          <w:trHeight w:val="288"/>
        </w:trPr>
        <w:tc>
          <w:tcPr>
            <w:tcW w:w="763" w:type="pct"/>
            <w:shd w:val="clear" w:color="auto" w:fill="auto"/>
            <w:noWrap/>
            <w:vAlign w:val="center"/>
            <w:hideMark/>
          </w:tcPr>
          <w:p w14:paraId="3990A120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4237" w:type="pct"/>
            <w:shd w:val="clear" w:color="auto" w:fill="auto"/>
            <w:noWrap/>
            <w:vAlign w:val="center"/>
            <w:hideMark/>
          </w:tcPr>
          <w:p w14:paraId="7C822E39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54067">
              <w:rPr>
                <w:rFonts w:cs="Times New Roman"/>
                <w:color w:val="000000"/>
                <w:sz w:val="18"/>
                <w:szCs w:val="18"/>
              </w:rPr>
              <w:t>A dummy variable that equals to 1 if the main respondent is male and 0 if the main respondent is female</w:t>
            </w:r>
          </w:p>
        </w:tc>
      </w:tr>
      <w:tr w:rsidR="006977EF" w:rsidRPr="002323B1" w14:paraId="53BAD1AC" w14:textId="77777777" w:rsidTr="007F07B2">
        <w:trPr>
          <w:trHeight w:val="276"/>
        </w:trPr>
        <w:tc>
          <w:tcPr>
            <w:tcW w:w="763" w:type="pct"/>
            <w:shd w:val="clear" w:color="auto" w:fill="auto"/>
            <w:noWrap/>
            <w:vAlign w:val="center"/>
            <w:hideMark/>
          </w:tcPr>
          <w:p w14:paraId="566B6837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4237" w:type="pct"/>
            <w:shd w:val="clear" w:color="auto" w:fill="auto"/>
            <w:noWrap/>
            <w:vAlign w:val="center"/>
            <w:hideMark/>
          </w:tcPr>
          <w:p w14:paraId="7189EFA0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54067">
              <w:rPr>
                <w:rFonts w:cs="Times New Roman"/>
                <w:color w:val="000000"/>
                <w:sz w:val="18"/>
                <w:szCs w:val="18"/>
              </w:rPr>
              <w:t>A dummy variable that equals to 1 if the main respondent is married and equals to 0 if the main respondent is single</w:t>
            </w:r>
          </w:p>
        </w:tc>
      </w:tr>
      <w:tr w:rsidR="006977EF" w:rsidRPr="002323B1" w14:paraId="430973E4" w14:textId="77777777" w:rsidTr="007F07B2">
        <w:trPr>
          <w:trHeight w:val="276"/>
        </w:trPr>
        <w:tc>
          <w:tcPr>
            <w:tcW w:w="763" w:type="pct"/>
            <w:shd w:val="clear" w:color="auto" w:fill="auto"/>
            <w:noWrap/>
            <w:vAlign w:val="center"/>
            <w:hideMark/>
          </w:tcPr>
          <w:p w14:paraId="410A99C3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Loans</w:t>
            </w:r>
          </w:p>
        </w:tc>
        <w:tc>
          <w:tcPr>
            <w:tcW w:w="4237" w:type="pct"/>
            <w:shd w:val="clear" w:color="auto" w:fill="auto"/>
            <w:noWrap/>
            <w:vAlign w:val="center"/>
            <w:hideMark/>
          </w:tcPr>
          <w:p w14:paraId="4EB9A55B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54067">
              <w:rPr>
                <w:rFonts w:cs="Times New Roman"/>
                <w:color w:val="000000"/>
                <w:sz w:val="18"/>
                <w:szCs w:val="18"/>
              </w:rPr>
              <w:t xml:space="preserve">A dummy variable that equals to 1 if the main respondent </w:t>
            </w:r>
            <w:r w:rsidRPr="00B54067">
              <w:rPr>
                <w:rFonts w:cs="Times New Roman" w:hint="eastAsia"/>
                <w:color w:val="000000"/>
                <w:sz w:val="18"/>
                <w:szCs w:val="18"/>
              </w:rPr>
              <w:t>ha</w:t>
            </w:r>
            <w:r w:rsidRPr="00B54067">
              <w:rPr>
                <w:rFonts w:cs="Times New Roman"/>
                <w:color w:val="000000"/>
                <w:sz w:val="18"/>
                <w:szCs w:val="18"/>
              </w:rPr>
              <w:t>s a loan and equals to 0 otherwise</w:t>
            </w:r>
          </w:p>
        </w:tc>
      </w:tr>
      <w:tr w:rsidR="006977EF" w:rsidRPr="002323B1" w14:paraId="67A32150" w14:textId="77777777" w:rsidTr="007F07B2">
        <w:trPr>
          <w:trHeight w:val="276"/>
        </w:trPr>
        <w:tc>
          <w:tcPr>
            <w:tcW w:w="763" w:type="pct"/>
            <w:shd w:val="clear" w:color="auto" w:fill="auto"/>
            <w:noWrap/>
            <w:vAlign w:val="center"/>
            <w:hideMark/>
          </w:tcPr>
          <w:p w14:paraId="5CAFD7E1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Family Size</w:t>
            </w:r>
          </w:p>
        </w:tc>
        <w:tc>
          <w:tcPr>
            <w:tcW w:w="4237" w:type="pct"/>
            <w:shd w:val="clear" w:color="auto" w:fill="auto"/>
            <w:noWrap/>
            <w:vAlign w:val="center"/>
            <w:hideMark/>
          </w:tcPr>
          <w:p w14:paraId="60F9BBB6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54067">
              <w:rPr>
                <w:rFonts w:cs="Times New Roman"/>
                <w:color w:val="000000"/>
                <w:sz w:val="18"/>
                <w:szCs w:val="18"/>
              </w:rPr>
              <w:t>Number of family members of the main respondent</w:t>
            </w:r>
          </w:p>
        </w:tc>
      </w:tr>
      <w:tr w:rsidR="006977EF" w:rsidRPr="002323B1" w14:paraId="3803B037" w14:textId="77777777" w:rsidTr="007F07B2">
        <w:trPr>
          <w:trHeight w:val="123"/>
        </w:trPr>
        <w:tc>
          <w:tcPr>
            <w:tcW w:w="763" w:type="pct"/>
            <w:shd w:val="clear" w:color="auto" w:fill="auto"/>
            <w:noWrap/>
            <w:vAlign w:val="center"/>
            <w:hideMark/>
          </w:tcPr>
          <w:p w14:paraId="7841DEFD" w14:textId="77777777" w:rsidR="006977EF" w:rsidRPr="00B54067" w:rsidRDefault="006977EF" w:rsidP="007F07B2">
            <w:pPr>
              <w:ind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54067">
              <w:rPr>
                <w:rFonts w:cs="Times New Roman"/>
                <w:color w:val="000000"/>
                <w:sz w:val="18"/>
                <w:szCs w:val="18"/>
              </w:rPr>
              <w:t>FMP</w:t>
            </w:r>
          </w:p>
        </w:tc>
        <w:tc>
          <w:tcPr>
            <w:tcW w:w="4237" w:type="pct"/>
            <w:shd w:val="clear" w:color="auto" w:fill="auto"/>
            <w:noWrap/>
            <w:vAlign w:val="center"/>
            <w:hideMark/>
          </w:tcPr>
          <w:p w14:paraId="12148374" w14:textId="77777777" w:rsidR="006977EF" w:rsidRPr="00B54067" w:rsidRDefault="006977EF" w:rsidP="007F07B2">
            <w:pPr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54067">
              <w:rPr>
                <w:rFonts w:cs="Times New Roman"/>
                <w:color w:val="000000"/>
                <w:sz w:val="18"/>
                <w:szCs w:val="18"/>
              </w:rPr>
              <w:t>A dummy variable that equals to 1 if the main respondent participates in the formal financial market and equals to 0 otherwise</w:t>
            </w:r>
          </w:p>
        </w:tc>
      </w:tr>
    </w:tbl>
    <w:p w14:paraId="008BF4DE" w14:textId="77777777" w:rsidR="006977EF" w:rsidRDefault="006977EF" w:rsidP="006977EF">
      <w:pPr>
        <w:widowControl/>
        <w:ind w:firstLineChars="0" w:firstLine="0"/>
        <w:jc w:val="left"/>
        <w:rPr>
          <w:color w:val="000000" w:themeColor="text1"/>
          <w:u w:color="FA5050"/>
        </w:rPr>
      </w:pPr>
    </w:p>
    <w:p w14:paraId="143D95AF" w14:textId="77777777" w:rsidR="006977EF" w:rsidRDefault="006977EF" w:rsidP="006977EF">
      <w:pPr>
        <w:widowControl/>
        <w:ind w:firstLineChars="0" w:firstLine="0"/>
        <w:jc w:val="left"/>
        <w:rPr>
          <w:color w:val="000000" w:themeColor="text1"/>
          <w:u w:color="FA5050"/>
        </w:rPr>
      </w:pPr>
    </w:p>
    <w:p w14:paraId="6F0C1FF8" w14:textId="71D092EF" w:rsidR="00755780" w:rsidRPr="006977EF" w:rsidRDefault="00755780" w:rsidP="006977EF">
      <w:pPr>
        <w:widowControl/>
        <w:ind w:firstLineChars="0" w:firstLine="0"/>
        <w:jc w:val="left"/>
        <w:rPr>
          <w:color w:val="000000" w:themeColor="text1"/>
          <w:u w:color="FA5050"/>
        </w:rPr>
      </w:pPr>
    </w:p>
    <w:sectPr w:rsidR="00755780" w:rsidRPr="00697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EF"/>
    <w:rsid w:val="006977EF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D6A2"/>
  <w15:chartTrackingRefBased/>
  <w15:docId w15:val="{57FFB8B4-012B-4A64-80DA-549DB1AD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7EF"/>
    <w:pPr>
      <w:widowControl w:val="0"/>
      <w:spacing w:after="0" w:line="240" w:lineRule="auto"/>
      <w:ind w:firstLineChars="100" w:firstLine="100"/>
      <w:jc w:val="both"/>
    </w:pPr>
    <w:rPr>
      <w:rFonts w:ascii="Times New Roman" w:eastAsia="SimSun" w:hAnsi="Times New Roman" w:cs="SimSun"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>Springer Nature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2022-12-07T11:41:00Z</dcterms:created>
  <dcterms:modified xsi:type="dcterms:W3CDTF">2022-12-07T11:41:00Z</dcterms:modified>
</cp:coreProperties>
</file>