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19F55" w14:textId="1AE7CAD4" w:rsidR="004309A7" w:rsidRPr="0068267D" w:rsidRDefault="004309A7" w:rsidP="004309A7">
      <w:pPr>
        <w:spacing w:before="240" w:line="480" w:lineRule="auto"/>
        <w:rPr>
          <w:rFonts w:ascii="Arial" w:hAnsi="Arial" w:cs="Arial"/>
          <w:b/>
          <w:sz w:val="24"/>
        </w:rPr>
      </w:pPr>
      <w:r w:rsidRPr="0068267D">
        <w:rPr>
          <w:rFonts w:ascii="Arial" w:hAnsi="Arial" w:cs="Arial"/>
          <w:b/>
          <w:sz w:val="24"/>
        </w:rPr>
        <w:t>Supplementary figures</w:t>
      </w:r>
    </w:p>
    <w:p w14:paraId="672CAF37" w14:textId="71AAB104" w:rsidR="00A858B6" w:rsidRPr="0068267D" w:rsidRDefault="00A858B6" w:rsidP="00A858B6">
      <w:pPr>
        <w:spacing w:before="240" w:line="276" w:lineRule="auto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drawing>
          <wp:inline distT="0" distB="0" distL="0" distR="0" wp14:anchorId="60A47C7C" wp14:editId="38535C1E">
            <wp:extent cx="5731510" cy="6122670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2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58B6">
        <w:rPr>
          <w:rFonts w:ascii="Arial" w:hAnsi="Arial" w:cs="Arial"/>
          <w:b/>
          <w:sz w:val="22"/>
        </w:rPr>
        <w:t xml:space="preserve"> </w:t>
      </w:r>
      <w:r w:rsidRPr="0068267D">
        <w:rPr>
          <w:rFonts w:ascii="Arial" w:hAnsi="Arial" w:cs="Arial"/>
          <w:b/>
          <w:sz w:val="22"/>
        </w:rPr>
        <w:t>Figure S1. IFN-γ does not affect the expression of CD80 or CD86 on corneal stromal fibroblasts.</w:t>
      </w:r>
    </w:p>
    <w:p w14:paraId="384AC3FF" w14:textId="77777777" w:rsidR="00A858B6" w:rsidRPr="00AF5D31" w:rsidRDefault="00A858B6" w:rsidP="00A858B6">
      <w:pPr>
        <w:spacing w:before="240" w:line="276" w:lineRule="auto"/>
        <w:jc w:val="left"/>
        <w:rPr>
          <w:rFonts w:ascii="Arial" w:hAnsi="Arial" w:cs="Arial"/>
          <w:sz w:val="22"/>
        </w:rPr>
      </w:pPr>
      <w:r w:rsidRPr="0068267D">
        <w:rPr>
          <w:rFonts w:ascii="Arial" w:hAnsi="Arial" w:cs="Arial"/>
          <w:sz w:val="22"/>
        </w:rPr>
        <w:t xml:space="preserve">Representative flow cytometry histograms and quantitative results </w:t>
      </w:r>
      <w:r w:rsidRPr="00AF5D31">
        <w:rPr>
          <w:rFonts w:ascii="Arial" w:hAnsi="Arial" w:cs="Arial"/>
          <w:sz w:val="22"/>
        </w:rPr>
        <w:t>of CD80 (A) and CD86 (B) in human corneal stromal fibroblasts treated with IFN-γ or IL-17</w:t>
      </w:r>
      <w:r w:rsidRPr="00AF5D31">
        <w:rPr>
          <w:rFonts w:ascii="Arial" w:eastAsia="맑은 고딕" w:hAnsi="Arial" w:cs="Arial"/>
          <w:sz w:val="22"/>
        </w:rPr>
        <w:t>. M</w:t>
      </w:r>
      <w:r w:rsidRPr="00AF5D31">
        <w:rPr>
          <w:rFonts w:ascii="Arial" w:hAnsi="Arial" w:cs="Arial"/>
          <w:sz w:val="22"/>
        </w:rPr>
        <w:t xml:space="preserve">ean values </w:t>
      </w:r>
      <w:r w:rsidRPr="00AF5D31">
        <w:rPr>
          <w:rFonts w:ascii="Arial" w:eastAsia="맑은 고딕" w:hAnsi="Arial" w:cs="Arial"/>
          <w:sz w:val="22"/>
        </w:rPr>
        <w:t>±</w:t>
      </w:r>
      <w:r w:rsidRPr="00AF5D31">
        <w:rPr>
          <w:rFonts w:ascii="Arial" w:hAnsi="Arial" w:cs="Arial"/>
          <w:sz w:val="22"/>
        </w:rPr>
        <w:t xml:space="preserve"> SD are presented. ns: not significant as analyzed by one-way ANOVA</w:t>
      </w:r>
    </w:p>
    <w:p w14:paraId="1BA4A7E5" w14:textId="39AC05CD" w:rsidR="004309A7" w:rsidRPr="0068267D" w:rsidRDefault="00A858B6" w:rsidP="00A858B6">
      <w:pPr>
        <w:spacing w:line="276" w:lineRule="auto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lastRenderedPageBreak/>
        <w:drawing>
          <wp:inline distT="0" distB="0" distL="0" distR="0" wp14:anchorId="176753F4" wp14:editId="17E51C5E">
            <wp:extent cx="5731510" cy="5198110"/>
            <wp:effectExtent l="0" t="0" r="2540" b="254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94579" w14:textId="77777777" w:rsidR="00A858B6" w:rsidRPr="0068267D" w:rsidRDefault="00A858B6" w:rsidP="00A858B6">
      <w:pPr>
        <w:spacing w:before="240" w:line="276" w:lineRule="auto"/>
        <w:jc w:val="left"/>
        <w:rPr>
          <w:rFonts w:ascii="Arial" w:hAnsi="Arial" w:cs="Arial"/>
          <w:sz w:val="22"/>
        </w:rPr>
      </w:pPr>
      <w:r w:rsidRPr="0068267D">
        <w:rPr>
          <w:rFonts w:ascii="Arial" w:hAnsi="Arial" w:cs="Arial"/>
          <w:b/>
          <w:sz w:val="22"/>
        </w:rPr>
        <w:t xml:space="preserve">Figure S2. IFN-γ does not </w:t>
      </w:r>
      <w:r>
        <w:rPr>
          <w:rFonts w:ascii="Arial" w:hAnsi="Arial" w:cs="Arial"/>
          <w:b/>
          <w:sz w:val="22"/>
        </w:rPr>
        <w:t>induce T cell infiltration into</w:t>
      </w:r>
      <w:r w:rsidRPr="0068267D">
        <w:rPr>
          <w:rFonts w:ascii="Arial" w:hAnsi="Arial" w:cs="Arial"/>
          <w:b/>
          <w:sz w:val="22"/>
        </w:rPr>
        <w:t xml:space="preserve"> the intraorbital lacrimal gland or Harderian gland. </w:t>
      </w:r>
    </w:p>
    <w:p w14:paraId="69EAF677" w14:textId="77777777" w:rsidR="00A858B6" w:rsidRPr="0068267D" w:rsidRDefault="00A858B6" w:rsidP="00A858B6">
      <w:pPr>
        <w:spacing w:before="240" w:line="276" w:lineRule="auto"/>
        <w:jc w:val="left"/>
        <w:rPr>
          <w:rFonts w:ascii="Arial" w:hAnsi="Arial" w:cs="Arial"/>
          <w:sz w:val="22"/>
        </w:rPr>
      </w:pPr>
      <w:r w:rsidRPr="0068267D">
        <w:rPr>
          <w:rFonts w:ascii="Arial" w:hAnsi="Arial" w:cs="Arial"/>
          <w:sz w:val="22"/>
        </w:rPr>
        <w:t xml:space="preserve">Representative microphotographs of CD3 immunostaining of intraorbital lacrimal gland and Harderian gland in mice 7 days after </w:t>
      </w:r>
      <w:r w:rsidRPr="0068267D">
        <w:rPr>
          <w:rFonts w:ascii="Arial" w:eastAsiaTheme="minorHAnsi" w:hAnsi="Arial" w:cs="Arial"/>
          <w:sz w:val="22"/>
        </w:rPr>
        <w:t xml:space="preserve">subconjunctival IFN-γ injection (10 or 100 </w:t>
      </w:r>
      <w:proofErr w:type="spellStart"/>
      <w:r w:rsidRPr="0068267D">
        <w:rPr>
          <w:rFonts w:ascii="Arial" w:eastAsiaTheme="minorHAnsi" w:hAnsi="Arial" w:cs="Arial"/>
          <w:sz w:val="22"/>
        </w:rPr>
        <w:t>μg</w:t>
      </w:r>
      <w:proofErr w:type="spellEnd"/>
      <w:r w:rsidRPr="0068267D">
        <w:rPr>
          <w:rFonts w:ascii="Arial" w:eastAsiaTheme="minorHAnsi" w:hAnsi="Arial" w:cs="Arial"/>
          <w:sz w:val="22"/>
        </w:rPr>
        <w:t>/</w:t>
      </w:r>
      <w:r>
        <w:rPr>
          <w:rFonts w:ascii="Arial" w:eastAsiaTheme="minorHAnsi" w:hAnsi="Arial" w:cs="Arial"/>
          <w:sz w:val="22"/>
        </w:rPr>
        <w:t>mL</w:t>
      </w:r>
      <w:r w:rsidRPr="0068267D">
        <w:rPr>
          <w:rFonts w:ascii="Arial" w:eastAsiaTheme="minorHAnsi" w:hAnsi="Arial" w:cs="Arial"/>
          <w:sz w:val="22"/>
        </w:rPr>
        <w:t>)</w:t>
      </w:r>
      <w:r w:rsidRPr="0068267D">
        <w:rPr>
          <w:rFonts w:ascii="Arial" w:hAnsi="Arial" w:cs="Arial"/>
          <w:sz w:val="22"/>
        </w:rPr>
        <w:t xml:space="preserve">. Magnification ×100. Scale bar: 200 </w:t>
      </w:r>
      <w:proofErr w:type="spellStart"/>
      <w:r w:rsidRPr="0068267D">
        <w:rPr>
          <w:rFonts w:ascii="Arial" w:eastAsia="맑은 고딕" w:hAnsi="Arial" w:cs="Arial"/>
          <w:sz w:val="22"/>
        </w:rPr>
        <w:t>μm</w:t>
      </w:r>
      <w:proofErr w:type="spellEnd"/>
      <w:r w:rsidRPr="0068267D">
        <w:rPr>
          <w:rFonts w:ascii="Arial" w:eastAsia="맑은 고딕" w:hAnsi="Arial" w:cs="Arial"/>
          <w:sz w:val="22"/>
        </w:rPr>
        <w:t xml:space="preserve"> </w:t>
      </w:r>
    </w:p>
    <w:p w14:paraId="1387F343" w14:textId="7E6F0AAB" w:rsidR="009A060D" w:rsidRDefault="00982930" w:rsidP="00A858B6">
      <w:pPr>
        <w:spacing w:before="240" w:line="276" w:lineRule="auto"/>
        <w:jc w:val="left"/>
      </w:pPr>
    </w:p>
    <w:sectPr w:rsidR="009A060D" w:rsidSect="00166528">
      <w:footerReference w:type="default" r:id="rId8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56705" w14:textId="77777777" w:rsidR="00982930" w:rsidRDefault="00982930">
      <w:pPr>
        <w:spacing w:after="0" w:line="240" w:lineRule="auto"/>
      </w:pPr>
      <w:r>
        <w:separator/>
      </w:r>
    </w:p>
  </w:endnote>
  <w:endnote w:type="continuationSeparator" w:id="0">
    <w:p w14:paraId="191B1DA4" w14:textId="77777777" w:rsidR="00982930" w:rsidRDefault="0098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6970464"/>
      <w:docPartObj>
        <w:docPartGallery w:val="Page Numbers (Bottom of Page)"/>
        <w:docPartUnique/>
      </w:docPartObj>
    </w:sdtPr>
    <w:sdtEndPr/>
    <w:sdtContent>
      <w:p w14:paraId="72CF3DCA" w14:textId="77777777" w:rsidR="00FC60F7" w:rsidRDefault="004309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38260BA" w14:textId="77777777" w:rsidR="00FC60F7" w:rsidRDefault="009829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66274" w14:textId="77777777" w:rsidR="00982930" w:rsidRDefault="00982930">
      <w:pPr>
        <w:spacing w:after="0" w:line="240" w:lineRule="auto"/>
      </w:pPr>
      <w:r>
        <w:separator/>
      </w:r>
    </w:p>
  </w:footnote>
  <w:footnote w:type="continuationSeparator" w:id="0">
    <w:p w14:paraId="7C26F968" w14:textId="77777777" w:rsidR="00982930" w:rsidRDefault="00982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9A7"/>
    <w:rsid w:val="004309A7"/>
    <w:rsid w:val="00982930"/>
    <w:rsid w:val="009A6099"/>
    <w:rsid w:val="009F767A"/>
    <w:rsid w:val="00A8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B2AB50"/>
  <w15:chartTrackingRefBased/>
  <w15:docId w15:val="{0305DE96-AA10-4896-A150-2DEE374B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9A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309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4309A7"/>
  </w:style>
  <w:style w:type="character" w:styleId="a4">
    <w:name w:val="line number"/>
    <w:basedOn w:val="a0"/>
    <w:uiPriority w:val="99"/>
    <w:semiHidden/>
    <w:unhideWhenUsed/>
    <w:rsid w:val="004309A7"/>
  </w:style>
  <w:style w:type="paragraph" w:styleId="a5">
    <w:name w:val="header"/>
    <w:basedOn w:val="a"/>
    <w:link w:val="Char0"/>
    <w:uiPriority w:val="99"/>
    <w:unhideWhenUsed/>
    <w:rsid w:val="00A858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85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2023-05-15T18:26:00Z</dcterms:created>
  <dcterms:modified xsi:type="dcterms:W3CDTF">2023-05-15T18:26:00Z</dcterms:modified>
</cp:coreProperties>
</file>