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718F2" w14:textId="77777777" w:rsidR="00B216A7" w:rsidRDefault="00B216A7" w:rsidP="00B216A7">
      <w:pPr>
        <w:jc w:val="center"/>
        <w:rPr>
          <w:bCs/>
          <w:sz w:val="52"/>
          <w:szCs w:val="52"/>
          <w:lang w:val="de-DE"/>
        </w:rPr>
      </w:pPr>
      <w:r>
        <w:rPr>
          <w:bCs/>
          <w:sz w:val="52"/>
          <w:szCs w:val="52"/>
          <w:lang w:val="de-DE"/>
        </w:rPr>
        <w:t>Supporting Information</w:t>
      </w:r>
    </w:p>
    <w:p w14:paraId="07C4B769" w14:textId="77777777" w:rsidR="00B216A7" w:rsidRDefault="00B216A7" w:rsidP="00B216A7">
      <w:pPr>
        <w:spacing w:beforeLines="50" w:before="120"/>
        <w:rPr>
          <w:rFonts w:eastAsia="MS Mincho"/>
          <w:b/>
          <w:bCs/>
          <w:sz w:val="36"/>
          <w:szCs w:val="36"/>
        </w:rPr>
      </w:pPr>
      <w:r>
        <w:rPr>
          <w:rFonts w:eastAsia="MS Mincho"/>
          <w:b/>
          <w:bCs/>
          <w:sz w:val="36"/>
          <w:szCs w:val="36"/>
        </w:rPr>
        <w:t>Neutrophil-targeted Mn</w:t>
      </w:r>
      <w:r>
        <w:rPr>
          <w:rFonts w:eastAsia="MS Mincho"/>
          <w:b/>
          <w:bCs/>
          <w:sz w:val="36"/>
          <w:szCs w:val="36"/>
          <w:vertAlign w:val="subscript"/>
        </w:rPr>
        <w:t>3</w:t>
      </w:r>
      <w:r>
        <w:rPr>
          <w:rFonts w:eastAsia="MS Mincho"/>
          <w:b/>
          <w:bCs/>
          <w:sz w:val="36"/>
          <w:szCs w:val="36"/>
        </w:rPr>
        <w:t>O</w:t>
      </w:r>
      <w:r>
        <w:rPr>
          <w:rFonts w:eastAsia="MS Mincho"/>
          <w:b/>
          <w:bCs/>
          <w:sz w:val="36"/>
          <w:szCs w:val="36"/>
          <w:vertAlign w:val="subscript"/>
        </w:rPr>
        <w:t>4</w:t>
      </w:r>
      <w:r>
        <w:rPr>
          <w:rFonts w:eastAsia="MS Mincho"/>
          <w:b/>
          <w:bCs/>
          <w:sz w:val="36"/>
          <w:szCs w:val="36"/>
        </w:rPr>
        <w:t xml:space="preserve"> nanozyme treats myocardial ischemia reperfusion injury by scavenging reactive oxygen species</w:t>
      </w:r>
    </w:p>
    <w:p w14:paraId="20BCF32A" w14:textId="77777777" w:rsidR="00B216A7" w:rsidRDefault="00B216A7" w:rsidP="00B216A7">
      <w:pPr>
        <w:spacing w:beforeLines="50" w:before="120"/>
        <w:rPr>
          <w:rFonts w:eastAsia="MS Mincho"/>
          <w:kern w:val="0"/>
          <w:sz w:val="20"/>
          <w:szCs w:val="20"/>
        </w:rPr>
      </w:pPr>
      <w:r>
        <w:rPr>
          <w:rFonts w:eastAsia="MS Mincho"/>
          <w:kern w:val="0"/>
          <w:sz w:val="20"/>
          <w:szCs w:val="20"/>
        </w:rPr>
        <w:t>Fu-hang Wang</w:t>
      </w:r>
      <w:r>
        <w:rPr>
          <w:rFonts w:eastAsia="MS Mincho"/>
          <w:b/>
          <w:bCs/>
          <w:kern w:val="0"/>
          <w:sz w:val="20"/>
          <w:szCs w:val="20"/>
          <w:vertAlign w:val="superscript"/>
        </w:rPr>
        <w:t>1#</w:t>
      </w:r>
      <w:r>
        <w:rPr>
          <w:rFonts w:eastAsia="MS Mincho"/>
          <w:kern w:val="0"/>
          <w:sz w:val="20"/>
          <w:szCs w:val="20"/>
        </w:rPr>
        <w:t>, Dong-</w:t>
      </w:r>
      <w:proofErr w:type="spellStart"/>
      <w:r>
        <w:rPr>
          <w:rFonts w:eastAsia="MS Mincho"/>
          <w:kern w:val="0"/>
          <w:sz w:val="20"/>
          <w:szCs w:val="20"/>
        </w:rPr>
        <w:t>jian</w:t>
      </w:r>
      <w:proofErr w:type="spellEnd"/>
      <w:r>
        <w:rPr>
          <w:rFonts w:eastAsia="MS Mincho"/>
          <w:kern w:val="0"/>
          <w:sz w:val="20"/>
          <w:szCs w:val="20"/>
        </w:rPr>
        <w:t xml:space="preserve"> Han</w:t>
      </w:r>
      <w:r>
        <w:rPr>
          <w:rFonts w:eastAsia="MS Mincho"/>
          <w:b/>
          <w:bCs/>
          <w:kern w:val="0"/>
          <w:sz w:val="20"/>
          <w:szCs w:val="20"/>
          <w:vertAlign w:val="superscript"/>
        </w:rPr>
        <w:t>1#</w:t>
      </w:r>
      <w:r>
        <w:rPr>
          <w:rFonts w:eastAsia="MS Mincho"/>
          <w:kern w:val="0"/>
          <w:sz w:val="20"/>
          <w:szCs w:val="20"/>
        </w:rPr>
        <w:t>, Zhen-</w:t>
      </w:r>
      <w:proofErr w:type="spellStart"/>
      <w:r>
        <w:rPr>
          <w:rFonts w:eastAsia="MS Mincho"/>
          <w:kern w:val="0"/>
          <w:sz w:val="20"/>
          <w:szCs w:val="20"/>
        </w:rPr>
        <w:t>tao</w:t>
      </w:r>
      <w:proofErr w:type="spellEnd"/>
      <w:r>
        <w:rPr>
          <w:rFonts w:eastAsia="MS Mincho"/>
          <w:kern w:val="0"/>
          <w:sz w:val="20"/>
          <w:szCs w:val="20"/>
        </w:rPr>
        <w:t xml:space="preserve"> Qiao</w:t>
      </w:r>
      <w:r>
        <w:rPr>
          <w:rFonts w:eastAsia="MS Mincho"/>
          <w:kern w:val="0"/>
          <w:sz w:val="20"/>
          <w:szCs w:val="20"/>
          <w:vertAlign w:val="superscript"/>
        </w:rPr>
        <w:t>2</w:t>
      </w:r>
      <w:r>
        <w:rPr>
          <w:rFonts w:eastAsia="MS Mincho"/>
          <w:kern w:val="0"/>
          <w:sz w:val="20"/>
          <w:szCs w:val="20"/>
        </w:rPr>
        <w:t>, Yuan-song Zhuang</w:t>
      </w:r>
      <w:r>
        <w:rPr>
          <w:rFonts w:eastAsia="MS Mincho"/>
          <w:kern w:val="0"/>
          <w:sz w:val="20"/>
          <w:szCs w:val="20"/>
          <w:vertAlign w:val="superscript"/>
        </w:rPr>
        <w:t>1</w:t>
      </w:r>
      <w:r>
        <w:rPr>
          <w:rFonts w:eastAsia="MS Mincho"/>
          <w:kern w:val="0"/>
          <w:sz w:val="20"/>
          <w:szCs w:val="20"/>
        </w:rPr>
        <w:t>, Yi Zhang</w:t>
      </w:r>
      <w:r>
        <w:rPr>
          <w:rFonts w:eastAsia="MS Mincho"/>
          <w:kern w:val="0"/>
          <w:sz w:val="20"/>
          <w:szCs w:val="20"/>
          <w:vertAlign w:val="superscript"/>
        </w:rPr>
        <w:t>1</w:t>
      </w:r>
      <w:r>
        <w:rPr>
          <w:rFonts w:eastAsia="MS Mincho"/>
          <w:kern w:val="0"/>
          <w:sz w:val="20"/>
          <w:szCs w:val="20"/>
        </w:rPr>
        <w:t>, Qing-</w:t>
      </w:r>
      <w:proofErr w:type="spellStart"/>
      <w:r>
        <w:rPr>
          <w:rFonts w:eastAsia="MS Mincho"/>
          <w:kern w:val="0"/>
          <w:sz w:val="20"/>
          <w:szCs w:val="20"/>
        </w:rPr>
        <w:t>jiao</w:t>
      </w:r>
      <w:proofErr w:type="spellEnd"/>
      <w:r>
        <w:rPr>
          <w:rFonts w:eastAsia="MS Mincho"/>
          <w:kern w:val="0"/>
          <w:sz w:val="20"/>
          <w:szCs w:val="20"/>
        </w:rPr>
        <w:t xml:space="preserve"> Jiang</w:t>
      </w:r>
      <w:r>
        <w:rPr>
          <w:rFonts w:eastAsia="MS Mincho"/>
          <w:kern w:val="0"/>
          <w:sz w:val="20"/>
          <w:szCs w:val="20"/>
          <w:vertAlign w:val="superscript"/>
        </w:rPr>
        <w:t>1</w:t>
      </w:r>
      <w:r>
        <w:rPr>
          <w:rFonts w:eastAsia="MS Mincho"/>
          <w:kern w:val="0"/>
          <w:sz w:val="20"/>
          <w:szCs w:val="20"/>
        </w:rPr>
        <w:t>, Miao-</w:t>
      </w:r>
      <w:proofErr w:type="spellStart"/>
      <w:r>
        <w:rPr>
          <w:rFonts w:eastAsia="MS Mincho"/>
          <w:kern w:val="0"/>
          <w:sz w:val="20"/>
          <w:szCs w:val="20"/>
        </w:rPr>
        <w:t>miao</w:t>
      </w:r>
      <w:proofErr w:type="spellEnd"/>
      <w:r>
        <w:rPr>
          <w:rFonts w:eastAsia="MS Mincho"/>
          <w:kern w:val="0"/>
          <w:sz w:val="20"/>
          <w:szCs w:val="20"/>
        </w:rPr>
        <w:t xml:space="preserve"> Liu</w:t>
      </w:r>
      <w:r>
        <w:rPr>
          <w:rFonts w:eastAsia="MS Mincho"/>
          <w:kern w:val="0"/>
          <w:sz w:val="20"/>
          <w:szCs w:val="20"/>
          <w:vertAlign w:val="superscript"/>
        </w:rPr>
        <w:t>1</w:t>
      </w:r>
      <w:r>
        <w:rPr>
          <w:rFonts w:eastAsia="MS Mincho"/>
          <w:kern w:val="0"/>
          <w:sz w:val="20"/>
          <w:szCs w:val="20"/>
        </w:rPr>
        <w:t>, Quan-xu An</w:t>
      </w:r>
      <w:r>
        <w:rPr>
          <w:rFonts w:eastAsia="MS Mincho"/>
          <w:kern w:val="0"/>
          <w:sz w:val="20"/>
          <w:szCs w:val="20"/>
          <w:vertAlign w:val="superscript"/>
        </w:rPr>
        <w:t>1</w:t>
      </w:r>
      <w:r>
        <w:rPr>
          <w:rFonts w:eastAsia="MS Mincho"/>
          <w:kern w:val="0"/>
          <w:sz w:val="20"/>
          <w:szCs w:val="20"/>
        </w:rPr>
        <w:t>, De-liang Shen</w:t>
      </w:r>
      <w:r>
        <w:rPr>
          <w:rFonts w:eastAsia="MS Mincho"/>
          <w:b/>
          <w:bCs/>
          <w:kern w:val="0"/>
          <w:sz w:val="20"/>
          <w:szCs w:val="20"/>
          <w:vertAlign w:val="superscript"/>
        </w:rPr>
        <w:t>1</w:t>
      </w:r>
      <w:r>
        <w:rPr>
          <w:rFonts w:eastAsia="MS Mincho"/>
          <w:color w:val="3B659D"/>
          <w:spacing w:val="-4"/>
          <w:kern w:val="0"/>
          <w:sz w:val="20"/>
          <w:szCs w:val="20"/>
        </w:rPr>
        <w:t>(</w:t>
      </w:r>
      <w:r>
        <w:rPr>
          <w:rFonts w:eastAsia="MS Mincho"/>
          <w:b/>
          <w:bCs/>
          <w:color w:val="3B659D"/>
          <w:spacing w:val="-4"/>
          <w:w w:val="130"/>
          <w:kern w:val="0"/>
          <w:position w:val="-2"/>
          <w:sz w:val="20"/>
          <w:szCs w:val="20"/>
        </w:rPr>
        <w:sym w:font="Wingdings" w:char="F02A"/>
      </w:r>
      <w:r>
        <w:rPr>
          <w:rFonts w:eastAsia="MS Mincho"/>
          <w:color w:val="3B659D"/>
          <w:spacing w:val="-4"/>
          <w:kern w:val="0"/>
          <w:sz w:val="20"/>
          <w:szCs w:val="20"/>
        </w:rPr>
        <w:t>)</w:t>
      </w:r>
    </w:p>
    <w:p w14:paraId="0BC958B2" w14:textId="77777777" w:rsidR="00B216A7" w:rsidRDefault="00B216A7" w:rsidP="00B216A7">
      <w:pPr>
        <w:rPr>
          <w:rFonts w:eastAsia="DengXian"/>
          <w:color w:val="000000"/>
          <w:sz w:val="24"/>
        </w:rPr>
      </w:pPr>
    </w:p>
    <w:p w14:paraId="465C4E40" w14:textId="77777777" w:rsidR="00B216A7" w:rsidRDefault="00B216A7" w:rsidP="00B216A7">
      <w:pPr>
        <w:rPr>
          <w:rFonts w:eastAsia="MS Mincho"/>
          <w:sz w:val="18"/>
          <w:szCs w:val="18"/>
        </w:rPr>
      </w:pPr>
      <w:r>
        <w:rPr>
          <w:rFonts w:eastAsia="MS Mincho"/>
          <w:sz w:val="18"/>
          <w:szCs w:val="18"/>
          <w:vertAlign w:val="superscript"/>
        </w:rPr>
        <w:t>1</w:t>
      </w:r>
      <w:r>
        <w:rPr>
          <w:rFonts w:eastAsia="MS Mincho"/>
          <w:sz w:val="18"/>
          <w:szCs w:val="18"/>
        </w:rPr>
        <w:t xml:space="preserve">Department of Cardiology, The First Affiliated Hospital of Zhengzhou University, Zhengzhou, 450052, China. </w:t>
      </w:r>
    </w:p>
    <w:p w14:paraId="5E32BFD2" w14:textId="77777777" w:rsidR="00B216A7" w:rsidRDefault="00B216A7" w:rsidP="00B216A7">
      <w:pPr>
        <w:rPr>
          <w:rFonts w:eastAsia="MS Mincho"/>
          <w:sz w:val="18"/>
          <w:szCs w:val="18"/>
        </w:rPr>
      </w:pPr>
      <w:r>
        <w:rPr>
          <w:rFonts w:eastAsia="MS Mincho"/>
          <w:sz w:val="18"/>
          <w:szCs w:val="18"/>
          <w:vertAlign w:val="superscript"/>
        </w:rPr>
        <w:t>2</w:t>
      </w:r>
      <w:r>
        <w:rPr>
          <w:rFonts w:eastAsia="MS Mincho"/>
          <w:sz w:val="18"/>
          <w:szCs w:val="18"/>
        </w:rPr>
        <w:t>Department of Vascular and Endovascular Surgery, The First Affiliated Hospital of Zhengzhou University, Zhengzhou, 450052, China.</w:t>
      </w:r>
    </w:p>
    <w:p w14:paraId="5BF5BB92" w14:textId="77777777" w:rsidR="00B216A7" w:rsidRDefault="00B216A7" w:rsidP="00B216A7">
      <w:pPr>
        <w:rPr>
          <w:rFonts w:eastAsia="MS Mincho"/>
          <w:sz w:val="18"/>
          <w:szCs w:val="18"/>
        </w:rPr>
      </w:pPr>
    </w:p>
    <w:p w14:paraId="7D29B989" w14:textId="77777777" w:rsidR="00B216A7" w:rsidRDefault="00B216A7" w:rsidP="00B216A7">
      <w:pPr>
        <w:pStyle w:val="2019ZW1"/>
        <w:spacing w:line="240" w:lineRule="auto"/>
        <w:ind w:firstLineChars="0" w:firstLine="0"/>
        <w:rPr>
          <w:rFonts w:ascii="Times New Roman" w:eastAsia="Verdana-Bold" w:hAnsi="Times New Roman" w:cs="Times New Roman"/>
        </w:rPr>
      </w:pPr>
      <w:r>
        <w:rPr>
          <w:rFonts w:ascii="Times New Roman" w:eastAsia="Verdana-Bold" w:hAnsi="Times New Roman" w:cs="Times New Roman"/>
          <w:vertAlign w:val="superscript"/>
        </w:rPr>
        <w:t>#</w:t>
      </w:r>
      <w:r>
        <w:rPr>
          <w:rFonts w:ascii="Times New Roman" w:eastAsia="Verdana-Bold" w:hAnsi="Times New Roman" w:cs="Times New Roman"/>
        </w:rPr>
        <w:t>These authors contributed equally to this work.</w:t>
      </w:r>
    </w:p>
    <w:p w14:paraId="44BFB362" w14:textId="77777777" w:rsidR="00B216A7" w:rsidRDefault="00B216A7" w:rsidP="00B216A7">
      <w:pPr>
        <w:pStyle w:val="2019ZW1"/>
        <w:spacing w:line="240" w:lineRule="auto"/>
        <w:ind w:firstLineChars="0" w:firstLine="0"/>
        <w:rPr>
          <w:rFonts w:ascii="Times New Roman" w:eastAsia="Verdana-Bold" w:hAnsi="Times New Roman" w:cs="Times New Roman"/>
        </w:rPr>
      </w:pPr>
      <w:r>
        <w:rPr>
          <w:rFonts w:ascii="Times New Roman" w:eastAsia="MS Mincho" w:hAnsi="Times New Roman" w:cs="Times New Roman"/>
          <w:color w:val="3B659D"/>
          <w:spacing w:val="-4"/>
          <w:kern w:val="0"/>
          <w:sz w:val="20"/>
        </w:rPr>
        <w:t>(</w:t>
      </w:r>
      <w:r>
        <w:rPr>
          <w:rFonts w:ascii="Times New Roman" w:eastAsia="MS Mincho" w:hAnsi="Times New Roman" w:cs="Times New Roman"/>
          <w:b/>
          <w:bCs/>
          <w:color w:val="3B659D"/>
          <w:spacing w:val="-4"/>
          <w:w w:val="130"/>
          <w:kern w:val="0"/>
          <w:position w:val="-2"/>
          <w:sz w:val="20"/>
        </w:rPr>
        <w:sym w:font="Wingdings" w:char="F02A"/>
      </w:r>
      <w:r>
        <w:rPr>
          <w:rFonts w:ascii="Times New Roman" w:eastAsia="MS Mincho" w:hAnsi="Times New Roman" w:cs="Times New Roman"/>
          <w:color w:val="3B659D"/>
          <w:spacing w:val="-4"/>
          <w:kern w:val="0"/>
          <w:sz w:val="20"/>
        </w:rPr>
        <w:t>)</w:t>
      </w:r>
      <w:r>
        <w:rPr>
          <w:rFonts w:ascii="Times New Roman" w:eastAsia="Verdana-Bold" w:hAnsi="Times New Roman" w:cs="Times New Roman"/>
        </w:rPr>
        <w:t>Corresponding author.     E-mail address: dlshen@zzu.edu.cn (DL. Shen)</w:t>
      </w:r>
    </w:p>
    <w:p w14:paraId="09517EC3" w14:textId="77777777" w:rsidR="00B216A7" w:rsidRDefault="00B216A7" w:rsidP="00B216A7">
      <w:pPr>
        <w:spacing w:line="254" w:lineRule="exact"/>
        <w:rPr>
          <w:color w:val="FFFFFF"/>
        </w:rPr>
      </w:pPr>
    </w:p>
    <w:p w14:paraId="1678AF3F" w14:textId="2040FB2D" w:rsidR="00B216A7" w:rsidRDefault="00B216A7" w:rsidP="00B216A7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8D6478" wp14:editId="157763EB">
            <wp:extent cx="3847465" cy="26123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7C467" w14:textId="77777777" w:rsidR="00B216A7" w:rsidRDefault="00B216A7" w:rsidP="00B216A7">
      <w:pPr>
        <w:pStyle w:val="2019ZW1"/>
        <w:spacing w:beforeLines="50" w:before="120" w:afterLines="50" w:after="120"/>
        <w:ind w:firstLine="190"/>
        <w:jc w:val="left"/>
        <w:rPr>
          <w:rFonts w:ascii="Times New Roman" w:eastAsia="Verdana-Bold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Figure S1</w:t>
      </w:r>
      <w:r>
        <w:rPr>
          <w:rFonts w:ascii="Times New Roman" w:hAnsi="Times New Roman" w:cs="Times New Roman"/>
        </w:rPr>
        <w:t>. The cytotoxicity of Mn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was assessed by CCK-8.</w:t>
      </w:r>
    </w:p>
    <w:p w14:paraId="0C6665F5" w14:textId="269B59F7" w:rsidR="00B216A7" w:rsidRDefault="00B216A7" w:rsidP="00B216A7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1541103" wp14:editId="1B97B8DB">
            <wp:extent cx="3847465" cy="26123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26DE" w14:textId="77777777" w:rsidR="00B216A7" w:rsidRDefault="00B216A7" w:rsidP="00B216A7">
      <w:pPr>
        <w:pStyle w:val="2019ZW1"/>
        <w:spacing w:beforeLines="50" w:before="120" w:afterLines="50" w:after="120"/>
        <w:ind w:firstLine="19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Figure S2.</w:t>
      </w:r>
      <w:r>
        <w:rPr>
          <w:rFonts w:ascii="Times New Roman" w:hAnsi="Times New Roman" w:cs="Times New Roman"/>
        </w:rPr>
        <w:t xml:space="preserve"> The protective effect of Mn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to H</w:t>
      </w:r>
      <w:r>
        <w:rPr>
          <w:rFonts w:ascii="Times New Roman" w:hAnsi="Times New Roman" w:cs="Times New Roman"/>
          <w:vertAlign w:val="subscript"/>
        </w:rPr>
        <w:t>9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cell.</w:t>
      </w:r>
    </w:p>
    <w:p w14:paraId="0379FBB4" w14:textId="7D960715" w:rsidR="00B216A7" w:rsidRDefault="00B216A7" w:rsidP="00B216A7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1D4329" wp14:editId="1A7109EA">
            <wp:extent cx="5266690" cy="3889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9CED3" w14:textId="77777777" w:rsidR="00B216A7" w:rsidRDefault="00B216A7" w:rsidP="00B216A7">
      <w:pPr>
        <w:pStyle w:val="2019ZW1"/>
        <w:spacing w:beforeLines="50" w:before="120" w:afterLines="50" w:after="120" w:line="240" w:lineRule="auto"/>
        <w:ind w:firstLineChars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Figure S3. </w:t>
      </w:r>
      <w:r>
        <w:rPr>
          <w:rFonts w:ascii="Times New Roman" w:hAnsi="Times New Roman" w:cs="Times New Roman"/>
        </w:rPr>
        <w:t xml:space="preserve">Mitochondrial membrane potential was detected by JC-1 kit. scale bar: 200 </w:t>
      </w:r>
      <w:r>
        <w:rPr>
          <w:rFonts w:ascii="Times New Roman" w:hAnsi="Times New Roman" w:cs="Times New Roman"/>
        </w:rPr>
        <w:sym w:font="Symbol" w:char="F06D"/>
      </w:r>
      <w:r>
        <w:rPr>
          <w:rFonts w:ascii="Times New Roman" w:hAnsi="Times New Roman" w:cs="Times New Roman"/>
        </w:rPr>
        <w:t xml:space="preserve">m n=6 </w:t>
      </w:r>
    </w:p>
    <w:p w14:paraId="68407BD2" w14:textId="1EC7DBA3" w:rsidR="00B216A7" w:rsidRDefault="00B216A7" w:rsidP="00B216A7">
      <w:pPr>
        <w:pStyle w:val="2019ZW1"/>
        <w:spacing w:beforeLines="50" w:before="120" w:afterLines="50" w:after="120" w:line="240" w:lineRule="auto"/>
        <w:ind w:firstLine="19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AA62FAC" wp14:editId="22F4A76E">
            <wp:extent cx="2161540" cy="2695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B1B35" w14:textId="77777777" w:rsidR="00B216A7" w:rsidRDefault="00B216A7" w:rsidP="00B216A7">
      <w:pPr>
        <w:pStyle w:val="2019ZW1"/>
        <w:spacing w:line="240" w:lineRule="auto"/>
        <w:ind w:firstLineChars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S4. Quantification analysis of apoptosis ratio of myocardial tissue with different treatments.</w:t>
      </w:r>
    </w:p>
    <w:p w14:paraId="4CAF73A7" w14:textId="7F11272A" w:rsidR="00B216A7" w:rsidRDefault="00B216A7" w:rsidP="00B216A7">
      <w:pPr>
        <w:pStyle w:val="2019ZW1"/>
        <w:spacing w:beforeLines="50" w:before="120" w:afterLines="50" w:after="120"/>
        <w:ind w:firstLineChars="0" w:firstLine="0"/>
        <w:jc w:val="left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A56E82" wp14:editId="502A3A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265420" cy="201930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Figure S5.</w:t>
      </w:r>
      <w:r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</w:rPr>
        <w:t>Quantification analysis of liver and kidney function of mice with different treatments in 24 h.</w:t>
      </w:r>
    </w:p>
    <w:p w14:paraId="01F4BEBD" w14:textId="31D7A2FA" w:rsidR="00B216A7" w:rsidRDefault="00B216A7" w:rsidP="00B216A7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47FAC2B" wp14:editId="755AA778">
            <wp:extent cx="5266690" cy="367538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0FCF" w14:textId="77777777" w:rsidR="00B216A7" w:rsidRDefault="00B216A7" w:rsidP="00B216A7">
      <w:pPr>
        <w:pStyle w:val="2019ZW1"/>
        <w:spacing w:beforeLines="50" w:before="120" w:afterLines="50" w:after="120"/>
        <w:ind w:firstLineChars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S6.</w:t>
      </w:r>
      <w:r>
        <w:rPr>
          <w:rFonts w:ascii="Times New Roman" w:hAnsi="Times New Roman" w:cs="Times New Roman"/>
          <w:lang w:val="de-DE"/>
        </w:rPr>
        <w:t xml:space="preserve"> HE staining of major organs of mice 24 h after injection with PBS, </w:t>
      </w:r>
      <w:r>
        <w:rPr>
          <w:rFonts w:ascii="Times New Roman" w:hAnsi="Times New Roman" w:cs="Times New Roman"/>
        </w:rPr>
        <w:t>Mn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 or IgG-Lip-Mn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  <w:lang w:val="de-DE"/>
        </w:rPr>
        <w:t>.</w:t>
      </w:r>
    </w:p>
    <w:p w14:paraId="0BD9460E" w14:textId="77777777" w:rsidR="00B216A7" w:rsidRDefault="00B216A7" w:rsidP="00B216A7">
      <w:pPr>
        <w:pStyle w:val="2019ZW1"/>
        <w:ind w:firstLine="190"/>
        <w:rPr>
          <w:rFonts w:ascii="Times New Roman" w:hAnsi="Times New Roman" w:cs="Times New Roman"/>
        </w:rPr>
      </w:pPr>
    </w:p>
    <w:p w14:paraId="29614700" w14:textId="63E38225" w:rsidR="00B216A7" w:rsidRDefault="00B216A7" w:rsidP="00B216A7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0FCC52C" wp14:editId="326B9297">
            <wp:extent cx="5266690" cy="19831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DA285" w14:textId="77777777" w:rsidR="00B216A7" w:rsidRDefault="00B216A7" w:rsidP="00B216A7">
      <w:pPr>
        <w:pStyle w:val="2019ZW1"/>
        <w:spacing w:beforeLines="50" w:before="120" w:afterLines="50" w:after="120"/>
        <w:ind w:firstLine="19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S7. Quantification analysis of liver and kidney function of mice with different treatments in 28 d.</w:t>
      </w:r>
    </w:p>
    <w:p w14:paraId="1E8081CA" w14:textId="15E71B6E" w:rsidR="00B216A7" w:rsidRDefault="00B216A7" w:rsidP="00B216A7">
      <w:pPr>
        <w:pStyle w:val="2019ZW1"/>
        <w:spacing w:line="240" w:lineRule="auto"/>
        <w:ind w:firstLineChars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251F86" wp14:editId="44268C74">
            <wp:extent cx="5278755" cy="3675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D72ED" w14:textId="42FFE212" w:rsidR="00AD1398" w:rsidRDefault="00B216A7" w:rsidP="00B216A7">
      <w:r>
        <w:t>Figure S8.</w:t>
      </w:r>
      <w:r>
        <w:rPr>
          <w:lang w:val="de-DE"/>
        </w:rPr>
        <w:t xml:space="preserve"> HE staining of major organs of mice 28 d after injection with PBS, </w:t>
      </w:r>
      <w:r>
        <w:t>Mn</w:t>
      </w:r>
      <w:r>
        <w:rPr>
          <w:vertAlign w:val="subscript"/>
        </w:rPr>
        <w:t>3</w:t>
      </w:r>
      <w:r>
        <w:t>O</w:t>
      </w:r>
      <w:r>
        <w:rPr>
          <w:vertAlign w:val="subscript"/>
        </w:rPr>
        <w:t>4</w:t>
      </w:r>
      <w:r>
        <w:t xml:space="preserve"> or Lip-Mn</w:t>
      </w:r>
      <w:r>
        <w:rPr>
          <w:vertAlign w:val="subscript"/>
        </w:rPr>
        <w:t>3</w:t>
      </w:r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A7"/>
    <w:rsid w:val="00AD1398"/>
    <w:rsid w:val="00B2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6386"/>
  <w15:chartTrackingRefBased/>
  <w15:docId w15:val="{C2805347-D7A7-48CB-BC74-F4BF39B2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6A7"/>
    <w:pPr>
      <w:widowControl w:val="0"/>
      <w:topLinePunct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19ZW1">
    <w:name w:val="样式 2019ZW + 首行缩进:  1 字符"/>
    <w:basedOn w:val="Normal"/>
    <w:rsid w:val="00B216A7"/>
    <w:pPr>
      <w:adjustRightInd w:val="0"/>
      <w:snapToGrid w:val="0"/>
      <w:spacing w:line="220" w:lineRule="exact"/>
      <w:ind w:firstLineChars="100" w:firstLine="100"/>
    </w:pPr>
    <w:rPr>
      <w:rFonts w:ascii="Minion Pro" w:hAnsi="Minion Pro" w:cs="SimSu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7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207</Words>
  <Characters>1183</Characters>
  <Application>Microsoft Office Word</Application>
  <DocSecurity>0</DocSecurity>
  <Lines>9</Lines>
  <Paragraphs>2</Paragraphs>
  <ScaleCrop>false</ScaleCrop>
  <Company>Springer Nature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2022-12-09T12:51:00Z</dcterms:created>
  <dcterms:modified xsi:type="dcterms:W3CDTF">2022-12-09T12:52:00Z</dcterms:modified>
</cp:coreProperties>
</file>