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002A" w:rsidRDefault="003B6A56">
      <w:r>
        <w:t xml:space="preserve">　　 </w:t>
      </w:r>
      <w:bookmarkStart w:id="0" w:name="_GoBack"/>
      <w:bookmarkEnd w:id="0"/>
    </w:p>
    <w:tbl>
      <w:tblPr>
        <w:tblW w:w="1516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2410"/>
        <w:gridCol w:w="1985"/>
        <w:gridCol w:w="3118"/>
        <w:gridCol w:w="2977"/>
        <w:gridCol w:w="2977"/>
      </w:tblGrid>
      <w:tr w:rsidR="00CE002A" w:rsidTr="004C70DE">
        <w:trPr>
          <w:trHeight w:val="375"/>
          <w:jc w:val="center"/>
        </w:trPr>
        <w:tc>
          <w:tcPr>
            <w:tcW w:w="4111" w:type="dxa"/>
            <w:gridSpan w:val="2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Pr="00BA088B" w:rsidRDefault="00BA088B">
            <w:pPr>
              <w:rPr>
                <w:rFonts w:ascii="Century" w:hAnsi="Century"/>
              </w:rPr>
            </w:pPr>
            <w:r w:rsidRPr="00BA088B">
              <w:rPr>
                <w:rFonts w:ascii="Century" w:hAnsi="Century"/>
              </w:rPr>
              <w:t>Table1 Study characteristics.</w:t>
            </w:r>
          </w:p>
        </w:tc>
        <w:tc>
          <w:tcPr>
            <w:tcW w:w="1985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3118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977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977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CE002A" w:rsidTr="004C70DE">
        <w:trPr>
          <w:trHeight w:val="375"/>
          <w:jc w:val="center"/>
        </w:trPr>
        <w:tc>
          <w:tcPr>
            <w:tcW w:w="1701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41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85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3118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977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977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CE002A" w:rsidTr="004C70DE">
        <w:trPr>
          <w:trHeight w:val="510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b/>
                <w:bCs/>
                <w:color w:val="000000"/>
                <w:sz w:val="20"/>
                <w:szCs w:val="20"/>
              </w:rPr>
              <w:t>Osteoarthritis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Diagnosis, paticipants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(mean age, % demale)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Study Design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Brace Treatment, Comparators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Experimental Design, Follow-Up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Outcome</w:t>
            </w:r>
          </w:p>
        </w:tc>
      </w:tr>
      <w:tr w:rsidR="00CE002A" w:rsidTr="004C70DE">
        <w:trPr>
          <w:trHeight w:val="1473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T Cudejko, 2019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knee osteoarthritis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n=44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laboratory- based experimental study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Soft knee brace used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1) Tight brace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 xml:space="preserve">2) Non tight brace 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(Non tight brace is 1 size larger than Tight brace 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1) Baseline assessment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2) Intervention assessment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3) Rest(30 minutes)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4) Baseline assessment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5) Intervention assessment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212121"/>
                <w:sz w:val="20"/>
                <w:szCs w:val="20"/>
              </w:rPr>
            </w:pPr>
            <w:r>
              <w:rPr>
                <w:rFonts w:ascii="Century" w:hAnsi="Century"/>
                <w:color w:val="212121"/>
                <w:sz w:val="20"/>
                <w:szCs w:val="20"/>
              </w:rPr>
              <w:t>10-meter walk test</w:t>
            </w:r>
            <w:r>
              <w:rPr>
                <w:rFonts w:ascii="Century" w:hAnsi="Century"/>
                <w:color w:val="212121"/>
                <w:sz w:val="20"/>
                <w:szCs w:val="20"/>
              </w:rPr>
              <w:br/>
              <w:t>Get Up and Go test</w:t>
            </w:r>
            <w:r>
              <w:rPr>
                <w:rFonts w:ascii="Century" w:hAnsi="Century"/>
                <w:color w:val="212121"/>
                <w:sz w:val="20"/>
                <w:szCs w:val="20"/>
              </w:rPr>
              <w:br/>
              <w:t>Pain (NRS)</w:t>
            </w:r>
            <w:r>
              <w:rPr>
                <w:rFonts w:ascii="Century" w:hAnsi="Century"/>
                <w:color w:val="212121"/>
                <w:sz w:val="20"/>
                <w:szCs w:val="20"/>
              </w:rPr>
              <w:br/>
              <w:t>Pressure pain threshold (PPT)</w:t>
            </w:r>
            <w:r>
              <w:rPr>
                <w:rFonts w:ascii="Century" w:hAnsi="Century"/>
                <w:color w:val="212121"/>
                <w:sz w:val="20"/>
                <w:szCs w:val="20"/>
              </w:rPr>
              <w:br/>
              <w:t>Dynamic knee instability</w:t>
            </w:r>
          </w:p>
        </w:tc>
      </w:tr>
      <w:tr w:rsidR="00CE002A" w:rsidTr="004C70DE">
        <w:trPr>
          <w:trHeight w:val="1409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T Cudejko, 2017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knee osteoarthritis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n=44(70.5 ± 4.0, 100% female)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single-session,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laboratory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experimental study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a soft brace with no brace, and comparing a non-tight with a tight soft brace.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1) Baseline assessment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2) Intervention assessment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3) Rest(30 minutes)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4) Baseline assessment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5) Intervention assessment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212121"/>
                <w:sz w:val="20"/>
                <w:szCs w:val="20"/>
              </w:rPr>
            </w:pPr>
            <w:r>
              <w:rPr>
                <w:rFonts w:ascii="Century" w:hAnsi="Century"/>
                <w:color w:val="212121"/>
                <w:sz w:val="20"/>
                <w:szCs w:val="20"/>
              </w:rPr>
              <w:t>10-meter walk test</w:t>
            </w:r>
            <w:r>
              <w:rPr>
                <w:rFonts w:ascii="Century" w:hAnsi="Century"/>
                <w:color w:val="212121"/>
                <w:sz w:val="20"/>
                <w:szCs w:val="20"/>
              </w:rPr>
              <w:br/>
              <w:t>Get Up and Go test</w:t>
            </w:r>
            <w:r>
              <w:rPr>
                <w:rFonts w:ascii="Century" w:hAnsi="Century"/>
                <w:color w:val="212121"/>
                <w:sz w:val="20"/>
                <w:szCs w:val="20"/>
              </w:rPr>
              <w:br/>
              <w:t>numeric rating scale (NRS)</w:t>
            </w:r>
            <w:r>
              <w:rPr>
                <w:rFonts w:ascii="Century" w:hAnsi="Century"/>
                <w:color w:val="212121"/>
                <w:sz w:val="20"/>
                <w:szCs w:val="20"/>
              </w:rPr>
              <w:br/>
              <w:t>pressure pain threshold (PPT)</w:t>
            </w:r>
            <w:r>
              <w:rPr>
                <w:rFonts w:ascii="Century" w:hAnsi="Century"/>
                <w:color w:val="212121"/>
                <w:sz w:val="20"/>
                <w:szCs w:val="20"/>
              </w:rPr>
              <w:br/>
              <w:t>dynamic knee instability</w:t>
            </w:r>
          </w:p>
        </w:tc>
      </w:tr>
      <w:tr w:rsidR="00CE002A" w:rsidTr="004C70DE">
        <w:trPr>
          <w:trHeight w:val="375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ＭＳ Ｐ明朝" w:eastAsia="ＭＳ Ｐ明朝" w:hAnsi="ＭＳ Ｐ明朝"/>
                <w:color w:val="000000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CE002A" w:rsidTr="004C70DE">
        <w:trPr>
          <w:trHeight w:val="600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b/>
                <w:bCs/>
                <w:color w:val="000000"/>
                <w:sz w:val="20"/>
                <w:szCs w:val="20"/>
              </w:rPr>
              <w:t>PCL injury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Diagnosis, paticipants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(mean age, % demale)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Study Design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Brace Treatment, Comparators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Experimental Design, Follow-Up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Outcome</w:t>
            </w:r>
          </w:p>
        </w:tc>
      </w:tr>
      <w:tr w:rsidR="00CE002A" w:rsidTr="004C70DE">
        <w:trPr>
          <w:trHeight w:val="1605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B Li, 2015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Posterior cruciate ligament reconstruction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n=62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Case controll trial study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1) Regular brace (n=18)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2) Tibial support brace (n=21)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6,12,24 months after surgery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Post Drawer test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Committee (IKDC) score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Lysholm knee score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 xml:space="preserve">Tegner activity rating 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Range of motion</w:t>
            </w:r>
          </w:p>
        </w:tc>
      </w:tr>
      <w:tr w:rsidR="00CE002A" w:rsidTr="004C70DE">
        <w:trPr>
          <w:trHeight w:val="1275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KH Yoon, 2013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Posterior cruciate ligament reconstruction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n=84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Randomized Controlled Trial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1) Cast group n=22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2) Brace group n=22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3 months after surgery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Range of motion (ROM)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Clinical scores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Telos device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 xml:space="preserve">Posterior stress radiographic 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IKDC grades</w:t>
            </w:r>
          </w:p>
        </w:tc>
      </w:tr>
      <w:tr w:rsidR="00CE002A" w:rsidTr="004C70DE">
        <w:trPr>
          <w:trHeight w:val="375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lastRenderedPageBreak/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ＭＳ Ｐ明朝" w:eastAsia="ＭＳ Ｐ明朝" w:hAnsi="ＭＳ Ｐ明朝"/>
                <w:color w:val="000000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CE002A" w:rsidTr="004C70DE">
        <w:trPr>
          <w:trHeight w:val="510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b/>
                <w:bCs/>
                <w:color w:val="000000"/>
                <w:sz w:val="20"/>
                <w:szCs w:val="20"/>
              </w:rPr>
              <w:t>ACL injury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Diagnosis, paticipants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(mean age, % demale)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Study Design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Brace Treatment, Comparators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Experimental Design, Follow-Up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Outcome</w:t>
            </w:r>
          </w:p>
        </w:tc>
      </w:tr>
      <w:tr w:rsidR="00CE002A" w:rsidTr="004C70DE">
        <w:trPr>
          <w:trHeight w:val="1275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HG Palm,2012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Anterior cruciate ligament rupture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n=58 (25.9 ± 7.6, 7% female)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laboratory- based experimental study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Functional knee brace used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1) braced condition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2) Unbraced  condition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―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Stability index (OSI) scores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Anterior-posterior stability index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(APSI)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Medial-Lateral stability index (MLSI)</w:t>
            </w:r>
          </w:p>
        </w:tc>
      </w:tr>
      <w:tr w:rsidR="00CE002A" w:rsidTr="004C70DE">
        <w:trPr>
          <w:trHeight w:val="1275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G Strutzenberger, 2012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Anterior cruciate ligament injury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n=28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Case controll trial study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1) Non-braced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2) Sleeve braced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3) Shell braced condition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Knee joint laxity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Joint position sense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Static and dynamic balance and Isometric and dynamic lower limb Extension strength</w:t>
            </w:r>
          </w:p>
        </w:tc>
      </w:tr>
      <w:tr w:rsidR="00CE002A" w:rsidTr="004C70DE">
        <w:trPr>
          <w:trHeight w:val="1785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HO Mayr,2010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anterior cruciate ligament reconstruction n=73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Case controll trial study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1) Hard brace n=36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2) Water-filled soft brace  n=37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1 day, 5days, 6weeks, 12 weeks, 6 months, 12 months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Effusion status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Swelling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Range of motion (ROM)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IKDC 2000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KT1000 Arthrometer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Lysholm knee scoring scale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Tegner activity score</w:t>
            </w:r>
          </w:p>
        </w:tc>
      </w:tr>
      <w:tr w:rsidR="00CE002A" w:rsidTr="004C70DE">
        <w:trPr>
          <w:trHeight w:val="1275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TB Birmingha, 2008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anterior cruciate ligament reconstruction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 xml:space="preserve">n=127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Randomized Controlled Trial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1) Functional knee brace n=62 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2) Neoprene knee sleeve n=62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6,12,24 months after surgery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Disease-specific quality of life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KT-1000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Functional test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Tegner activity score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Range of motion (ROM)</w:t>
            </w:r>
          </w:p>
        </w:tc>
      </w:tr>
      <w:tr w:rsidR="00CE002A" w:rsidTr="004C70DE">
        <w:trPr>
          <w:trHeight w:val="1275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LR Swirtun, 2005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anterior cruciate ligament injury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n=95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Randomized Controlled Trial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1) Brace group n=22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2) Control group n=20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3 months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Visual analogue scale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Knee Osteoarthritis Outcome Score Cincinnati knee score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Brace evaluation form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Muscle peak torque.</w:t>
            </w:r>
          </w:p>
        </w:tc>
      </w:tr>
      <w:tr w:rsidR="00CE002A" w:rsidTr="004C70DE">
        <w:trPr>
          <w:trHeight w:val="1530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ER McDevitt, 2004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anterior cruciate ligament injury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n=100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(ACLtears treated surgically within the first 8 weeks)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Randomized Controlled Trial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1) brace group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2) control group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24 months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Knee instability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Functional test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Lysholm scores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Knee range of motion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Isokinetic strength testing</w:t>
            </w:r>
          </w:p>
        </w:tc>
      </w:tr>
      <w:tr w:rsidR="00CE002A" w:rsidTr="004C70DE">
        <w:trPr>
          <w:trHeight w:val="2408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 Wojtys, 2001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anterior cruciate ligament injury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n=5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Clinical Trial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1) custom brace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 xml:space="preserve">2) off-the-shelf brace 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3) tape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ＭＳ Ｐ明朝" w:eastAsia="ＭＳ Ｐ明朝" w:hAnsi="ＭＳ Ｐ明朝"/>
                <w:color w:val="000000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―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Anterior tibial laxity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Quadriceps and hamstrings strength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Endurance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Standing long jump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 xml:space="preserve">Brace migration with exercise 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Pattern of muscle response to forced anterior tibial displacemen</w:t>
            </w:r>
          </w:p>
        </w:tc>
      </w:tr>
      <w:tr w:rsidR="00CE002A" w:rsidTr="004C70DE">
        <w:trPr>
          <w:trHeight w:val="1530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 Risberg, 1999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Anterior cruciate ligament reconstruction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n=60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Clinical Trial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1) with brace group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2) without brace group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1.5, 3, 6,12,24 months after surgery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002A" w:rsidRDefault="003B6A56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KT-1000 arthrometry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Cincinnati knee score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Range of motion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 xml:space="preserve"> knee joint laxity, range of motion, muscle strength, functional knee tests, or pain</w:t>
            </w:r>
          </w:p>
        </w:tc>
      </w:tr>
      <w:tr w:rsidR="00CE002A" w:rsidTr="004C70DE">
        <w:trPr>
          <w:jc w:val="center"/>
        </w:trPr>
        <w:tc>
          <w:tcPr>
            <w:tcW w:w="1701" w:type="dxa"/>
            <w:vAlign w:val="center"/>
            <w:hideMark/>
          </w:tcPr>
          <w:p w:rsidR="00CE002A" w:rsidRDefault="00CE002A">
            <w:pPr>
              <w:rPr>
                <w:rFonts w:ascii="Century" w:hAnsi="Century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  <w:hideMark/>
          </w:tcPr>
          <w:p w:rsidR="00CE002A" w:rsidRDefault="00CE002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  <w:hideMark/>
          </w:tcPr>
          <w:p w:rsidR="00CE002A" w:rsidRDefault="00CE002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  <w:hideMark/>
          </w:tcPr>
          <w:p w:rsidR="00CE002A" w:rsidRDefault="00CE002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  <w:hideMark/>
          </w:tcPr>
          <w:p w:rsidR="00CE002A" w:rsidRDefault="00CE002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  <w:hideMark/>
          </w:tcPr>
          <w:p w:rsidR="00CE002A" w:rsidRDefault="00CE002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3B6A56" w:rsidRDefault="003B6A56"/>
    <w:sectPr w:rsidR="003B6A56" w:rsidSect="004C70DE">
      <w:pgSz w:w="16838" w:h="11906" w:orient="landscape"/>
      <w:pgMar w:top="1701" w:right="1985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747A" w:rsidRDefault="008C747A" w:rsidP="004C70DE">
      <w:r>
        <w:separator/>
      </w:r>
    </w:p>
  </w:endnote>
  <w:endnote w:type="continuationSeparator" w:id="0">
    <w:p w:rsidR="008C747A" w:rsidRDefault="008C747A" w:rsidP="004C7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747A" w:rsidRDefault="008C747A" w:rsidP="004C70DE">
      <w:r>
        <w:separator/>
      </w:r>
    </w:p>
  </w:footnote>
  <w:footnote w:type="continuationSeparator" w:id="0">
    <w:p w:rsidR="008C747A" w:rsidRDefault="008C747A" w:rsidP="004C70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0DE"/>
    <w:rsid w:val="003B6A56"/>
    <w:rsid w:val="004C70DE"/>
    <w:rsid w:val="008C747A"/>
    <w:rsid w:val="00BA088B"/>
    <w:rsid w:val="00CE0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CA7A739"/>
  <w15:chartTrackingRefBased/>
  <w15:docId w15:val="{BFCB558E-4581-458E-A5A0-AF5C65A67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ＭＳ Ｐゴシック" w:eastAsia="ＭＳ Ｐゴシック" w:hAnsi="ＭＳ Ｐゴシック" w:cs="ＭＳ Ｐゴシック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customStyle="1" w:styleId="font532400">
    <w:name w:val="font532400"/>
    <w:basedOn w:val="a"/>
    <w:pPr>
      <w:spacing w:before="100" w:beforeAutospacing="1" w:after="100" w:afterAutospacing="1"/>
    </w:pPr>
    <w:rPr>
      <w:rFonts w:ascii="游ゴシック" w:eastAsia="游ゴシック" w:hAnsi="游ゴシック"/>
      <w:sz w:val="12"/>
      <w:szCs w:val="12"/>
    </w:rPr>
  </w:style>
  <w:style w:type="paragraph" w:customStyle="1" w:styleId="font632400">
    <w:name w:val="font632400"/>
    <w:basedOn w:val="a"/>
    <w:pPr>
      <w:spacing w:before="100" w:beforeAutospacing="1" w:after="100" w:afterAutospacing="1"/>
    </w:pPr>
    <w:rPr>
      <w:rFonts w:ascii="Century" w:hAnsi="Century"/>
      <w:color w:val="000000"/>
      <w:sz w:val="20"/>
      <w:szCs w:val="20"/>
    </w:rPr>
  </w:style>
  <w:style w:type="paragraph" w:customStyle="1" w:styleId="font732400">
    <w:name w:val="font732400"/>
    <w:basedOn w:val="a"/>
    <w:pPr>
      <w:spacing w:before="100" w:beforeAutospacing="1" w:after="100" w:afterAutospacing="1"/>
    </w:pPr>
    <w:rPr>
      <w:rFonts w:ascii="ＭＳ Ｐ明朝" w:eastAsia="ＭＳ Ｐ明朝" w:hAnsi="ＭＳ Ｐ明朝"/>
      <w:color w:val="000000"/>
      <w:sz w:val="20"/>
      <w:szCs w:val="20"/>
    </w:rPr>
  </w:style>
  <w:style w:type="paragraph" w:customStyle="1" w:styleId="xl6432400">
    <w:name w:val="xl6432400"/>
    <w:basedOn w:val="a"/>
    <w:pPr>
      <w:shd w:val="clear" w:color="000000" w:fill="FFFFFF"/>
      <w:spacing w:before="100" w:beforeAutospacing="1" w:after="100" w:afterAutospacing="1"/>
      <w:textAlignment w:val="center"/>
    </w:pPr>
    <w:rPr>
      <w:rFonts w:ascii="Century" w:hAnsi="Century"/>
      <w:color w:val="000000"/>
      <w:sz w:val="20"/>
      <w:szCs w:val="20"/>
    </w:rPr>
  </w:style>
  <w:style w:type="paragraph" w:customStyle="1" w:styleId="xl6532400">
    <w:name w:val="xl6532400"/>
    <w:basedOn w:val="a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entury" w:hAnsi="Century"/>
      <w:color w:val="000000"/>
      <w:sz w:val="20"/>
      <w:szCs w:val="20"/>
    </w:rPr>
  </w:style>
  <w:style w:type="paragraph" w:customStyle="1" w:styleId="xl6632400">
    <w:name w:val="xl6632400"/>
    <w:basedOn w:val="a"/>
    <w:pPr>
      <w:pBdr>
        <w:top w:val="single" w:sz="4" w:space="1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entury" w:hAnsi="Century"/>
      <w:color w:val="000000"/>
      <w:sz w:val="20"/>
      <w:szCs w:val="20"/>
    </w:rPr>
  </w:style>
  <w:style w:type="paragraph" w:customStyle="1" w:styleId="xl6732400">
    <w:name w:val="xl6732400"/>
    <w:basedOn w:val="a"/>
    <w:pPr>
      <w:pBdr>
        <w:top w:val="single" w:sz="4" w:space="1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entury" w:hAnsi="Century"/>
      <w:color w:val="212121"/>
      <w:sz w:val="20"/>
      <w:szCs w:val="20"/>
    </w:rPr>
  </w:style>
  <w:style w:type="paragraph" w:customStyle="1" w:styleId="xl6832400">
    <w:name w:val="xl6832400"/>
    <w:basedOn w:val="a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ＭＳ Ｐ明朝" w:eastAsia="ＭＳ Ｐ明朝" w:hAnsi="ＭＳ Ｐ明朝"/>
      <w:color w:val="000000"/>
      <w:sz w:val="20"/>
      <w:szCs w:val="20"/>
    </w:rPr>
  </w:style>
  <w:style w:type="paragraph" w:customStyle="1" w:styleId="xl6932400">
    <w:name w:val="xl6932400"/>
    <w:basedOn w:val="a"/>
    <w:pPr>
      <w:pBdr>
        <w:top w:val="single" w:sz="4" w:space="1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ＭＳ Ｐ明朝" w:eastAsia="ＭＳ Ｐ明朝" w:hAnsi="ＭＳ Ｐ明朝"/>
      <w:color w:val="000000"/>
      <w:sz w:val="20"/>
      <w:szCs w:val="20"/>
    </w:rPr>
  </w:style>
  <w:style w:type="paragraph" w:customStyle="1" w:styleId="xl7032400">
    <w:name w:val="xl7032400"/>
    <w:basedOn w:val="a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entury" w:hAnsi="Century"/>
      <w:b/>
      <w:bCs/>
      <w:color w:val="000000"/>
      <w:sz w:val="20"/>
      <w:szCs w:val="20"/>
    </w:rPr>
  </w:style>
  <w:style w:type="paragraph" w:customStyle="1" w:styleId="xl7132400">
    <w:name w:val="xl7132400"/>
    <w:basedOn w:val="a"/>
    <w:pPr>
      <w:pBdr>
        <w:top w:val="single" w:sz="4" w:space="1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 w:cs="Times New Roman"/>
      <w:color w:val="000000"/>
      <w:sz w:val="20"/>
      <w:szCs w:val="20"/>
    </w:rPr>
  </w:style>
  <w:style w:type="paragraph" w:customStyle="1" w:styleId="xl7232400">
    <w:name w:val="xl7232400"/>
    <w:basedOn w:val="a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 w:cs="Times New Roman"/>
      <w:color w:val="000000"/>
      <w:sz w:val="20"/>
      <w:szCs w:val="20"/>
    </w:rPr>
  </w:style>
  <w:style w:type="paragraph" w:customStyle="1" w:styleId="xl7332400">
    <w:name w:val="xl7332400"/>
    <w:basedOn w:val="a"/>
    <w:pPr>
      <w:shd w:val="clear" w:color="000000" w:fill="FFFFFF"/>
      <w:spacing w:before="100" w:beforeAutospacing="1" w:after="100" w:afterAutospacing="1"/>
      <w:textAlignment w:val="center"/>
    </w:pPr>
    <w:rPr>
      <w:rFonts w:ascii="Century" w:hAnsi="Century"/>
      <w:color w:val="000000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4C70D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C70DE"/>
    <w:rPr>
      <w:rFonts w:ascii="ＭＳ Ｐゴシック" w:eastAsia="ＭＳ Ｐゴシック" w:hAnsi="ＭＳ Ｐゴシック" w:cs="ＭＳ Ｐゴシック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4C70D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C70DE"/>
    <w:rPr>
      <w:rFonts w:ascii="ＭＳ Ｐゴシック" w:eastAsia="ＭＳ Ｐゴシック" w:hAnsi="ＭＳ Ｐゴシック" w:cs="ＭＳ Ｐゴシック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623</Words>
  <Characters>3554</Characters>
  <Application>Microsoft Office Word</Application>
  <DocSecurity>0</DocSecurity>
  <Lines>29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Kenji Murata</dc:creator>
  <cp:keywords/>
  <dc:description/>
  <cp:lastModifiedBy>Kenji Murata</cp:lastModifiedBy>
  <cp:revision>3</cp:revision>
  <dcterms:created xsi:type="dcterms:W3CDTF">2022-05-25T00:04:00Z</dcterms:created>
  <dcterms:modified xsi:type="dcterms:W3CDTF">2022-05-25T05:47:00Z</dcterms:modified>
</cp:coreProperties>
</file>