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D9D" w:rsidRPr="001C5D9D" w:rsidRDefault="001C5D9D">
      <w:pPr>
        <w:rPr>
          <w:rFonts w:ascii="Century" w:hAnsi="Century"/>
        </w:rPr>
      </w:pPr>
      <w:bookmarkStart w:id="0" w:name="_GoBack"/>
      <w:r w:rsidRPr="001C5D9D">
        <w:rPr>
          <w:rFonts w:ascii="Century" w:hAnsi="Century"/>
        </w:rPr>
        <w:t>Table4 Effects of Orthotic Brace on physical function</w:t>
      </w:r>
    </w:p>
    <w:bookmarkEnd w:id="0"/>
    <w:p w:rsidR="00BA00B7" w:rsidRDefault="00535237">
      <w:r>
        <w:t xml:space="preserve">　　 </w:t>
      </w:r>
    </w:p>
    <w:tbl>
      <w:tblPr>
        <w:tblW w:w="147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2060"/>
        <w:gridCol w:w="3320"/>
        <w:gridCol w:w="4540"/>
        <w:gridCol w:w="3280"/>
      </w:tblGrid>
      <w:tr w:rsidR="00BA00B7">
        <w:trPr>
          <w:trHeight w:val="37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Author, year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Diagnosis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Benefit 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Main outcome effect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游ゴシック" w:eastAsia="游ゴシック" w:hAnsi="游ゴシック"/>
                <w:color w:val="000000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00B7">
        <w:trPr>
          <w:trHeight w:val="250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T Cudejko, 2019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osteoarthritis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Soft brace (SB)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Tight brace (TB)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Non Tight brace (NTB)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No brace (no TB or so SB) 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10 meter walk condition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Total effect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SB vs. no SB -0.23 (-0.31,-0.13)*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TB vs no TB -0.22 (-0.33,-0.10)*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NTB vs no NTB -0.23 (-0.31,-0.14)*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Pain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SB vs. no SB -0.10 (-0.10,-0.04)*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TB vs no TB -0.13 (-0.30,-0.03)*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NTB vs no NTB -0.12 (-0.23,-0.03)*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10 meter walk condition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Total effect and Pain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SB &gt; no SB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TB &gt; no STB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NTB &gt; no NTB</w:t>
            </w:r>
          </w:p>
        </w:tc>
      </w:tr>
      <w:tr w:rsidR="00BA00B7">
        <w:trPr>
          <w:trHeight w:val="85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T Cudejko, 2017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Knee osteoarthritis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Soft brace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Non Softbrace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Pain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Level walking (B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−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-0.60, P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=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0.001)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Perturbed walking (B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-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0.80, P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&lt;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 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0.001)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SB &gt; no SB</w:t>
            </w:r>
          </w:p>
        </w:tc>
      </w:tr>
      <w:tr w:rsidR="00BA00B7">
        <w:trPr>
          <w:trHeight w:val="166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 Li, 2015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Posterior cruciate ligament reconstruction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Regular brace (RB)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Tibial support brace (TSB)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 (knee flexion)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129.6±10.3 [degree] in the RB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133.4±12.5 [degree] in the TSB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score: median (25%,75% tile)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84 (36-100) in the RB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92 (45-100) in the TSB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RB &lt; TSB</w:t>
            </w:r>
          </w:p>
        </w:tc>
      </w:tr>
      <w:tr w:rsidR="00BA00B7">
        <w:trPr>
          <w:trHeight w:val="160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KH Yoon, 2013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Posterior cruciate ligament reconstruction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Cast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Brace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 (knee flexion)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132.6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14.0 [degree] in the cast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138.8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12.1 [degree]in the brace group.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IKDC subjective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40.4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9.5 in the cast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40.5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14.9 in the brace group.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IKDC subjective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BA00B7">
        <w:trPr>
          <w:trHeight w:val="237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lastRenderedPageBreak/>
              <w:t>HG Palm,2012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rupture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Braced condition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Unbraced  condition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BA00B7">
        <w:trPr>
          <w:trHeight w:val="243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HO Mayr,2010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Hard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Water-filled soft brace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Range of motion (knee flexion) at 12 months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137.3±5.6 [degree] in the hard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140.2±8.4 [degree] in the soft group.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 (kneeExtension) at 12 months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1.7±2.4 [degree] in the hard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0.3±1.8 [degree] in the soft group.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IKDC subjective score at 12 months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95%CI -11.5 to -2.6 between two group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ROM (Flexion) and thigh atrophy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ROM (Extension) , Lysholm knee scoring scale, IKDC subjective ratings, Tegner activity score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Water-filled soft brace &gt; Hard brace</w:t>
            </w:r>
          </w:p>
        </w:tc>
      </w:tr>
      <w:tr w:rsidR="00BA00B7">
        <w:trPr>
          <w:trHeight w:val="2899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TB Birmingham, 2008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Functional knee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Neoprene knee sleeve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ACL-QOL (total score)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68.7±17.9 in the Functional knee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69.2±20.9 in the Neoprene knee sleeve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 (Extension loss,degree)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1.5±2.6 in the Functional knee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1.7±2.9 in the Neoprene knee sleeve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Range of motion (Flexion loss,degree)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2.8±4.4 in the Functional knee brace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3.6±5.6 in the Neoprene knee sleeve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ACL-QOL (total score)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Lysholm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BA00B7">
        <w:trPr>
          <w:trHeight w:val="130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lastRenderedPageBreak/>
              <w:t>ER McDevitt, 2004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Control group (No brace)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 xml:space="preserve">Range of motion 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not indicated detail data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Lysholm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not indicated detail data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Range of motion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Lysholm score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BA00B7">
        <w:trPr>
          <w:trHeight w:val="141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EM Wojtys, 2001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injury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Custom brace 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Off-the-shelf brace 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Tape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No brace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Quadriceps strength (peak torque/body weight)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Custom-fit 0.6%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Off the shelf 1.4%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Athletic Tape -2.6%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Functionala assesment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Custom brace 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</w:t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= Off-the-shelf brace 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&gt;Tape group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cs="Times New Roman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Brace &gt; No brace group</w:t>
            </w:r>
          </w:p>
        </w:tc>
      </w:tr>
      <w:tr w:rsidR="00BA00B7">
        <w:trPr>
          <w:trHeight w:val="2145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MA Risberg, 1999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Anterior cruciate ligament reconstruction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n=60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No brace group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Century" w:hAnsi="Century"/>
                <w:color w:val="000000"/>
                <w:sz w:val="20"/>
                <w:szCs w:val="20"/>
              </w:rPr>
              <w:t>Rest Pain (Visual nalog scale)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3.7±6.1 [mm] in the 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6.7±13.6 [mm] in No 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>Pain during activity  (Visual nalog scale)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3.7±6.1 [mm] in the Brace group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6.7±13.6 [mm] in No brace group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A00B7" w:rsidRDefault="00535237">
            <w:pPr>
              <w:rPr>
                <w:rFonts w:ascii="Century" w:hAnsi="Century"/>
                <w:color w:val="00000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Rest Pain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Pain during activity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Functional knee test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no significant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br/>
              <w:t>・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t>Whole thigh Cross-Sectional area</w:t>
            </w:r>
            <w:r>
              <w:rPr>
                <w:rFonts w:ascii="Century" w:hAnsi="Century"/>
                <w:color w:val="000000"/>
                <w:sz w:val="20"/>
                <w:szCs w:val="20"/>
              </w:rPr>
              <w:br/>
              <w:t xml:space="preserve"> Brace &gt; No Brace</w:t>
            </w:r>
          </w:p>
        </w:tc>
      </w:tr>
      <w:tr w:rsidR="00BA00B7">
        <w:trPr>
          <w:jc w:val="center"/>
        </w:trPr>
        <w:tc>
          <w:tcPr>
            <w:tcW w:w="1500" w:type="dxa"/>
            <w:vAlign w:val="center"/>
            <w:hideMark/>
          </w:tcPr>
          <w:p w:rsidR="00BA00B7" w:rsidRDefault="00BA00B7">
            <w:pPr>
              <w:rPr>
                <w:rFonts w:ascii="Century" w:hAnsi="Century"/>
                <w:color w:val="000000"/>
                <w:sz w:val="20"/>
                <w:szCs w:val="20"/>
              </w:rPr>
            </w:pPr>
          </w:p>
        </w:tc>
        <w:tc>
          <w:tcPr>
            <w:tcW w:w="2060" w:type="dxa"/>
            <w:vAlign w:val="center"/>
            <w:hideMark/>
          </w:tcPr>
          <w:p w:rsidR="00BA00B7" w:rsidRDefault="00BA00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0" w:type="dxa"/>
            <w:vAlign w:val="center"/>
            <w:hideMark/>
          </w:tcPr>
          <w:p w:rsidR="00BA00B7" w:rsidRDefault="00BA00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0" w:type="dxa"/>
            <w:vAlign w:val="center"/>
            <w:hideMark/>
          </w:tcPr>
          <w:p w:rsidR="00BA00B7" w:rsidRDefault="00BA00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0" w:type="dxa"/>
            <w:vAlign w:val="center"/>
            <w:hideMark/>
          </w:tcPr>
          <w:p w:rsidR="00BA00B7" w:rsidRDefault="00BA00B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35237" w:rsidRDefault="00535237"/>
    <w:sectPr w:rsidR="00535237" w:rsidSect="00306622">
      <w:pgSz w:w="16838" w:h="11906" w:orient="landscape"/>
      <w:pgMar w:top="1701" w:right="1985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9E6" w:rsidRDefault="00B759E6" w:rsidP="00306622">
      <w:r>
        <w:separator/>
      </w:r>
    </w:p>
  </w:endnote>
  <w:endnote w:type="continuationSeparator" w:id="0">
    <w:p w:rsidR="00B759E6" w:rsidRDefault="00B759E6" w:rsidP="0030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9E6" w:rsidRDefault="00B759E6" w:rsidP="00306622">
      <w:r>
        <w:separator/>
      </w:r>
    </w:p>
  </w:footnote>
  <w:footnote w:type="continuationSeparator" w:id="0">
    <w:p w:rsidR="00B759E6" w:rsidRDefault="00B759E6" w:rsidP="00306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622"/>
    <w:rsid w:val="001C5D9D"/>
    <w:rsid w:val="00306622"/>
    <w:rsid w:val="00535237"/>
    <w:rsid w:val="00B759E6"/>
    <w:rsid w:val="00BA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16770A"/>
  <w15:chartTrackingRefBased/>
  <w15:docId w15:val="{3FFA35F7-CB8B-4F8E-AF43-4752989A9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customStyle="1" w:styleId="font511969">
    <w:name w:val="font511969"/>
    <w:basedOn w:val="a"/>
    <w:pPr>
      <w:spacing w:before="100" w:beforeAutospacing="1" w:after="100" w:afterAutospacing="1"/>
    </w:pPr>
    <w:rPr>
      <w:rFonts w:ascii="游ゴシック" w:eastAsia="游ゴシック" w:hAnsi="游ゴシック"/>
      <w:sz w:val="12"/>
      <w:szCs w:val="12"/>
    </w:rPr>
  </w:style>
  <w:style w:type="paragraph" w:customStyle="1" w:styleId="font611969">
    <w:name w:val="font611969"/>
    <w:basedOn w:val="a"/>
    <w:pPr>
      <w:spacing w:before="100" w:beforeAutospacing="1" w:after="100" w:afterAutospacing="1"/>
    </w:pPr>
    <w:rPr>
      <w:rFonts w:ascii="Century" w:hAnsi="Century"/>
      <w:color w:val="000000"/>
      <w:sz w:val="20"/>
      <w:szCs w:val="20"/>
    </w:rPr>
  </w:style>
  <w:style w:type="paragraph" w:customStyle="1" w:styleId="font711969">
    <w:name w:val="font711969"/>
    <w:basedOn w:val="a"/>
    <w:pPr>
      <w:spacing w:before="100" w:beforeAutospacing="1" w:after="100" w:afterAutospacing="1"/>
    </w:pPr>
    <w:rPr>
      <w:rFonts w:ascii="ＭＳ Ｐ明朝" w:eastAsia="ＭＳ Ｐ明朝" w:hAnsi="ＭＳ Ｐ明朝"/>
      <w:color w:val="000000"/>
      <w:sz w:val="20"/>
      <w:szCs w:val="20"/>
    </w:rPr>
  </w:style>
  <w:style w:type="paragraph" w:customStyle="1" w:styleId="font811969">
    <w:name w:val="font811969"/>
    <w:basedOn w:val="a"/>
    <w:pPr>
      <w:spacing w:before="100" w:beforeAutospacing="1" w:after="100" w:afterAutospacing="1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6411969">
    <w:name w:val="xl6411969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511969">
    <w:name w:val="xl6511969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611969">
    <w:name w:val="xl6611969"/>
    <w:basedOn w:val="a"/>
    <w:pP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711969">
    <w:name w:val="xl6711969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游ゴシック" w:eastAsia="游ゴシック" w:hAnsi="游ゴシック"/>
      <w:color w:val="000000"/>
      <w:sz w:val="22"/>
      <w:szCs w:val="22"/>
    </w:rPr>
  </w:style>
  <w:style w:type="paragraph" w:customStyle="1" w:styleId="xl6811969">
    <w:name w:val="xl6811969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customStyle="1" w:styleId="xl6911969">
    <w:name w:val="xl6911969"/>
    <w:basedOn w:val="a"/>
    <w:pPr>
      <w:pBdr>
        <w:top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 w:cs="Times New Roman"/>
      <w:color w:val="000000"/>
      <w:sz w:val="20"/>
      <w:szCs w:val="20"/>
    </w:rPr>
  </w:style>
  <w:style w:type="paragraph" w:customStyle="1" w:styleId="xl7011969">
    <w:name w:val="xl7011969"/>
    <w:basedOn w:val="a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entury" w:hAnsi="Century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3066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06622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066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06622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Murata</dc:creator>
  <cp:keywords/>
  <dc:description/>
  <cp:lastModifiedBy>Kenji Murata</cp:lastModifiedBy>
  <cp:revision>3</cp:revision>
  <dcterms:created xsi:type="dcterms:W3CDTF">2022-05-25T00:13:00Z</dcterms:created>
  <dcterms:modified xsi:type="dcterms:W3CDTF">2022-05-25T05:47:00Z</dcterms:modified>
</cp:coreProperties>
</file>