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eastAsia="等线" w:cs="Times New Roman"/>
          <w:bCs/>
          <w:sz w:val="20"/>
          <w:szCs w:val="20"/>
          <w:lang w:bidi="ar"/>
        </w:rPr>
      </w:pPr>
      <w:r>
        <w:rPr>
          <w:rFonts w:ascii="Times New Roman" w:hAnsi="Times New Roman" w:eastAsia="等线" w:cs="Times New Roman"/>
          <w:b/>
          <w:bCs/>
          <w:color w:val="000000"/>
          <w:szCs w:val="21"/>
          <w:lang w:bidi="ar"/>
        </w:rPr>
        <w:t>Additional file 2 Figure S1</w:t>
      </w:r>
      <w:r>
        <w:rPr>
          <w:rFonts w:ascii="Times New Roman" w:hAnsi="Times New Roman" w:eastAsia="等线" w:cs="Times New Roman"/>
          <w:b/>
          <w:bCs w:val="0"/>
          <w:sz w:val="20"/>
          <w:szCs w:val="20"/>
          <w:lang w:bidi="ar"/>
        </w:rPr>
        <w:t xml:space="preserve">. </w:t>
      </w:r>
      <w:r>
        <w:rPr>
          <w:rFonts w:ascii="Times New Roman" w:hAnsi="Times New Roman" w:eastAsia="等线" w:cs="Times New Roman"/>
          <w:bCs/>
          <w:sz w:val="20"/>
          <w:szCs w:val="20"/>
          <w:lang w:bidi="ar"/>
        </w:rPr>
        <w:t>Relationship between mRNA expression levels of RNASET2 and clinicopathological features. mRNA expression of R</w:t>
      </w:r>
      <w:bookmarkStart w:id="0" w:name="_GoBack"/>
      <w:bookmarkEnd w:id="0"/>
      <w:r>
        <w:rPr>
          <w:rFonts w:ascii="Times New Roman" w:hAnsi="Times New Roman" w:eastAsia="等线" w:cs="Times New Roman"/>
          <w:bCs/>
          <w:sz w:val="20"/>
          <w:szCs w:val="20"/>
          <w:lang w:bidi="ar"/>
        </w:rPr>
        <w:t>NASET2 did not correlate significantly with (A) patient age and (C) lymph node metastasis, whereas high expression was observed in patients with (B) T3-T4 stage, (D) distant metastases, (E) high pathological stage, and (F) high histological grade. **, p &lt; 0.01, ***, p &lt; 0.001. RNASET2, Ribonuclease T2. ccRCC, clear cell renal cell carcinoma.</w:t>
      </w:r>
    </w:p>
    <w:p>
      <w:pPr>
        <w:spacing w:line="480" w:lineRule="auto"/>
        <w:rPr>
          <w:rFonts w:ascii="Times New Roman" w:hAnsi="Times New Roman" w:eastAsia="等线" w:cs="Times New Roman"/>
          <w:bCs/>
          <w:sz w:val="20"/>
          <w:szCs w:val="20"/>
          <w:lang w:bidi="ar"/>
        </w:rPr>
      </w:pPr>
    </w:p>
    <w:p>
      <w:pPr>
        <w:widowControl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ascii="Times New Roman" w:hAnsi="Times New Roman" w:eastAsia="等线" w:cs="Times New Roman"/>
          <w:b/>
          <w:bCs/>
          <w:color w:val="000000"/>
          <w:szCs w:val="21"/>
          <w:lang w:bidi="ar"/>
        </w:rPr>
        <w:t>Additional file 3 Figure S2.</w:t>
      </w:r>
      <w:r>
        <w:rPr>
          <w:rFonts w:ascii="Times New Roman" w:hAnsi="Times New Roman" w:eastAsia="等线" w:cs="Times New Roman"/>
          <w:bCs/>
          <w:sz w:val="20"/>
          <w:szCs w:val="20"/>
          <w:lang w:bidi="ar"/>
        </w:rPr>
        <w:t xml:space="preserve"> </w:t>
      </w:r>
      <w:r>
        <w:rPr>
          <w:rFonts w:hint="eastAsia" w:ascii="Times New Roman" w:hAnsi="Times New Roman" w:eastAsia="等线" w:cs="Times New Roman"/>
          <w:bCs/>
          <w:sz w:val="20"/>
          <w:szCs w:val="20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The original images for Western Blotting in artical. The bands were visualized using the ImageQuant LAS 500.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M2JkN2UxODBiNTk3YjUxMmE5YWM3MGQzYTVhODQifQ=="/>
  </w:docVars>
  <w:rsids>
    <w:rsidRoot w:val="00000000"/>
    <w:rsid w:val="488D48BC"/>
    <w:rsid w:val="55A5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526</Characters>
  <Lines>0</Lines>
  <Paragraphs>0</Paragraphs>
  <TotalTime>0</TotalTime>
  <ScaleCrop>false</ScaleCrop>
  <LinksUpToDate>false</LinksUpToDate>
  <CharactersWithSpaces>619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2022-11-29T18:37:00Z</dcterms:created>
  <dc:creator>章志诚</dc:creator>
  <cp:lastModifiedBy>Swift</cp:lastModifiedBy>
  <dcterms:modified xsi:type="dcterms:W3CDTF">2022-11-29T18:39:37Z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E8B95CC995394A1B93733053F14CF625</vt:lpwstr>
  </property>
</Properties>
</file>