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503906" w14:textId="54D74A7E" w:rsidR="00C452D0" w:rsidRDefault="00C452D0" w:rsidP="00C452D0">
      <w:pPr>
        <w:spacing w:after="120" w:line="480" w:lineRule="auto"/>
        <w:rPr>
          <w:rFonts w:ascii="Times" w:hAnsi="Times"/>
          <w:b/>
          <w:bCs/>
          <w:lang w:val="en-US"/>
        </w:rPr>
      </w:pPr>
      <w:r w:rsidRPr="00A125C6">
        <w:rPr>
          <w:rFonts w:ascii="Times" w:eastAsia="Arial" w:hAnsi="Times" w:cs="Arial"/>
          <w:b/>
          <w:bCs/>
          <w:lang w:val="en-US"/>
        </w:rPr>
        <w:t xml:space="preserve">Supplemental </w:t>
      </w:r>
      <w:r w:rsidR="00E3591B" w:rsidRPr="00A125C6">
        <w:rPr>
          <w:rFonts w:ascii="Times" w:eastAsia="Arial" w:hAnsi="Times" w:cs="Arial"/>
          <w:b/>
          <w:bCs/>
          <w:lang w:val="en-US"/>
        </w:rPr>
        <w:t xml:space="preserve">Digital Content </w:t>
      </w:r>
      <w:r w:rsidRPr="00A125C6">
        <w:rPr>
          <w:rFonts w:ascii="Times" w:eastAsia="Arial" w:hAnsi="Times" w:cs="Arial"/>
          <w:b/>
          <w:bCs/>
          <w:lang w:val="en-US"/>
        </w:rPr>
        <w:t>1</w:t>
      </w:r>
    </w:p>
    <w:p w14:paraId="6D503907" w14:textId="77777777" w:rsidR="00C452D0" w:rsidRDefault="00C452D0" w:rsidP="00C452D0">
      <w:pPr>
        <w:spacing w:after="120" w:line="480" w:lineRule="auto"/>
        <w:rPr>
          <w:rFonts w:ascii="Times" w:hAnsi="Times"/>
          <w:b/>
          <w:bCs/>
          <w:lang w:val="en-US"/>
        </w:rPr>
      </w:pPr>
    </w:p>
    <w:p w14:paraId="6D503909" w14:textId="301C1AF5" w:rsidR="00C452D0" w:rsidRPr="00F935F4" w:rsidRDefault="00C452D0" w:rsidP="00C452D0">
      <w:pPr>
        <w:spacing w:after="120" w:line="480" w:lineRule="auto"/>
        <w:rPr>
          <w:rFonts w:ascii="Times" w:hAnsi="Times"/>
          <w:b/>
          <w:bCs/>
          <w:lang w:val="en-US"/>
        </w:rPr>
      </w:pPr>
      <w:r w:rsidRPr="00A125C6">
        <w:rPr>
          <w:rFonts w:ascii="Times" w:hAnsi="Times"/>
          <w:b/>
          <w:bCs/>
          <w:lang w:val="en-US"/>
        </w:rPr>
        <w:t xml:space="preserve">ICU </w:t>
      </w:r>
      <w:r w:rsidR="00E3591B" w:rsidRPr="00A125C6">
        <w:rPr>
          <w:rFonts w:ascii="Times" w:hAnsi="Times"/>
          <w:b/>
          <w:bCs/>
          <w:lang w:val="en-US"/>
        </w:rPr>
        <w:t xml:space="preserve">Care </w:t>
      </w:r>
      <w:r w:rsidRPr="00A125C6">
        <w:rPr>
          <w:rFonts w:ascii="Times" w:hAnsi="Times"/>
          <w:b/>
          <w:bCs/>
          <w:lang w:val="en-US"/>
        </w:rPr>
        <w:t>and COVID-</w:t>
      </w:r>
      <w:r>
        <w:rPr>
          <w:rFonts w:ascii="Times" w:hAnsi="Times"/>
          <w:b/>
          <w:bCs/>
          <w:lang w:val="en-US"/>
        </w:rPr>
        <w:t xml:space="preserve">19 </w:t>
      </w:r>
      <w:r w:rsidR="00E3591B" w:rsidRPr="00A125C6">
        <w:rPr>
          <w:rFonts w:ascii="Times" w:hAnsi="Times"/>
          <w:b/>
          <w:bCs/>
          <w:lang w:val="en-US"/>
        </w:rPr>
        <w:t>Specific Therapies</w:t>
      </w:r>
    </w:p>
    <w:p w14:paraId="6D50390A" w14:textId="77777777" w:rsidR="00C452D0" w:rsidRPr="00A125C6" w:rsidRDefault="00C452D0" w:rsidP="00C452D0">
      <w:pPr>
        <w:pStyle w:val="Corpo"/>
        <w:spacing w:after="120" w:line="480" w:lineRule="auto"/>
        <w:rPr>
          <w:rFonts w:ascii="Times" w:hAnsi="Times"/>
          <w:sz w:val="24"/>
          <w:szCs w:val="24"/>
          <w:lang w:val="en-US"/>
        </w:rPr>
      </w:pPr>
      <w:r w:rsidRPr="00A125C6">
        <w:rPr>
          <w:rFonts w:ascii="Times" w:eastAsia="Arial" w:hAnsi="Times" w:cs="Arial"/>
          <w:sz w:val="24"/>
          <w:szCs w:val="24"/>
          <w:lang w:val="en-US"/>
        </w:rPr>
        <w:t xml:space="preserve">Individualized lung-protective ventilation was used, as defined by currently accepted guidelines. </w:t>
      </w:r>
      <w:r w:rsidRPr="00A125C6">
        <w:rPr>
          <w:rFonts w:ascii="Times" w:eastAsia="Arial" w:hAnsi="Times" w:cs="Arial"/>
          <w:noProof/>
          <w:sz w:val="24"/>
          <w:szCs w:val="24"/>
          <w:vertAlign w:val="superscript"/>
          <w:lang w:val="en-US"/>
        </w:rPr>
        <w:t>1,2</w:t>
      </w:r>
      <w:r w:rsidRPr="00A125C6">
        <w:rPr>
          <w:rFonts w:ascii="Times" w:eastAsia="Arial" w:hAnsi="Times" w:cs="Arial"/>
          <w:sz w:val="24"/>
          <w:szCs w:val="24"/>
          <w:lang w:val="en-US"/>
        </w:rPr>
        <w:t xml:space="preserve"> Briefly, a tidal volume of 6 ml/kg of the predicted body weight was set, with the highest positive end-expiratory pressure (PEEP) generating a plateau pressure lower than 30 CmH</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O and a driving pressure (</w:t>
      </w:r>
      <w:proofErr w:type="spellStart"/>
      <w:r w:rsidRPr="00A125C6">
        <w:rPr>
          <w:rFonts w:ascii="Times" w:eastAsia="Arial" w:hAnsi="Times" w:cs="Arial"/>
          <w:sz w:val="24"/>
          <w:szCs w:val="24"/>
          <w:lang w:val="en-US"/>
        </w:rPr>
        <w:t>dP</w:t>
      </w:r>
      <w:proofErr w:type="spellEnd"/>
      <w:r w:rsidRPr="00A125C6">
        <w:rPr>
          <w:rFonts w:ascii="Times" w:eastAsia="Arial" w:hAnsi="Times" w:cs="Arial"/>
          <w:sz w:val="24"/>
          <w:szCs w:val="24"/>
          <w:lang w:val="en-US"/>
        </w:rPr>
        <w:t>= plateau pressure-PEEP) lower than 12 cmH</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O</w:t>
      </w:r>
      <w:r w:rsidRPr="00A125C6">
        <w:rPr>
          <w:rFonts w:ascii="Times" w:eastAsia="Arial" w:hAnsi="Times" w:cs="Arial"/>
          <w:noProof/>
          <w:sz w:val="24"/>
          <w:szCs w:val="24"/>
          <w:vertAlign w:val="superscript"/>
          <w:lang w:val="en-US"/>
        </w:rPr>
        <w:t>3</w:t>
      </w:r>
      <w:r w:rsidRPr="00A125C6">
        <w:rPr>
          <w:rFonts w:ascii="Times" w:eastAsia="Arial" w:hAnsi="Times" w:cs="Arial"/>
          <w:sz w:val="24"/>
          <w:szCs w:val="24"/>
          <w:lang w:val="en-US"/>
        </w:rPr>
        <w:t>. The lowest possible fraction of inspired oxygen (FiO</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 was maintained to achieve PaO</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 or SpO</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 targets of 55 mmHg, or 88%, respectively. Hypercapnia was permissibly tolerated, with a maximum respiratory rate of 30 breaths/min and a pH of 7.3 as limits. Pronation was considered during the first 48 hours for patients with a PaO</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/FiO</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 xml:space="preserve"> lower than 150. As per institutional practice and based on clinical judgment, lung recruitment maneuvers (LRM) were performed with one or more of the following criteria:</w:t>
      </w:r>
    </w:p>
    <w:p w14:paraId="6D50390B" w14:textId="77777777" w:rsidR="00C452D0" w:rsidRPr="00A125C6" w:rsidRDefault="00C452D0" w:rsidP="00C452D0">
      <w:pPr>
        <w:pStyle w:val="Corpo"/>
        <w:spacing w:after="120" w:line="480" w:lineRule="auto"/>
        <w:rPr>
          <w:rFonts w:ascii="Times" w:hAnsi="Times"/>
          <w:sz w:val="24"/>
          <w:szCs w:val="24"/>
          <w:lang w:val="en-US"/>
        </w:rPr>
      </w:pPr>
      <w:r w:rsidRPr="00A125C6">
        <w:rPr>
          <w:rFonts w:ascii="Times" w:eastAsia="Arial" w:hAnsi="Times" w:cs="Arial"/>
          <w:sz w:val="24"/>
          <w:szCs w:val="24"/>
          <w:lang w:val="en-US"/>
        </w:rPr>
        <w:t>- body mass index higher than 30 Kg/</w:t>
      </w:r>
      <w:proofErr w:type="gramStart"/>
      <w:r w:rsidRPr="00A125C6">
        <w:rPr>
          <w:rFonts w:ascii="Times" w:eastAsia="Arial" w:hAnsi="Times" w:cs="Arial"/>
          <w:sz w:val="24"/>
          <w:szCs w:val="24"/>
          <w:lang w:val="en-US"/>
        </w:rPr>
        <w:t>m</w:t>
      </w:r>
      <w:r w:rsidRPr="00A125C6">
        <w:rPr>
          <w:rFonts w:ascii="Times" w:eastAsia="Arial" w:hAnsi="Times" w:cs="Arial"/>
          <w:sz w:val="24"/>
          <w:szCs w:val="24"/>
          <w:vertAlign w:val="superscript"/>
          <w:lang w:val="en-US"/>
        </w:rPr>
        <w:t>2</w:t>
      </w:r>
      <w:r w:rsidRPr="00A125C6">
        <w:rPr>
          <w:rFonts w:ascii="Times" w:eastAsia="Arial" w:hAnsi="Times" w:cs="Arial"/>
          <w:sz w:val="24"/>
          <w:szCs w:val="24"/>
          <w:lang w:val="en-US"/>
        </w:rPr>
        <w:t>;</w:t>
      </w:r>
      <w:proofErr w:type="gramEnd"/>
    </w:p>
    <w:p w14:paraId="6D50390C" w14:textId="77777777" w:rsidR="00C452D0" w:rsidRPr="00A125C6" w:rsidRDefault="00C452D0" w:rsidP="00C452D0">
      <w:pPr>
        <w:pStyle w:val="Corpo"/>
        <w:spacing w:after="120" w:line="480" w:lineRule="auto"/>
        <w:rPr>
          <w:rFonts w:ascii="Times" w:hAnsi="Times"/>
          <w:sz w:val="24"/>
          <w:szCs w:val="24"/>
          <w:lang w:val="en-US"/>
        </w:rPr>
      </w:pPr>
      <w:r w:rsidRPr="00A125C6">
        <w:rPr>
          <w:rFonts w:ascii="Times" w:eastAsia="Arial" w:hAnsi="Times" w:cs="Arial"/>
          <w:sz w:val="24"/>
          <w:szCs w:val="24"/>
          <w:lang w:val="en-US"/>
        </w:rPr>
        <w:t>- paO</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/FiO</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 xml:space="preserve"> lower than 150 with pronation </w:t>
      </w:r>
      <w:proofErr w:type="gramStart"/>
      <w:r w:rsidRPr="00A125C6">
        <w:rPr>
          <w:rFonts w:ascii="Times" w:eastAsia="Arial" w:hAnsi="Times" w:cs="Arial"/>
          <w:sz w:val="24"/>
          <w:szCs w:val="24"/>
          <w:lang w:val="en-US"/>
        </w:rPr>
        <w:t>unfeasible;</w:t>
      </w:r>
      <w:proofErr w:type="gramEnd"/>
    </w:p>
    <w:p w14:paraId="6D50390D" w14:textId="77777777" w:rsidR="00C452D0" w:rsidRPr="00A125C6" w:rsidRDefault="00C452D0" w:rsidP="00C452D0">
      <w:pPr>
        <w:pStyle w:val="Corpo"/>
        <w:spacing w:after="120" w:line="480" w:lineRule="auto"/>
        <w:rPr>
          <w:rFonts w:ascii="Times" w:hAnsi="Times"/>
          <w:sz w:val="24"/>
          <w:szCs w:val="24"/>
          <w:lang w:val="en-US"/>
        </w:rPr>
      </w:pPr>
      <w:r w:rsidRPr="00A125C6">
        <w:rPr>
          <w:rFonts w:ascii="Times" w:eastAsia="Arial" w:hAnsi="Times" w:cs="Arial"/>
          <w:sz w:val="24"/>
          <w:szCs w:val="24"/>
          <w:lang w:val="en-US"/>
        </w:rPr>
        <w:t>- persistent degree severe hypoxemia despite pronation.</w:t>
      </w:r>
    </w:p>
    <w:p w14:paraId="6D50390E" w14:textId="77777777" w:rsidR="00C452D0" w:rsidRPr="00A125C6" w:rsidRDefault="00C452D0" w:rsidP="00C452D0">
      <w:pPr>
        <w:pStyle w:val="Corpo"/>
        <w:spacing w:after="120" w:line="480" w:lineRule="auto"/>
        <w:rPr>
          <w:rFonts w:ascii="Times" w:hAnsi="Times"/>
          <w:sz w:val="24"/>
          <w:szCs w:val="24"/>
          <w:lang w:val="en-US"/>
        </w:rPr>
      </w:pPr>
    </w:p>
    <w:p w14:paraId="6D50390F" w14:textId="77777777" w:rsidR="00C452D0" w:rsidRPr="00A125C6" w:rsidRDefault="00C452D0" w:rsidP="00C452D0">
      <w:pPr>
        <w:pStyle w:val="Corpo"/>
        <w:spacing w:after="120" w:line="480" w:lineRule="auto"/>
        <w:rPr>
          <w:rFonts w:ascii="Times" w:eastAsia="Arial" w:hAnsi="Times" w:cs="Arial"/>
          <w:sz w:val="24"/>
          <w:szCs w:val="24"/>
          <w:lang w:val="en-US"/>
        </w:rPr>
      </w:pPr>
      <w:r w:rsidRPr="00A125C6">
        <w:rPr>
          <w:rFonts w:ascii="Times" w:eastAsia="Arial" w:hAnsi="Times" w:cs="Arial"/>
          <w:sz w:val="24"/>
          <w:szCs w:val="24"/>
          <w:lang w:val="en-US"/>
        </w:rPr>
        <w:t>LRMs were performed in pressure-controlled ventilation at driving pressure of 15 cmH</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O, by a stepwise increase in PEEP 5 cmH</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O every 30 seconds, targeting a maximum plateau pressure of 40 cmH</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 xml:space="preserve">O held for 1 min. A decremental PEEP titration was performed in volume-controlled ventilation until the level with the lowest </w:t>
      </w:r>
      <w:proofErr w:type="spellStart"/>
      <w:r w:rsidRPr="00A125C6">
        <w:rPr>
          <w:rFonts w:ascii="Times" w:eastAsia="Arial" w:hAnsi="Times" w:cs="Arial"/>
          <w:sz w:val="24"/>
          <w:szCs w:val="24"/>
          <w:lang w:val="en-US"/>
        </w:rPr>
        <w:t>dP</w:t>
      </w:r>
      <w:proofErr w:type="spellEnd"/>
      <w:r w:rsidRPr="00A125C6">
        <w:rPr>
          <w:rFonts w:ascii="Times" w:eastAsia="Arial" w:hAnsi="Times" w:cs="Arial"/>
          <w:sz w:val="24"/>
          <w:szCs w:val="24"/>
          <w:lang w:val="en-US"/>
        </w:rPr>
        <w:t xml:space="preserve"> and the highest static compliance was identified. The "best PEEP" was then set with an additional +2 cmH</w:t>
      </w:r>
      <w:r w:rsidRPr="00A125C6">
        <w:rPr>
          <w:rFonts w:ascii="Times" w:eastAsia="Arial" w:hAnsi="Times" w:cs="Arial"/>
          <w:sz w:val="24"/>
          <w:szCs w:val="24"/>
          <w:vertAlign w:val="subscript"/>
          <w:lang w:val="en-US"/>
        </w:rPr>
        <w:t>2</w:t>
      </w:r>
      <w:r w:rsidRPr="00A125C6">
        <w:rPr>
          <w:rFonts w:ascii="Times" w:eastAsia="Arial" w:hAnsi="Times" w:cs="Arial"/>
          <w:sz w:val="24"/>
          <w:szCs w:val="24"/>
          <w:lang w:val="en-US"/>
        </w:rPr>
        <w:t>O.</w:t>
      </w:r>
      <w:r w:rsidRPr="00A125C6">
        <w:rPr>
          <w:rFonts w:ascii="Times" w:hAnsi="Times"/>
          <w:sz w:val="24"/>
          <w:szCs w:val="24"/>
          <w:lang w:val="en-US"/>
        </w:rPr>
        <w:t xml:space="preserve"> </w:t>
      </w:r>
      <w:r w:rsidRPr="00A125C6">
        <w:rPr>
          <w:rFonts w:ascii="Times" w:hAnsi="Times"/>
          <w:noProof/>
          <w:sz w:val="24"/>
          <w:szCs w:val="24"/>
          <w:vertAlign w:val="superscript"/>
          <w:lang w:val="en-US"/>
        </w:rPr>
        <w:t>4,5</w:t>
      </w:r>
      <w:r w:rsidRPr="00A125C6">
        <w:rPr>
          <w:rFonts w:ascii="Times" w:hAnsi="Times"/>
          <w:sz w:val="24"/>
          <w:szCs w:val="24"/>
          <w:lang w:val="en-US"/>
        </w:rPr>
        <w:t xml:space="preserve"> </w:t>
      </w:r>
      <w:r w:rsidRPr="00A125C6">
        <w:rPr>
          <w:rFonts w:ascii="Times" w:eastAsia="Arial" w:hAnsi="Times" w:cs="Arial"/>
          <w:sz w:val="24"/>
          <w:szCs w:val="24"/>
          <w:lang w:val="en-US"/>
        </w:rPr>
        <w:t>The artificial airway was clamped in case any intervention requiring disconnection from the ventilator was deemed necessary.</w:t>
      </w:r>
    </w:p>
    <w:p w14:paraId="6D503910" w14:textId="2D40C9F5" w:rsidR="00C452D0" w:rsidRPr="00A125C6" w:rsidRDefault="00C452D0" w:rsidP="00C452D0">
      <w:pPr>
        <w:pStyle w:val="Corpo"/>
        <w:spacing w:after="120" w:line="480" w:lineRule="auto"/>
        <w:rPr>
          <w:rFonts w:ascii="Times" w:eastAsia="Arial" w:hAnsi="Times" w:cs="Arial"/>
          <w:sz w:val="24"/>
          <w:szCs w:val="24"/>
          <w:lang w:val="en-US"/>
        </w:rPr>
      </w:pPr>
      <w:r w:rsidRPr="00A125C6">
        <w:rPr>
          <w:rFonts w:ascii="Times" w:eastAsia="Arial" w:hAnsi="Times" w:cs="Arial"/>
          <w:sz w:val="24"/>
          <w:szCs w:val="24"/>
          <w:lang w:val="en-US"/>
        </w:rPr>
        <w:t>On a case-by-case basis, inhaled nitric oxide was considered as a rescue strategy for refractory hypoxemia. The use of veno-venous extracorporeal membrane oxygenation (VV-ECMO) was limited to patients younger than 60 years old and only if applicable within the first ten days of mechanical ventilation.</w:t>
      </w:r>
    </w:p>
    <w:p w14:paraId="0AF6DC99" w14:textId="775EC0EE" w:rsidR="00E47588" w:rsidRPr="003B1B19" w:rsidRDefault="00C452D0" w:rsidP="00E3591B">
      <w:pPr>
        <w:pStyle w:val="Corpo"/>
        <w:spacing w:after="120" w:line="480" w:lineRule="auto"/>
        <w:rPr>
          <w:rFonts w:ascii="Times" w:eastAsia="Arial" w:hAnsi="Times" w:cs="Arial"/>
          <w:color w:val="000000" w:themeColor="text1"/>
          <w:sz w:val="24"/>
          <w:szCs w:val="24"/>
          <w:lang w:val="en-US"/>
        </w:rPr>
      </w:pPr>
      <w:r w:rsidRPr="00A125C6">
        <w:rPr>
          <w:rFonts w:ascii="Times" w:eastAsia="Arial" w:hAnsi="Times" w:cs="Arial"/>
          <w:sz w:val="24"/>
          <w:szCs w:val="24"/>
          <w:lang w:val="en-US"/>
        </w:rPr>
        <w:t xml:space="preserve">Full coverage of the makeshift OR-ICU was provided by the same medical, nursing, and support staff of the regular ICU. Physicians working in every ICU institution-wide are highly trained individuals in the field of anesthesia and critical care who routinely work with both anesthesia machines </w:t>
      </w:r>
      <w:r w:rsidRPr="003B1B19">
        <w:rPr>
          <w:rFonts w:ascii="Times" w:eastAsia="Arial" w:hAnsi="Times" w:cs="Arial"/>
          <w:color w:val="000000" w:themeColor="text1"/>
          <w:sz w:val="24"/>
          <w:szCs w:val="24"/>
          <w:lang w:val="en-US"/>
        </w:rPr>
        <w:t>and ICU ventilators.</w:t>
      </w:r>
      <w:r w:rsidR="00E47588" w:rsidRPr="003B1B19">
        <w:rPr>
          <w:rFonts w:ascii="Times" w:eastAsia="Arial" w:hAnsi="Times" w:cs="Arial"/>
          <w:color w:val="000000" w:themeColor="text1"/>
          <w:sz w:val="24"/>
          <w:szCs w:val="24"/>
          <w:lang w:val="en-US"/>
        </w:rPr>
        <w:t xml:space="preserve"> </w:t>
      </w:r>
      <w:r w:rsidR="00A601E8" w:rsidRPr="003B1B19">
        <w:rPr>
          <w:rFonts w:ascii="Times" w:eastAsia="Arial" w:hAnsi="Times" w:cs="Arial"/>
          <w:color w:val="000000" w:themeColor="text1"/>
          <w:lang w:val="en-US"/>
        </w:rPr>
        <w:t xml:space="preserve">The personnel to </w:t>
      </w:r>
      <w:proofErr w:type="gramStart"/>
      <w:r w:rsidR="00A601E8" w:rsidRPr="003B1B19">
        <w:rPr>
          <w:rFonts w:ascii="Times" w:eastAsia="Arial" w:hAnsi="Times" w:cs="Arial"/>
          <w:color w:val="000000" w:themeColor="text1"/>
          <w:lang w:val="en-US"/>
        </w:rPr>
        <w:t>patients</w:t>
      </w:r>
      <w:proofErr w:type="gramEnd"/>
      <w:r w:rsidR="00A601E8" w:rsidRPr="003B1B19">
        <w:rPr>
          <w:rFonts w:ascii="Times" w:eastAsia="Arial" w:hAnsi="Times" w:cs="Arial"/>
          <w:color w:val="000000" w:themeColor="text1"/>
          <w:lang w:val="en-US"/>
        </w:rPr>
        <w:t xml:space="preserve"> ratio during the day were as follows:</w:t>
      </w:r>
    </w:p>
    <w:p w14:paraId="302A041E" w14:textId="3A2A7C7F" w:rsidR="00A601E8" w:rsidRPr="003B1B19" w:rsidRDefault="00A601E8" w:rsidP="00E3591B">
      <w:pPr>
        <w:spacing w:line="480" w:lineRule="auto"/>
        <w:ind w:left="708"/>
        <w:rPr>
          <w:rFonts w:ascii="Times" w:eastAsia="Arial" w:hAnsi="Times" w:cs="Arial"/>
          <w:b/>
          <w:bCs/>
          <w:color w:val="000000" w:themeColor="text1"/>
          <w:bdr w:val="nil"/>
          <w:lang w:val="en-US"/>
          <w14:textOutline w14:w="0" w14:cap="flat" w14:cmpd="sng" w14:algn="ctr">
            <w14:noFill/>
            <w14:prstDash w14:val="solid"/>
            <w14:bevel/>
          </w14:textOutline>
        </w:rPr>
      </w:pPr>
      <w:r w:rsidRPr="003B1B19">
        <w:rPr>
          <w:rFonts w:ascii="Times" w:eastAsia="Arial" w:hAnsi="Times" w:cs="Arial"/>
          <w:b/>
          <w:bCs/>
          <w:color w:val="000000" w:themeColor="text1"/>
          <w:bdr w:val="nil"/>
          <w:lang w:val="en-US"/>
          <w14:textOutline w14:w="0" w14:cap="flat" w14:cmpd="sng" w14:algn="ctr">
            <w14:noFill/>
            <w14:prstDash w14:val="solid"/>
            <w14:bevel/>
          </w14:textOutline>
        </w:rPr>
        <w:t>Standard-ICU (27 beds)</w:t>
      </w:r>
    </w:p>
    <w:p w14:paraId="56ECD1FB" w14:textId="77777777" w:rsidR="00A601E8" w:rsidRPr="003B1B19" w:rsidRDefault="00A601E8" w:rsidP="00E3591B">
      <w:pPr>
        <w:spacing w:line="480" w:lineRule="auto"/>
        <w:ind w:left="708"/>
        <w:rPr>
          <w:rFonts w:ascii="Times" w:eastAsia="Arial" w:hAnsi="Times" w:cs="Arial"/>
          <w:color w:val="000000" w:themeColor="text1"/>
          <w:bdr w:val="nil"/>
          <w:lang w:val="en-US"/>
          <w14:textOutline w14:w="0" w14:cap="flat" w14:cmpd="sng" w14:algn="ctr">
            <w14:noFill/>
            <w14:prstDash w14:val="solid"/>
            <w14:bevel/>
          </w14:textOutline>
        </w:rPr>
      </w:pPr>
      <w:r w:rsidRPr="003B1B19">
        <w:rPr>
          <w:rFonts w:ascii="Times" w:eastAsia="Arial" w:hAnsi="Times" w:cs="Arial"/>
          <w:color w:val="000000" w:themeColor="text1"/>
          <w:bdr w:val="nil"/>
          <w:lang w:val="en-US"/>
          <w14:textOutline w14:w="0" w14:cap="flat" w14:cmpd="sng" w14:algn="ctr">
            <w14:noFill/>
            <w14:prstDash w14:val="solid"/>
            <w14:bevel/>
          </w14:textOutline>
        </w:rPr>
        <w:t>Physician-to-patient: Morning 1:4.5 - Afternoon 1:5.5 - Night 1:9</w:t>
      </w:r>
    </w:p>
    <w:p w14:paraId="6548EFF5" w14:textId="56D08271" w:rsidR="00E47588" w:rsidRPr="003B1B19" w:rsidRDefault="00A601E8" w:rsidP="00E3591B">
      <w:pPr>
        <w:spacing w:line="480" w:lineRule="auto"/>
        <w:ind w:left="708"/>
        <w:rPr>
          <w:rFonts w:ascii="Times" w:eastAsia="Arial" w:hAnsi="Times" w:cs="Arial"/>
          <w:color w:val="000000" w:themeColor="text1"/>
          <w:bdr w:val="nil"/>
          <w:lang w:val="en-US"/>
          <w14:textOutline w14:w="0" w14:cap="flat" w14:cmpd="sng" w14:algn="ctr">
            <w14:noFill/>
            <w14:prstDash w14:val="solid"/>
            <w14:bevel/>
          </w14:textOutline>
        </w:rPr>
      </w:pPr>
      <w:r w:rsidRPr="003B1B19">
        <w:rPr>
          <w:rFonts w:ascii="Times" w:eastAsia="Arial" w:hAnsi="Times" w:cs="Arial"/>
          <w:color w:val="000000" w:themeColor="text1"/>
          <w:bdr w:val="nil"/>
          <w:lang w:val="en-US"/>
          <w14:textOutline w14:w="0" w14:cap="flat" w14:cmpd="sng" w14:algn="ctr">
            <w14:noFill/>
            <w14:prstDash w14:val="solid"/>
            <w14:bevel/>
          </w14:textOutline>
        </w:rPr>
        <w:t>Nurse-to-patient: Morning 1:2 - Afternoon 1:3 - Night 1:3</w:t>
      </w:r>
    </w:p>
    <w:p w14:paraId="022CCA9E" w14:textId="7FF2DEEF" w:rsidR="00A601E8" w:rsidRPr="003B1B19" w:rsidRDefault="00A601E8" w:rsidP="00E3591B">
      <w:pPr>
        <w:spacing w:line="480" w:lineRule="auto"/>
        <w:ind w:left="708"/>
        <w:rPr>
          <w:rFonts w:ascii="Times" w:eastAsia="Arial" w:hAnsi="Times" w:cs="Arial"/>
          <w:b/>
          <w:bCs/>
          <w:color w:val="000000" w:themeColor="text1"/>
          <w:bdr w:val="nil"/>
          <w:lang w:val="en-US"/>
          <w14:textOutline w14:w="0" w14:cap="flat" w14:cmpd="sng" w14:algn="ctr">
            <w14:noFill/>
            <w14:prstDash w14:val="solid"/>
            <w14:bevel/>
          </w14:textOutline>
        </w:rPr>
      </w:pPr>
      <w:r w:rsidRPr="003B1B19">
        <w:rPr>
          <w:rFonts w:ascii="Times" w:eastAsia="Arial" w:hAnsi="Times" w:cs="Arial"/>
          <w:b/>
          <w:bCs/>
          <w:color w:val="000000" w:themeColor="text1"/>
          <w:bdr w:val="nil"/>
          <w:lang w:val="en-US"/>
          <w14:textOutline w14:w="0" w14:cap="flat" w14:cmpd="sng" w14:algn="ctr">
            <w14:noFill/>
            <w14:prstDash w14:val="solid"/>
            <w14:bevel/>
          </w14:textOutline>
        </w:rPr>
        <w:t>OR-ICU</w:t>
      </w:r>
      <w:r w:rsidR="00F935F4" w:rsidRPr="003B1B19">
        <w:rPr>
          <w:rFonts w:ascii="Times" w:eastAsia="Arial" w:hAnsi="Times" w:cs="Arial"/>
          <w:b/>
          <w:bCs/>
          <w:color w:val="000000" w:themeColor="text1"/>
          <w:bdr w:val="nil"/>
          <w:lang w:val="en-US"/>
          <w14:textOutline w14:w="0" w14:cap="flat" w14:cmpd="sng" w14:algn="ctr">
            <w14:noFill/>
            <w14:prstDash w14:val="solid"/>
            <w14:bevel/>
          </w14:textOutline>
        </w:rPr>
        <w:t xml:space="preserve"> (15 beds)</w:t>
      </w:r>
      <w:r w:rsidRPr="003B1B19">
        <w:rPr>
          <w:rFonts w:ascii="Times" w:eastAsia="Arial" w:hAnsi="Times" w:cs="Arial"/>
          <w:b/>
          <w:bCs/>
          <w:color w:val="000000" w:themeColor="text1"/>
          <w:bdr w:val="nil"/>
          <w:lang w:val="en-US"/>
          <w14:textOutline w14:w="0" w14:cap="flat" w14:cmpd="sng" w14:algn="ctr">
            <w14:noFill/>
            <w14:prstDash w14:val="solid"/>
            <w14:bevel/>
          </w14:textOutline>
        </w:rPr>
        <w:t xml:space="preserve">:  </w:t>
      </w:r>
    </w:p>
    <w:p w14:paraId="0B65D17D" w14:textId="77777777" w:rsidR="00A601E8" w:rsidRPr="003B1B19" w:rsidRDefault="00A601E8" w:rsidP="00E3591B">
      <w:pPr>
        <w:spacing w:line="480" w:lineRule="auto"/>
        <w:ind w:left="708"/>
        <w:rPr>
          <w:rFonts w:ascii="Times" w:eastAsia="Arial" w:hAnsi="Times" w:cs="Arial"/>
          <w:color w:val="000000" w:themeColor="text1"/>
          <w:bdr w:val="nil"/>
          <w:lang w:val="en-US"/>
          <w14:textOutline w14:w="0" w14:cap="flat" w14:cmpd="sng" w14:algn="ctr">
            <w14:noFill/>
            <w14:prstDash w14:val="solid"/>
            <w14:bevel/>
          </w14:textOutline>
        </w:rPr>
      </w:pPr>
      <w:r w:rsidRPr="003B1B19">
        <w:rPr>
          <w:rFonts w:ascii="Times" w:eastAsia="Arial" w:hAnsi="Times" w:cs="Arial"/>
          <w:color w:val="000000" w:themeColor="text1"/>
          <w:bdr w:val="nil"/>
          <w:lang w:val="en-US"/>
          <w14:textOutline w14:w="0" w14:cap="flat" w14:cmpd="sng" w14:algn="ctr">
            <w14:noFill/>
            <w14:prstDash w14:val="solid"/>
            <w14:bevel/>
          </w14:textOutline>
        </w:rPr>
        <w:t>Physicians: Morning 1:4 - Afternoon 1:5 - Night 1:7.5</w:t>
      </w:r>
    </w:p>
    <w:p w14:paraId="5C2263D4" w14:textId="77777777" w:rsidR="00A601E8" w:rsidRPr="003B1B19" w:rsidRDefault="00A601E8" w:rsidP="00E3591B">
      <w:pPr>
        <w:spacing w:line="480" w:lineRule="auto"/>
        <w:ind w:left="708"/>
        <w:rPr>
          <w:rFonts w:ascii="Times" w:eastAsia="Arial" w:hAnsi="Times" w:cs="Arial"/>
          <w:color w:val="000000" w:themeColor="text1"/>
          <w:bdr w:val="nil"/>
          <w:lang w:val="en-US"/>
          <w14:textOutline w14:w="0" w14:cap="flat" w14:cmpd="sng" w14:algn="ctr">
            <w14:noFill/>
            <w14:prstDash w14:val="solid"/>
            <w14:bevel/>
          </w14:textOutline>
        </w:rPr>
      </w:pPr>
      <w:r w:rsidRPr="003B1B19">
        <w:rPr>
          <w:rFonts w:ascii="Times" w:eastAsia="Arial" w:hAnsi="Times" w:cs="Arial"/>
          <w:color w:val="000000" w:themeColor="text1"/>
          <w:bdr w:val="nil"/>
          <w:lang w:val="en-US"/>
          <w14:textOutline w14:w="0" w14:cap="flat" w14:cmpd="sng" w14:algn="ctr">
            <w14:noFill/>
            <w14:prstDash w14:val="solid"/>
            <w14:bevel/>
          </w14:textOutline>
        </w:rPr>
        <w:t>Nurses: Morning 1:2 - Afternoon 1:2 - Night 1:2</w:t>
      </w:r>
    </w:p>
    <w:p w14:paraId="2E5CAE6C" w14:textId="77777777" w:rsidR="00A601E8" w:rsidRPr="003B1B19" w:rsidRDefault="00A601E8" w:rsidP="00E47588">
      <w:pPr>
        <w:spacing w:line="480" w:lineRule="auto"/>
        <w:rPr>
          <w:rFonts w:ascii="Times" w:eastAsia="Arial" w:hAnsi="Times" w:cs="Arial"/>
          <w:color w:val="000000" w:themeColor="text1"/>
          <w:bdr w:val="nil"/>
          <w:lang w:val="en-US"/>
          <w14:textOutline w14:w="0" w14:cap="flat" w14:cmpd="sng" w14:algn="ctr">
            <w14:noFill/>
            <w14:prstDash w14:val="solid"/>
            <w14:bevel/>
          </w14:textOutline>
        </w:rPr>
      </w:pPr>
    </w:p>
    <w:p w14:paraId="5C72C5DF" w14:textId="5D2B179B" w:rsidR="00A601E8" w:rsidRPr="003B1B19" w:rsidRDefault="00A601E8" w:rsidP="002168F5">
      <w:pPr>
        <w:spacing w:line="480" w:lineRule="auto"/>
        <w:rPr>
          <w:rFonts w:ascii="Times" w:eastAsia="Arial" w:hAnsi="Times" w:cs="Arial"/>
          <w:color w:val="000000" w:themeColor="text1"/>
          <w:bdr w:val="nil"/>
          <w:lang w:val="en-US"/>
          <w14:textOutline w14:w="0" w14:cap="flat" w14:cmpd="sng" w14:algn="ctr">
            <w14:noFill/>
            <w14:prstDash w14:val="solid"/>
            <w14:bevel/>
          </w14:textOutline>
        </w:rPr>
      </w:pPr>
      <w:r w:rsidRPr="003B1B19">
        <w:rPr>
          <w:rFonts w:ascii="Times" w:eastAsia="Arial" w:hAnsi="Times" w:cs="Arial"/>
          <w:color w:val="000000" w:themeColor="text1"/>
          <w:bdr w:val="nil"/>
          <w:lang w:val="en-US"/>
          <w14:textOutline w14:w="0" w14:cap="flat" w14:cmpd="sng" w14:algn="ctr">
            <w14:noFill/>
            <w14:prstDash w14:val="solid"/>
            <w14:bevel/>
          </w14:textOutline>
        </w:rPr>
        <w:t>No intended differences were planned with respect to physician staffing, while a slightly increased nurse-to-patient ratio was preferred in the OR-ICU due to logistical difference (5 OR ICUs of two beds each and a PACU of 5 beds making up the OR ICU compared with the normal open space in the standard ICU).</w:t>
      </w:r>
    </w:p>
    <w:p w14:paraId="6D503912" w14:textId="77777777" w:rsidR="00C452D0" w:rsidRPr="00A125C6" w:rsidRDefault="00C452D0" w:rsidP="00C452D0">
      <w:pPr>
        <w:pStyle w:val="Corpo"/>
        <w:spacing w:after="120" w:line="480" w:lineRule="auto"/>
        <w:rPr>
          <w:rFonts w:ascii="Times" w:hAnsi="Times"/>
          <w:sz w:val="24"/>
          <w:szCs w:val="24"/>
          <w:lang w:val="en-US"/>
        </w:rPr>
      </w:pPr>
    </w:p>
    <w:p w14:paraId="6D503913" w14:textId="0DF51F5E" w:rsidR="00C452D0" w:rsidRPr="00A125C6" w:rsidRDefault="00C452D0" w:rsidP="00C452D0">
      <w:pPr>
        <w:pStyle w:val="Corpo"/>
        <w:spacing w:after="120" w:line="480" w:lineRule="auto"/>
        <w:rPr>
          <w:rFonts w:ascii="Times" w:hAnsi="Times"/>
          <w:i/>
          <w:iCs/>
          <w:sz w:val="24"/>
          <w:szCs w:val="24"/>
          <w:lang w:val="en-US"/>
        </w:rPr>
      </w:pPr>
      <w:r w:rsidRPr="00A125C6">
        <w:rPr>
          <w:rFonts w:ascii="Times" w:eastAsia="Arial" w:hAnsi="Times" w:cs="Arial"/>
          <w:i/>
          <w:iCs/>
          <w:sz w:val="24"/>
          <w:szCs w:val="24"/>
          <w:lang w:val="en-US"/>
        </w:rPr>
        <w:t xml:space="preserve">COVID-19 </w:t>
      </w:r>
      <w:r w:rsidR="00E3591B" w:rsidRPr="00A125C6">
        <w:rPr>
          <w:rFonts w:ascii="Times" w:eastAsia="Arial" w:hAnsi="Times" w:cs="Arial"/>
          <w:i/>
          <w:iCs/>
          <w:sz w:val="24"/>
          <w:szCs w:val="24"/>
          <w:lang w:val="en-US"/>
        </w:rPr>
        <w:t>Specific Therapies</w:t>
      </w:r>
    </w:p>
    <w:p w14:paraId="6D503914" w14:textId="77777777" w:rsidR="00C452D0" w:rsidRPr="00A125C6" w:rsidRDefault="00C452D0" w:rsidP="00C452D0">
      <w:pPr>
        <w:pStyle w:val="Corpo"/>
        <w:spacing w:after="120" w:line="480" w:lineRule="auto"/>
        <w:rPr>
          <w:rFonts w:ascii="Times" w:hAnsi="Times"/>
          <w:sz w:val="24"/>
          <w:szCs w:val="24"/>
          <w:lang w:val="en-US"/>
        </w:rPr>
      </w:pPr>
      <w:r w:rsidRPr="00A125C6">
        <w:rPr>
          <w:rFonts w:ascii="Times" w:eastAsia="Arial" w:hAnsi="Times" w:cs="Arial"/>
          <w:sz w:val="24"/>
          <w:szCs w:val="24"/>
          <w:lang w:val="en-US"/>
        </w:rPr>
        <w:t>Indications for the administration of COVID-19 targeted therapies were based on the minimal evidence available during the early stages of the pandemic, uniformly applied throughout the institution</w:t>
      </w:r>
      <w:r w:rsidRPr="00A125C6">
        <w:rPr>
          <w:rFonts w:ascii="Times" w:eastAsia="Arial" w:hAnsi="Times" w:cs="Arial"/>
          <w:noProof/>
          <w:sz w:val="24"/>
          <w:szCs w:val="24"/>
          <w:vertAlign w:val="superscript"/>
          <w:lang w:val="en-US"/>
        </w:rPr>
        <w:t>2</w:t>
      </w:r>
      <w:r w:rsidRPr="00A125C6">
        <w:rPr>
          <w:rFonts w:ascii="Times" w:eastAsia="Arial" w:hAnsi="Times" w:cs="Arial"/>
          <w:sz w:val="24"/>
          <w:szCs w:val="24"/>
          <w:lang w:val="en-US"/>
        </w:rPr>
        <w:t>. Initially, lopinavir/ritonavir and hydroxychloroquine were prescribed for all patients. Later on, according to evidence becoming increasingly available, the use of lopinavir/ritonavir was suspended in favor of compassionate use remdesivir</w:t>
      </w:r>
      <w:r w:rsidRPr="00A125C6">
        <w:rPr>
          <w:rFonts w:ascii="Times" w:eastAsia="Arial" w:hAnsi="Times" w:cs="Arial"/>
          <w:noProof/>
          <w:sz w:val="24"/>
          <w:szCs w:val="24"/>
          <w:vertAlign w:val="superscript"/>
          <w:lang w:val="en-US"/>
        </w:rPr>
        <w:t>6,7</w:t>
      </w:r>
      <w:r w:rsidRPr="00A125C6">
        <w:rPr>
          <w:rFonts w:ascii="Times" w:eastAsia="Arial" w:hAnsi="Times" w:cs="Arial"/>
          <w:sz w:val="24"/>
          <w:szCs w:val="24"/>
          <w:lang w:val="en-US"/>
        </w:rPr>
        <w:t>. Additionally, according to an institutional protocol, tocilizumab was used in selected cases as an anti-interleukin-6 (IL-6) agent.</w:t>
      </w:r>
      <w:r w:rsidRPr="00A125C6">
        <w:rPr>
          <w:rFonts w:ascii="Times" w:eastAsia="Arial" w:hAnsi="Times" w:cs="Arial"/>
          <w:noProof/>
          <w:sz w:val="24"/>
          <w:szCs w:val="24"/>
          <w:vertAlign w:val="superscript"/>
          <w:lang w:val="en-US"/>
        </w:rPr>
        <w:t>8</w:t>
      </w:r>
      <w:r w:rsidRPr="00A125C6">
        <w:rPr>
          <w:rFonts w:ascii="Times" w:eastAsia="Arial" w:hAnsi="Times" w:cs="Arial"/>
          <w:sz w:val="24"/>
          <w:szCs w:val="24"/>
          <w:lang w:val="en-US"/>
        </w:rPr>
        <w:t xml:space="preserve"> Steroids, such as methylprednisolone 1-2 mg/kg for 5-7 days, were used in moderate to severe ARDS or in case of evidence of fibrotic evolution at the computed tomography scan.</w:t>
      </w:r>
      <w:r w:rsidRPr="00A125C6">
        <w:rPr>
          <w:rFonts w:ascii="Times" w:eastAsia="Arial" w:hAnsi="Times" w:cs="Arial"/>
          <w:noProof/>
          <w:sz w:val="24"/>
          <w:szCs w:val="24"/>
          <w:vertAlign w:val="superscript"/>
          <w:lang w:val="en-US"/>
        </w:rPr>
        <w:t>2,9</w:t>
      </w:r>
      <w:r w:rsidRPr="00A125C6">
        <w:rPr>
          <w:rFonts w:ascii="Times" w:hAnsi="Times"/>
          <w:sz w:val="24"/>
          <w:szCs w:val="24"/>
          <w:lang w:val="en-US"/>
        </w:rPr>
        <w:t xml:space="preserve"> </w:t>
      </w:r>
    </w:p>
    <w:p w14:paraId="6D503915" w14:textId="77777777" w:rsidR="00C452D0" w:rsidRPr="00A125C6" w:rsidRDefault="00C452D0" w:rsidP="00C452D0">
      <w:pPr>
        <w:rPr>
          <w:rFonts w:ascii="Times" w:eastAsia="Arial Unicode MS" w:hAnsi="Times" w:cs="Arial Unicode MS"/>
          <w:color w:val="000000"/>
          <w:bdr w:val="nil"/>
          <w:lang w:val="en-US"/>
          <w14:textOutline w14:w="0" w14:cap="flat" w14:cmpd="sng" w14:algn="ctr">
            <w14:noFill/>
            <w14:prstDash w14:val="solid"/>
            <w14:bevel/>
          </w14:textOutline>
        </w:rPr>
      </w:pPr>
      <w:r w:rsidRPr="00A125C6">
        <w:rPr>
          <w:rFonts w:ascii="Times" w:hAnsi="Times"/>
          <w:lang w:val="en-US"/>
        </w:rPr>
        <w:br w:type="page"/>
      </w:r>
    </w:p>
    <w:p w14:paraId="6D503916" w14:textId="77777777" w:rsidR="00C452D0" w:rsidRPr="00A125C6" w:rsidRDefault="00C452D0" w:rsidP="00C452D0">
      <w:pPr>
        <w:pStyle w:val="Corpo"/>
        <w:spacing w:after="120" w:line="480" w:lineRule="auto"/>
        <w:rPr>
          <w:rFonts w:ascii="Times" w:hAnsi="Times"/>
          <w:b/>
          <w:bCs/>
          <w:sz w:val="24"/>
          <w:szCs w:val="24"/>
          <w:lang w:val="en-US"/>
        </w:rPr>
      </w:pPr>
      <w:r w:rsidRPr="00A125C6">
        <w:rPr>
          <w:rFonts w:ascii="Times" w:hAnsi="Times"/>
          <w:b/>
          <w:bCs/>
          <w:sz w:val="24"/>
          <w:szCs w:val="24"/>
          <w:lang w:val="en-US"/>
        </w:rPr>
        <w:t>References</w:t>
      </w:r>
    </w:p>
    <w:p w14:paraId="6D503917" w14:textId="77777777" w:rsidR="00C452D0" w:rsidRPr="00033C8E" w:rsidRDefault="00C452D0" w:rsidP="00C452D0">
      <w:pPr>
        <w:widowControl w:val="0"/>
        <w:autoSpaceDE w:val="0"/>
        <w:autoSpaceDN w:val="0"/>
        <w:adjustRightInd w:val="0"/>
        <w:spacing w:after="120" w:line="480" w:lineRule="auto"/>
        <w:ind w:left="640" w:hanging="640"/>
        <w:rPr>
          <w:rFonts w:ascii="Times" w:hAnsi="Times"/>
          <w:noProof/>
          <w:lang w:val="en-US"/>
        </w:rPr>
      </w:pPr>
      <w:r w:rsidRPr="00A125C6">
        <w:rPr>
          <w:rFonts w:ascii="Times" w:hAnsi="Times"/>
          <w:noProof/>
          <w:lang w:val="en-US"/>
        </w:rPr>
        <w:t xml:space="preserve">1. </w:t>
      </w:r>
      <w:r w:rsidRPr="00A125C6">
        <w:rPr>
          <w:rFonts w:ascii="Times" w:hAnsi="Times"/>
          <w:noProof/>
          <w:lang w:val="en-US"/>
        </w:rPr>
        <w:tab/>
      </w:r>
      <w:r w:rsidRPr="00033C8E">
        <w:rPr>
          <w:rFonts w:ascii="Times" w:hAnsi="Times"/>
          <w:noProof/>
          <w:lang w:val="en-US"/>
        </w:rPr>
        <w:t xml:space="preserve">Fan E, Del Sorbo L, Goligher EC, Hodgson CL, Munshi L, Walkey AJ, Adhikari NKJ, Amato MBP, Branson R, Brower RG, Ferguson ND, Gajic O, Gattinoni L, Hess D, Mancebo J, Meade MO, McAuley DF, Pesenti A, Ranieri VM, Rubenfeld GD, Rubin E, Seckel M, Slutsky AS, Talmor D, Thompson BT, Wunsch H, Uleryk E, Brozek J, Brochard LJ: An Official American Thoracic Society/European Society of Intensive Care  Medicine/Society of Critical Care Medicine Clinical Practice Guideline: Mechanical  Ventilation in Adult Patients with Acute Respiratory Distress Syndrome. </w:t>
      </w:r>
      <w:r w:rsidRPr="00033C8E">
        <w:rPr>
          <w:rFonts w:ascii="Times" w:hAnsi="Times"/>
          <w:i/>
          <w:iCs/>
          <w:noProof/>
          <w:lang w:val="en-US"/>
        </w:rPr>
        <w:t>Am J Respir Crit Care Med</w:t>
      </w:r>
      <w:r w:rsidRPr="00033C8E">
        <w:rPr>
          <w:rFonts w:ascii="Times" w:hAnsi="Times"/>
          <w:noProof/>
          <w:lang w:val="en-US"/>
        </w:rPr>
        <w:t xml:space="preserve"> 2017; 195:1253–63</w:t>
      </w:r>
    </w:p>
    <w:p w14:paraId="6D503918" w14:textId="3A729E08" w:rsidR="00C452D0" w:rsidRPr="00033C8E" w:rsidRDefault="00C452D0" w:rsidP="00286516">
      <w:pPr>
        <w:spacing w:line="480" w:lineRule="auto"/>
        <w:ind w:left="640" w:hanging="640"/>
        <w:jc w:val="both"/>
        <w:rPr>
          <w:rFonts w:ascii="Times" w:hAnsi="Times"/>
          <w:noProof/>
          <w:lang w:val="en-US"/>
        </w:rPr>
      </w:pPr>
      <w:r w:rsidRPr="00A125C6">
        <w:rPr>
          <w:rFonts w:ascii="Times" w:hAnsi="Times"/>
          <w:noProof/>
          <w:lang w:val="en-US"/>
        </w:rPr>
        <w:t xml:space="preserve">2. </w:t>
      </w:r>
      <w:r w:rsidRPr="00A125C6">
        <w:rPr>
          <w:rFonts w:ascii="Times" w:hAnsi="Times"/>
          <w:noProof/>
          <w:lang w:val="en-US"/>
        </w:rPr>
        <w:tab/>
      </w:r>
      <w:r w:rsidRPr="00033C8E">
        <w:rPr>
          <w:rFonts w:ascii="Times" w:hAnsi="Times"/>
          <w:noProof/>
          <w:lang w:val="en-US"/>
        </w:rPr>
        <w:t xml:space="preserve">Alhazzani W, Møller MH, Arabi YM, Loeb M, Gong MN, Fan E, Oczkowski S, Levy MM, Derde L, Dzierba A, Du B, Aboodi M, Wunsch H, Cecconi M, Koh Y, Chertow DS, Maitland K, Alshamsi F, Belley-Cote E, Greco M, Laundy M, Morgan JS, Kesecioglu J, McGeer A, Mermel L, Mammen MJ, Alexander PE, Arrington A, Centofanti JE, Citerio G, </w:t>
      </w:r>
      <w:hyperlink r:id="rId6" w:history="1">
        <w:r w:rsidR="0070227B" w:rsidRPr="0070227B">
          <w:rPr>
            <w:rFonts w:ascii="Times" w:hAnsi="Times"/>
            <w:noProof/>
            <w:lang w:val="en-US"/>
          </w:rPr>
          <w:t>Bandar Baw</w:t>
        </w:r>
      </w:hyperlink>
      <w:r w:rsidR="0070227B" w:rsidRPr="0070227B">
        <w:rPr>
          <w:rFonts w:ascii="Times" w:hAnsi="Times"/>
          <w:noProof/>
          <w:lang w:val="en-US"/>
        </w:rPr>
        <w:t> , </w:t>
      </w:r>
      <w:hyperlink r:id="rId7" w:history="1">
        <w:r w:rsidR="0070227B" w:rsidRPr="0070227B">
          <w:rPr>
            <w:rFonts w:ascii="Times" w:hAnsi="Times"/>
            <w:noProof/>
            <w:lang w:val="en-US"/>
          </w:rPr>
          <w:t>Ziad A Memish</w:t>
        </w:r>
      </w:hyperlink>
      <w:r w:rsidR="0070227B" w:rsidRPr="0070227B">
        <w:rPr>
          <w:rFonts w:ascii="Times" w:hAnsi="Times"/>
          <w:noProof/>
          <w:lang w:val="en-US"/>
        </w:rPr>
        <w:t>, </w:t>
      </w:r>
      <w:hyperlink r:id="rId8" w:history="1">
        <w:r w:rsidR="0070227B" w:rsidRPr="0070227B">
          <w:rPr>
            <w:rFonts w:ascii="Times" w:hAnsi="Times"/>
            <w:noProof/>
            <w:lang w:val="en-US"/>
          </w:rPr>
          <w:t>Naomi Hammond</w:t>
        </w:r>
      </w:hyperlink>
      <w:r w:rsidR="0070227B" w:rsidRPr="0070227B">
        <w:rPr>
          <w:rFonts w:ascii="Times" w:hAnsi="Times"/>
          <w:noProof/>
          <w:lang w:val="en-US"/>
        </w:rPr>
        <w:t>, </w:t>
      </w:r>
      <w:hyperlink r:id="rId9" w:history="1">
        <w:r w:rsidR="0070227B" w:rsidRPr="0070227B">
          <w:rPr>
            <w:rFonts w:ascii="Times" w:hAnsi="Times"/>
            <w:noProof/>
            <w:lang w:val="en-US"/>
          </w:rPr>
          <w:t>Frederick G Hayden</w:t>
        </w:r>
      </w:hyperlink>
      <w:r w:rsidR="0070227B" w:rsidRPr="0070227B">
        <w:rPr>
          <w:rFonts w:ascii="Times" w:hAnsi="Times"/>
          <w:noProof/>
          <w:lang w:val="en-US"/>
        </w:rPr>
        <w:t>, </w:t>
      </w:r>
      <w:hyperlink r:id="rId10" w:history="1">
        <w:r w:rsidR="0070227B" w:rsidRPr="0070227B">
          <w:rPr>
            <w:rFonts w:ascii="Times" w:hAnsi="Times"/>
            <w:noProof/>
            <w:lang w:val="en-US"/>
          </w:rPr>
          <w:t>Laura Evans</w:t>
        </w:r>
      </w:hyperlink>
      <w:r w:rsidR="0070227B" w:rsidRPr="0070227B">
        <w:rPr>
          <w:rFonts w:ascii="Times" w:hAnsi="Times"/>
          <w:noProof/>
          <w:lang w:val="en-US"/>
        </w:rPr>
        <w:t>, </w:t>
      </w:r>
      <w:hyperlink r:id="rId11" w:history="1">
        <w:r w:rsidR="0070227B" w:rsidRPr="0070227B">
          <w:rPr>
            <w:rFonts w:ascii="Times" w:hAnsi="Times"/>
            <w:noProof/>
            <w:lang w:val="en-US"/>
          </w:rPr>
          <w:t>Andrew Rhodes</w:t>
        </w:r>
      </w:hyperlink>
      <w:r w:rsidRPr="00033C8E">
        <w:rPr>
          <w:rFonts w:ascii="Times" w:hAnsi="Times"/>
          <w:noProof/>
          <w:lang w:val="en-US"/>
        </w:rPr>
        <w:t xml:space="preserve">: Surviving Sepsis Campaign: guidelines on the management of critically ill adults  with Coronavirus Disease 2019 (COVID-19). </w:t>
      </w:r>
      <w:r w:rsidRPr="0070227B">
        <w:rPr>
          <w:rFonts w:ascii="Times" w:hAnsi="Times"/>
          <w:noProof/>
          <w:lang w:val="en-US"/>
        </w:rPr>
        <w:t>Intensive Care Med</w:t>
      </w:r>
      <w:r w:rsidRPr="00033C8E">
        <w:rPr>
          <w:rFonts w:ascii="Times" w:hAnsi="Times"/>
          <w:noProof/>
          <w:lang w:val="en-US"/>
        </w:rPr>
        <w:t xml:space="preserve"> 2020; 46:854–87</w:t>
      </w:r>
    </w:p>
    <w:p w14:paraId="6D503919" w14:textId="77777777" w:rsidR="00C452D0" w:rsidRPr="00033C8E" w:rsidRDefault="00C452D0" w:rsidP="00C452D0">
      <w:pPr>
        <w:widowControl w:val="0"/>
        <w:autoSpaceDE w:val="0"/>
        <w:autoSpaceDN w:val="0"/>
        <w:adjustRightInd w:val="0"/>
        <w:spacing w:after="120" w:line="480" w:lineRule="auto"/>
        <w:ind w:left="640" w:hanging="640"/>
        <w:rPr>
          <w:rFonts w:ascii="Times" w:hAnsi="Times"/>
          <w:noProof/>
          <w:lang w:val="en-US"/>
        </w:rPr>
      </w:pPr>
      <w:r w:rsidRPr="00A125C6">
        <w:rPr>
          <w:rFonts w:ascii="Times" w:hAnsi="Times"/>
          <w:noProof/>
          <w:lang w:val="en-US"/>
        </w:rPr>
        <w:t xml:space="preserve">3. </w:t>
      </w:r>
      <w:r w:rsidRPr="00A125C6">
        <w:rPr>
          <w:rFonts w:ascii="Times" w:hAnsi="Times"/>
          <w:noProof/>
          <w:lang w:val="en-US"/>
        </w:rPr>
        <w:tab/>
      </w:r>
      <w:r w:rsidRPr="00033C8E">
        <w:rPr>
          <w:rFonts w:ascii="Times" w:hAnsi="Times"/>
          <w:noProof/>
          <w:lang w:val="en-US"/>
        </w:rPr>
        <w:t xml:space="preserve">Amato MBP, Meade MO, Slutsky AS, Brochard L, Costa ELV, Schoenfeld DA, Stewart TE, Briel M, Talmor D, Mercat A, Richard J-CM, Carvalho CRR, Brower RG: Driving Pressure and Survival in the Acute Respiratory Distress Syndrome. </w:t>
      </w:r>
      <w:r w:rsidRPr="00033C8E">
        <w:rPr>
          <w:rFonts w:ascii="Times" w:hAnsi="Times"/>
          <w:i/>
          <w:iCs/>
          <w:noProof/>
          <w:lang w:val="en-US"/>
        </w:rPr>
        <w:t>N Engl J Med 2015</w:t>
      </w:r>
      <w:r w:rsidRPr="00033C8E">
        <w:rPr>
          <w:rFonts w:ascii="Times" w:hAnsi="Times"/>
          <w:noProof/>
          <w:lang w:val="en-US"/>
        </w:rPr>
        <w:t>; 372:747–55</w:t>
      </w:r>
    </w:p>
    <w:p w14:paraId="6D50391A" w14:textId="77777777" w:rsidR="00C452D0" w:rsidRPr="00033C8E" w:rsidRDefault="00C452D0" w:rsidP="00C452D0">
      <w:pPr>
        <w:widowControl w:val="0"/>
        <w:autoSpaceDE w:val="0"/>
        <w:autoSpaceDN w:val="0"/>
        <w:adjustRightInd w:val="0"/>
        <w:spacing w:after="120" w:line="480" w:lineRule="auto"/>
        <w:ind w:left="640" w:hanging="640"/>
        <w:rPr>
          <w:rFonts w:ascii="Times" w:hAnsi="Times"/>
          <w:noProof/>
          <w:lang w:val="en-US"/>
        </w:rPr>
      </w:pPr>
      <w:r w:rsidRPr="00A125C6">
        <w:rPr>
          <w:rFonts w:ascii="Times" w:hAnsi="Times"/>
          <w:noProof/>
          <w:lang w:val="en-US"/>
        </w:rPr>
        <w:t xml:space="preserve"> 4. </w:t>
      </w:r>
      <w:r w:rsidRPr="00A125C6">
        <w:rPr>
          <w:rFonts w:ascii="Times" w:hAnsi="Times"/>
          <w:noProof/>
          <w:lang w:val="en-US"/>
        </w:rPr>
        <w:tab/>
      </w:r>
      <w:r w:rsidRPr="00033C8E">
        <w:rPr>
          <w:rFonts w:ascii="Times" w:hAnsi="Times"/>
          <w:noProof/>
          <w:lang w:val="en-US"/>
        </w:rPr>
        <w:t xml:space="preserve">Barbas CSV, Matos GFJ de, Okamoto V, Borges JB, Amato MBP, Carvalho CRR de: Lung recruitment maneuvers in acute respiratory distress syndrome. </w:t>
      </w:r>
      <w:r w:rsidRPr="00033C8E">
        <w:rPr>
          <w:rFonts w:ascii="Times" w:hAnsi="Times"/>
          <w:i/>
          <w:iCs/>
          <w:noProof/>
          <w:lang w:val="en-US"/>
        </w:rPr>
        <w:t>Respir Care Clin N Am</w:t>
      </w:r>
      <w:r w:rsidRPr="00033C8E">
        <w:rPr>
          <w:rFonts w:ascii="Times" w:hAnsi="Times"/>
          <w:noProof/>
          <w:lang w:val="en-US"/>
        </w:rPr>
        <w:t xml:space="preserve"> 2003; 9:401–18, vii</w:t>
      </w:r>
    </w:p>
    <w:p w14:paraId="6D50391B" w14:textId="77777777" w:rsidR="00C452D0" w:rsidRPr="00A125C6" w:rsidRDefault="00C452D0" w:rsidP="00C452D0">
      <w:pPr>
        <w:widowControl w:val="0"/>
        <w:autoSpaceDE w:val="0"/>
        <w:autoSpaceDN w:val="0"/>
        <w:adjustRightInd w:val="0"/>
        <w:spacing w:after="120" w:line="480" w:lineRule="auto"/>
        <w:ind w:left="640" w:hanging="640"/>
        <w:rPr>
          <w:rFonts w:ascii="Times" w:hAnsi="Times"/>
          <w:noProof/>
          <w:lang w:val="en-US"/>
        </w:rPr>
      </w:pPr>
      <w:r w:rsidRPr="00A125C6">
        <w:rPr>
          <w:rFonts w:ascii="Times" w:hAnsi="Times"/>
          <w:noProof/>
          <w:lang w:val="en-US"/>
        </w:rPr>
        <w:t xml:space="preserve"> 5. </w:t>
      </w:r>
      <w:r w:rsidRPr="00A125C6">
        <w:rPr>
          <w:rFonts w:ascii="Times" w:hAnsi="Times"/>
          <w:noProof/>
          <w:lang w:val="en-US"/>
        </w:rPr>
        <w:tab/>
      </w:r>
      <w:r w:rsidRPr="00033C8E">
        <w:rPr>
          <w:rFonts w:ascii="Times" w:hAnsi="Times"/>
          <w:noProof/>
          <w:lang w:val="en-US"/>
        </w:rPr>
        <w:t xml:space="preserve">Keenan JC, Formenti P, Marini JJ: Lung recruitment in acute respiratory distress syndrome:  what is the best strategy? </w:t>
      </w:r>
      <w:r w:rsidRPr="00033C8E">
        <w:rPr>
          <w:rFonts w:ascii="Times" w:hAnsi="Times"/>
          <w:i/>
          <w:iCs/>
          <w:noProof/>
          <w:lang w:val="en-US"/>
        </w:rPr>
        <w:t>Current Opinion in Critical Care</w:t>
      </w:r>
      <w:r w:rsidRPr="00033C8E">
        <w:rPr>
          <w:rFonts w:ascii="Times" w:hAnsi="Times"/>
          <w:noProof/>
          <w:lang w:val="en-US"/>
        </w:rPr>
        <w:t xml:space="preserve"> 2014; 20</w:t>
      </w:r>
    </w:p>
    <w:p w14:paraId="6D50391C" w14:textId="781CC704" w:rsidR="00C452D0" w:rsidRPr="003A2020" w:rsidRDefault="00C452D0" w:rsidP="003A2020">
      <w:pPr>
        <w:pStyle w:val="NormaleWeb"/>
        <w:spacing w:line="480" w:lineRule="auto"/>
        <w:ind w:left="640" w:hanging="640"/>
        <w:rPr>
          <w:rFonts w:ascii="Times" w:eastAsiaTheme="minorEastAsia" w:hAnsi="Times"/>
          <w:noProof/>
          <w:lang w:val="en-US"/>
        </w:rPr>
      </w:pPr>
      <w:r w:rsidRPr="00A125C6">
        <w:rPr>
          <w:rFonts w:ascii="Times" w:hAnsi="Times"/>
          <w:noProof/>
          <w:lang w:val="en-US"/>
        </w:rPr>
        <w:t xml:space="preserve">6. </w:t>
      </w:r>
      <w:r w:rsidRPr="00A125C6">
        <w:rPr>
          <w:rFonts w:ascii="Times" w:hAnsi="Times"/>
          <w:noProof/>
          <w:lang w:val="en-US"/>
        </w:rPr>
        <w:tab/>
      </w:r>
      <w:r w:rsidR="003A2020" w:rsidRPr="003A2020">
        <w:rPr>
          <w:rFonts w:ascii="Times" w:eastAsiaTheme="minorEastAsia" w:hAnsi="Times"/>
          <w:noProof/>
          <w:lang w:val="en-US"/>
        </w:rPr>
        <w:t>B. Cao, Y. Wang, D. Wen, W. Liu, Jingli Wang, G. Fan, L. Ruan, B. Song, Y. Cai, M. Wei, X. Li, J. Xia, N. Chen,</w:t>
      </w:r>
      <w:r w:rsidR="003A2020">
        <w:rPr>
          <w:rFonts w:ascii="Times" w:eastAsiaTheme="minorEastAsia" w:hAnsi="Times"/>
          <w:noProof/>
          <w:lang w:val="en-US"/>
        </w:rPr>
        <w:t xml:space="preserve"> </w:t>
      </w:r>
      <w:r w:rsidR="003A2020" w:rsidRPr="003A2020">
        <w:rPr>
          <w:rFonts w:ascii="Times" w:eastAsiaTheme="minorEastAsia" w:hAnsi="Times"/>
          <w:noProof/>
          <w:lang w:val="en-US"/>
        </w:rPr>
        <w:t>J. Xiang, T. Yu, T. Bai, X. Xie, L. Zhang, C. Li, Y. Yuan, H. Chen, Huadong Li, H. Huang, S. Tu, F. Gong, Y. Liu, Y. Wei, C. Dong, F. Zhou, X. Gu, J. Xu, Z. Liu, Y. Zhang, Hui Li, L. Shang, K. Wang, K. Li, X. Zhou, X. Dong, Z. Qu, S. Lu, X. Hu, S. Ruan, S. Luo, J. Wu, L. Peng, F. Cheng, L. Pan, J. Zou, C. Jia, Juan Wang, X. Liu, S. Wang, X. Wu, Q. Ge, J. He, H. Zhan, F. Qiu, L. Guo, C. Huang, T. Jaki, F.G. Hayden, P.W. Horby, D. Zhang, and C. Wang</w:t>
      </w:r>
      <w:r w:rsidRPr="003A2020">
        <w:rPr>
          <w:rFonts w:ascii="Times" w:eastAsiaTheme="minorEastAsia" w:hAnsi="Times"/>
          <w:noProof/>
          <w:lang w:val="en-US"/>
        </w:rPr>
        <w:t>: A Trial of Lopinavir–Ritonavir in Adults Hospitalized with Severe Covid-19. N Engl J Med 2020; 382:1787–99</w:t>
      </w:r>
    </w:p>
    <w:p w14:paraId="6D50391D" w14:textId="06B889BD" w:rsidR="00C452D0" w:rsidRPr="00256950" w:rsidRDefault="00C452D0" w:rsidP="004B4EB2">
      <w:pPr>
        <w:pStyle w:val="NormaleWeb"/>
        <w:spacing w:line="480" w:lineRule="auto"/>
        <w:ind w:left="640" w:hanging="640"/>
        <w:rPr>
          <w:rFonts w:ascii="Times" w:eastAsiaTheme="minorEastAsia" w:hAnsi="Times"/>
          <w:noProof/>
          <w:lang w:val="en-US"/>
        </w:rPr>
      </w:pPr>
      <w:r w:rsidRPr="00A125C6">
        <w:rPr>
          <w:rFonts w:ascii="Times" w:hAnsi="Times"/>
          <w:noProof/>
          <w:lang w:val="en-US"/>
        </w:rPr>
        <w:t xml:space="preserve">7. </w:t>
      </w:r>
      <w:r w:rsidRPr="00A125C6">
        <w:rPr>
          <w:rFonts w:ascii="Times" w:hAnsi="Times"/>
          <w:noProof/>
          <w:lang w:val="en-US"/>
        </w:rPr>
        <w:tab/>
      </w:r>
      <w:r w:rsidR="00256950" w:rsidRPr="00256950">
        <w:rPr>
          <w:rFonts w:ascii="Times" w:eastAsiaTheme="minorEastAsia" w:hAnsi="Times"/>
          <w:noProof/>
          <w:lang w:val="en-US"/>
        </w:rPr>
        <w:t>J. Grein, N. Ohmagari, D. Shin, G. Diaz, E. Asperges, A. Castagna, T. Feldt,</w:t>
      </w:r>
      <w:r w:rsidR="00256950">
        <w:rPr>
          <w:rFonts w:ascii="Times" w:eastAsiaTheme="minorEastAsia" w:hAnsi="Times"/>
          <w:noProof/>
          <w:lang w:val="en-US"/>
        </w:rPr>
        <w:t xml:space="preserve"> </w:t>
      </w:r>
      <w:r w:rsidR="00256950" w:rsidRPr="00256950">
        <w:rPr>
          <w:rFonts w:ascii="Times" w:eastAsiaTheme="minorEastAsia" w:hAnsi="Times"/>
          <w:noProof/>
          <w:lang w:val="en-US"/>
        </w:rPr>
        <w:t>G. Green, M.L. Green, F.-X. Lescure, E. Nicastri, R. Oda, K. Yo, E. Quiros-Roldan, A. Studemeister, J. Redinski, S. Ahmed, J. Bernett, D. Chelliah, D. Chen,</w:t>
      </w:r>
      <w:r w:rsidR="00256950">
        <w:rPr>
          <w:rFonts w:ascii="Times" w:eastAsiaTheme="minorEastAsia" w:hAnsi="Times"/>
          <w:noProof/>
          <w:lang w:val="en-US"/>
        </w:rPr>
        <w:t xml:space="preserve"> </w:t>
      </w:r>
      <w:r w:rsidR="00256950" w:rsidRPr="00256950">
        <w:rPr>
          <w:rFonts w:ascii="Times" w:eastAsiaTheme="minorEastAsia" w:hAnsi="Times"/>
          <w:noProof/>
          <w:lang w:val="en-US"/>
        </w:rPr>
        <w:t>S. Chihara, S.H. Cohen, J. Cunningham, A. D’Arminio Monforte, S. Ismail,</w:t>
      </w:r>
      <w:r w:rsidR="00256950">
        <w:rPr>
          <w:rFonts w:ascii="Times" w:eastAsiaTheme="minorEastAsia" w:hAnsi="Times"/>
          <w:noProof/>
          <w:lang w:val="en-US"/>
        </w:rPr>
        <w:t xml:space="preserve"> </w:t>
      </w:r>
      <w:r w:rsidR="00256950" w:rsidRPr="00256950">
        <w:rPr>
          <w:rFonts w:ascii="Times" w:eastAsiaTheme="minorEastAsia" w:hAnsi="Times"/>
          <w:noProof/>
          <w:lang w:val="en-US"/>
        </w:rPr>
        <w:t>H. Kato, G. Lapadula, E. L’Her, T. Maeno, S. Majumder, M. Massari,</w:t>
      </w:r>
      <w:r w:rsidR="00256950">
        <w:rPr>
          <w:rFonts w:ascii="Times" w:eastAsiaTheme="minorEastAsia" w:hAnsi="Times"/>
          <w:noProof/>
          <w:lang w:val="en-US"/>
        </w:rPr>
        <w:t xml:space="preserve"> </w:t>
      </w:r>
      <w:r w:rsidR="00256950" w:rsidRPr="00256950">
        <w:rPr>
          <w:rFonts w:ascii="Times" w:eastAsiaTheme="minorEastAsia" w:hAnsi="Times"/>
          <w:noProof/>
          <w:lang w:val="en-US"/>
        </w:rPr>
        <w:t>M. Mora-Rillo, Y. Mutoh, D. Nguyen, E. Verweij, A. Zoufaly, A.O. Osinusi,</w:t>
      </w:r>
      <w:r w:rsidR="00256950">
        <w:rPr>
          <w:rFonts w:ascii="Times" w:eastAsiaTheme="minorEastAsia" w:hAnsi="Times"/>
          <w:noProof/>
          <w:lang w:val="en-US"/>
        </w:rPr>
        <w:t xml:space="preserve"> </w:t>
      </w:r>
      <w:r w:rsidR="00256950" w:rsidRPr="00256950">
        <w:rPr>
          <w:rFonts w:ascii="Times" w:eastAsiaTheme="minorEastAsia" w:hAnsi="Times"/>
          <w:noProof/>
          <w:lang w:val="en-US"/>
        </w:rPr>
        <w:t>A. DeZure, Y. Zhao, L. Zhong, A. Chokkalingam, E. Elboudwarej, L. Telep,</w:t>
      </w:r>
      <w:r w:rsidR="00256950">
        <w:rPr>
          <w:rFonts w:ascii="Times" w:eastAsiaTheme="minorEastAsia" w:hAnsi="Times"/>
          <w:noProof/>
          <w:lang w:val="en-US"/>
        </w:rPr>
        <w:t xml:space="preserve"> </w:t>
      </w:r>
      <w:r w:rsidR="00256950" w:rsidRPr="00256950">
        <w:rPr>
          <w:rFonts w:ascii="Times" w:eastAsiaTheme="minorEastAsia" w:hAnsi="Times"/>
          <w:noProof/>
          <w:lang w:val="en-US"/>
        </w:rPr>
        <w:t>L. Timbs, I. Henne, S. Sellers, H. Cao, S.K. Tan, L. Winterbourne, P. Desai,</w:t>
      </w:r>
      <w:r w:rsidR="00256950">
        <w:rPr>
          <w:rFonts w:ascii="Times" w:eastAsiaTheme="minorEastAsia" w:hAnsi="Times"/>
          <w:noProof/>
          <w:lang w:val="en-US"/>
        </w:rPr>
        <w:t xml:space="preserve"> </w:t>
      </w:r>
      <w:r w:rsidR="00256950" w:rsidRPr="00256950">
        <w:rPr>
          <w:rFonts w:ascii="Times" w:eastAsiaTheme="minorEastAsia" w:hAnsi="Times"/>
          <w:noProof/>
          <w:lang w:val="en-US"/>
        </w:rPr>
        <w:t>R. Mera, A. Gaggar, R.P. Myers, D.M. Brainard, R. Childs, and T. Flanigan</w:t>
      </w:r>
      <w:r w:rsidR="004B4EB2">
        <w:rPr>
          <w:rFonts w:ascii="Times" w:eastAsiaTheme="minorEastAsia" w:hAnsi="Times"/>
          <w:noProof/>
          <w:lang w:val="en-US"/>
        </w:rPr>
        <w:t xml:space="preserve">: </w:t>
      </w:r>
      <w:r w:rsidRPr="00256950">
        <w:rPr>
          <w:rFonts w:ascii="Times" w:eastAsiaTheme="minorEastAsia" w:hAnsi="Times"/>
          <w:noProof/>
          <w:lang w:val="en-US"/>
        </w:rPr>
        <w:t>Compassionate Use of Remdesivir for Patients with Severe Covid-19. N Engl J Med 2020; 382:2327–36</w:t>
      </w:r>
    </w:p>
    <w:p w14:paraId="6D50391E" w14:textId="77777777" w:rsidR="00C452D0" w:rsidRPr="00A125C6" w:rsidRDefault="00C452D0" w:rsidP="00C452D0">
      <w:pPr>
        <w:widowControl w:val="0"/>
        <w:autoSpaceDE w:val="0"/>
        <w:autoSpaceDN w:val="0"/>
        <w:adjustRightInd w:val="0"/>
        <w:spacing w:after="120" w:line="480" w:lineRule="auto"/>
        <w:ind w:left="640" w:hanging="640"/>
        <w:rPr>
          <w:rFonts w:ascii="Times" w:hAnsi="Times"/>
          <w:noProof/>
          <w:lang w:val="en-US"/>
        </w:rPr>
      </w:pPr>
      <w:r w:rsidRPr="00A125C6">
        <w:rPr>
          <w:rFonts w:ascii="Times" w:hAnsi="Times"/>
          <w:noProof/>
          <w:lang w:val="en-US"/>
        </w:rPr>
        <w:t xml:space="preserve">8. </w:t>
      </w:r>
      <w:r w:rsidRPr="00A125C6">
        <w:rPr>
          <w:rFonts w:ascii="Times" w:hAnsi="Times"/>
          <w:noProof/>
          <w:lang w:val="en-US"/>
        </w:rPr>
        <w:tab/>
      </w:r>
      <w:r w:rsidRPr="00033C8E">
        <w:rPr>
          <w:rFonts w:ascii="Times" w:hAnsi="Times"/>
          <w:noProof/>
          <w:lang w:val="en-US"/>
        </w:rPr>
        <w:t xml:space="preserve">Xu X, Han M, Li T, Sun W, Wang D, Fu B, Zhou Y, Zheng X, Yang Y, Li X, Zhang X, Pan A, Wei H: Effective treatment of severe COVID-19 patients with tocilizumab. </w:t>
      </w:r>
      <w:r w:rsidRPr="00033C8E">
        <w:rPr>
          <w:rFonts w:ascii="Times" w:hAnsi="Times"/>
          <w:i/>
          <w:iCs/>
          <w:noProof/>
          <w:lang w:val="en-US"/>
        </w:rPr>
        <w:t>Proc Natl Acad Sci</w:t>
      </w:r>
      <w:r w:rsidRPr="00033C8E">
        <w:rPr>
          <w:rFonts w:ascii="Times" w:hAnsi="Times"/>
          <w:noProof/>
          <w:lang w:val="en-US"/>
        </w:rPr>
        <w:t xml:space="preserve"> USA 2020; 117:10970</w:t>
      </w:r>
    </w:p>
    <w:p w14:paraId="6D50391F" w14:textId="77777777" w:rsidR="00C452D0" w:rsidRPr="00033C8E" w:rsidRDefault="00C452D0" w:rsidP="00C452D0">
      <w:pPr>
        <w:widowControl w:val="0"/>
        <w:autoSpaceDE w:val="0"/>
        <w:autoSpaceDN w:val="0"/>
        <w:adjustRightInd w:val="0"/>
        <w:spacing w:after="120" w:line="480" w:lineRule="auto"/>
        <w:ind w:left="640" w:hanging="640"/>
        <w:rPr>
          <w:rFonts w:ascii="Times" w:hAnsi="Times"/>
          <w:noProof/>
          <w:lang w:val="en-US"/>
        </w:rPr>
      </w:pPr>
      <w:r w:rsidRPr="00A125C6">
        <w:rPr>
          <w:rFonts w:ascii="Times" w:hAnsi="Times"/>
          <w:noProof/>
          <w:lang w:val="en-US"/>
        </w:rPr>
        <w:t xml:space="preserve">9. </w:t>
      </w:r>
      <w:r w:rsidRPr="00A125C6">
        <w:rPr>
          <w:rFonts w:ascii="Times" w:hAnsi="Times"/>
          <w:noProof/>
          <w:lang w:val="en-US"/>
        </w:rPr>
        <w:tab/>
      </w:r>
      <w:r w:rsidRPr="00033C8E">
        <w:rPr>
          <w:rFonts w:ascii="Times" w:hAnsi="Times"/>
          <w:noProof/>
          <w:lang w:val="en-US"/>
        </w:rPr>
        <w:t xml:space="preserve">Wu Z, McGoogan JM: Characteristics of and Important Lessons From the Coronavirus Disease 2019 (COVID-19) Outbreak in China: Summary of a Report of 72 314 Cases From the Chinese Center for Disease Control and Prevention. </w:t>
      </w:r>
      <w:r w:rsidRPr="00033C8E">
        <w:rPr>
          <w:rFonts w:ascii="Times" w:hAnsi="Times"/>
          <w:i/>
          <w:iCs/>
          <w:noProof/>
          <w:lang w:val="en-US"/>
        </w:rPr>
        <w:t>JAMA</w:t>
      </w:r>
      <w:r w:rsidRPr="00033C8E">
        <w:rPr>
          <w:rFonts w:ascii="Times" w:hAnsi="Times"/>
          <w:noProof/>
          <w:lang w:val="en-US"/>
        </w:rPr>
        <w:t xml:space="preserve"> 2020; 323:1239–42</w:t>
      </w:r>
    </w:p>
    <w:p w14:paraId="6D503920" w14:textId="77777777" w:rsidR="00CC1DB6" w:rsidRDefault="00CC1DB6"/>
    <w:sectPr w:rsidR="00CC1DB6" w:rsidSect="0032715E">
      <w:head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65D701" w14:textId="77777777" w:rsidR="0055711B" w:rsidRDefault="0055711B" w:rsidP="00150D50">
      <w:r>
        <w:separator/>
      </w:r>
    </w:p>
  </w:endnote>
  <w:endnote w:type="continuationSeparator" w:id="0">
    <w:p w14:paraId="71943A1B" w14:textId="77777777" w:rsidR="0055711B" w:rsidRDefault="0055711B" w:rsidP="00150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imes">
    <w:altName w:val="﷽﷽﷽﷽﷽﷽﷽﷽ֲ뫝譀ெ恀"/>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D91D64" w14:textId="77777777" w:rsidR="0055711B" w:rsidRDefault="0055711B" w:rsidP="00150D50">
      <w:r>
        <w:separator/>
      </w:r>
    </w:p>
  </w:footnote>
  <w:footnote w:type="continuationSeparator" w:id="0">
    <w:p w14:paraId="3404CA9F" w14:textId="77777777" w:rsidR="0055711B" w:rsidRDefault="0055711B" w:rsidP="00150D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18245270"/>
      <w:docPartObj>
        <w:docPartGallery w:val="Page Numbers (Top of Page)"/>
        <w:docPartUnique/>
      </w:docPartObj>
    </w:sdtPr>
    <w:sdtEndPr/>
    <w:sdtContent>
      <w:p w14:paraId="6D503925" w14:textId="77777777" w:rsidR="00150D50" w:rsidRDefault="00150D50">
        <w:pPr>
          <w:pStyle w:val="Intestazione"/>
          <w:jc w:val="right"/>
        </w:pPr>
        <w:r>
          <w:fldChar w:fldCharType="begin"/>
        </w:r>
        <w:r>
          <w:instrText>PAGE   \* MERGEFORMAT</w:instrText>
        </w:r>
        <w:r>
          <w:fldChar w:fldCharType="separate"/>
        </w:r>
        <w:r>
          <w:t>2</w:t>
        </w:r>
        <w:r>
          <w:fldChar w:fldCharType="end"/>
        </w:r>
      </w:p>
    </w:sdtContent>
  </w:sdt>
  <w:p w14:paraId="6D503926" w14:textId="77777777" w:rsidR="00150D50" w:rsidRDefault="00150D5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2D0"/>
    <w:rsid w:val="000504E9"/>
    <w:rsid w:val="00150D50"/>
    <w:rsid w:val="00154220"/>
    <w:rsid w:val="002168F5"/>
    <w:rsid w:val="00256950"/>
    <w:rsid w:val="00286516"/>
    <w:rsid w:val="0032715E"/>
    <w:rsid w:val="00361C4D"/>
    <w:rsid w:val="003A2020"/>
    <w:rsid w:val="003A7A79"/>
    <w:rsid w:val="003B1B19"/>
    <w:rsid w:val="004B4EB2"/>
    <w:rsid w:val="0055711B"/>
    <w:rsid w:val="00671DA5"/>
    <w:rsid w:val="006D6D28"/>
    <w:rsid w:val="0070227B"/>
    <w:rsid w:val="00711133"/>
    <w:rsid w:val="00782685"/>
    <w:rsid w:val="00812DB3"/>
    <w:rsid w:val="008D1958"/>
    <w:rsid w:val="009A3020"/>
    <w:rsid w:val="00A601E8"/>
    <w:rsid w:val="00B61C23"/>
    <w:rsid w:val="00B87CC5"/>
    <w:rsid w:val="00C452D0"/>
    <w:rsid w:val="00CC1DB6"/>
    <w:rsid w:val="00DF4DD8"/>
    <w:rsid w:val="00E3591B"/>
    <w:rsid w:val="00E47588"/>
    <w:rsid w:val="00F07BAE"/>
    <w:rsid w:val="00F935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03906"/>
  <w15:chartTrackingRefBased/>
  <w15:docId w15:val="{37D9F0AB-43AD-4075-B91C-5E3D755AB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0227B"/>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
    <w:name w:val="Corpo"/>
    <w:link w:val="CorpoCarattere"/>
    <w:rsid w:val="00C452D0"/>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it-IT"/>
      <w14:textOutline w14:w="0" w14:cap="flat" w14:cmpd="sng" w14:algn="ctr">
        <w14:noFill/>
        <w14:prstDash w14:val="solid"/>
        <w14:bevel/>
      </w14:textOutline>
    </w:rPr>
  </w:style>
  <w:style w:type="character" w:customStyle="1" w:styleId="CorpoCarattere">
    <w:name w:val="Corpo Carattere"/>
    <w:basedOn w:val="Carpredefinitoparagrafo"/>
    <w:link w:val="Corpo"/>
    <w:rsid w:val="00C452D0"/>
    <w:rPr>
      <w:rFonts w:ascii="Helvetica Neue" w:eastAsia="Arial Unicode MS" w:hAnsi="Helvetica Neue" w:cs="Arial Unicode MS"/>
      <w:color w:val="000000"/>
      <w:bdr w:val="nil"/>
      <w:lang w:eastAsia="it-IT"/>
      <w14:textOutline w14:w="0" w14:cap="flat" w14:cmpd="sng" w14:algn="ctr">
        <w14:noFill/>
        <w14:prstDash w14:val="solid"/>
        <w14:bevel/>
      </w14:textOutline>
    </w:rPr>
  </w:style>
  <w:style w:type="paragraph" w:styleId="Intestazione">
    <w:name w:val="header"/>
    <w:basedOn w:val="Normale"/>
    <w:link w:val="IntestazioneCarattere"/>
    <w:uiPriority w:val="99"/>
    <w:unhideWhenUsed/>
    <w:rsid w:val="00150D50"/>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predefinitoparagrafo"/>
    <w:link w:val="Intestazione"/>
    <w:uiPriority w:val="99"/>
    <w:rsid w:val="00150D50"/>
    <w:rPr>
      <w:rFonts w:eastAsiaTheme="minorEastAsia"/>
      <w:sz w:val="24"/>
      <w:szCs w:val="24"/>
      <w:lang w:eastAsia="it-IT"/>
    </w:rPr>
  </w:style>
  <w:style w:type="paragraph" w:styleId="Pidipagina">
    <w:name w:val="footer"/>
    <w:basedOn w:val="Normale"/>
    <w:link w:val="PidipaginaCarattere"/>
    <w:uiPriority w:val="99"/>
    <w:unhideWhenUsed/>
    <w:rsid w:val="00150D50"/>
    <w:pPr>
      <w:tabs>
        <w:tab w:val="center" w:pos="4819"/>
        <w:tab w:val="right" w:pos="9638"/>
      </w:tabs>
    </w:pPr>
    <w:rPr>
      <w:rFonts w:asciiTheme="minorHAnsi" w:eastAsiaTheme="minorEastAsia" w:hAnsiTheme="minorHAnsi" w:cstheme="minorBidi"/>
    </w:rPr>
  </w:style>
  <w:style w:type="character" w:customStyle="1" w:styleId="PidipaginaCarattere">
    <w:name w:val="Piè di pagina Carattere"/>
    <w:basedOn w:val="Carpredefinitoparagrafo"/>
    <w:link w:val="Pidipagina"/>
    <w:uiPriority w:val="99"/>
    <w:rsid w:val="00150D50"/>
    <w:rPr>
      <w:rFonts w:eastAsiaTheme="minorEastAsia"/>
      <w:sz w:val="24"/>
      <w:szCs w:val="24"/>
      <w:lang w:eastAsia="it-IT"/>
    </w:rPr>
  </w:style>
  <w:style w:type="character" w:styleId="Numeroriga">
    <w:name w:val="line number"/>
    <w:basedOn w:val="Carpredefinitoparagrafo"/>
    <w:uiPriority w:val="99"/>
    <w:semiHidden/>
    <w:unhideWhenUsed/>
    <w:rsid w:val="00DF4DD8"/>
  </w:style>
  <w:style w:type="paragraph" w:styleId="Testofumetto">
    <w:name w:val="Balloon Text"/>
    <w:basedOn w:val="Normale"/>
    <w:link w:val="TestofumettoCarattere"/>
    <w:uiPriority w:val="99"/>
    <w:semiHidden/>
    <w:unhideWhenUsed/>
    <w:rsid w:val="003B1B19"/>
    <w:rPr>
      <w:sz w:val="18"/>
      <w:szCs w:val="18"/>
    </w:rPr>
  </w:style>
  <w:style w:type="character" w:customStyle="1" w:styleId="TestofumettoCarattere">
    <w:name w:val="Testo fumetto Carattere"/>
    <w:basedOn w:val="Carpredefinitoparagrafo"/>
    <w:link w:val="Testofumetto"/>
    <w:uiPriority w:val="99"/>
    <w:semiHidden/>
    <w:rsid w:val="003B1B19"/>
    <w:rPr>
      <w:rFonts w:ascii="Times New Roman" w:eastAsiaTheme="minorEastAsia" w:hAnsi="Times New Roman" w:cs="Times New Roman"/>
      <w:sz w:val="18"/>
      <w:szCs w:val="18"/>
      <w:lang w:eastAsia="it-IT"/>
    </w:rPr>
  </w:style>
  <w:style w:type="paragraph" w:styleId="NormaleWeb">
    <w:name w:val="Normal (Web)"/>
    <w:basedOn w:val="Normale"/>
    <w:uiPriority w:val="99"/>
    <w:unhideWhenUsed/>
    <w:rsid w:val="003A2020"/>
    <w:pPr>
      <w:spacing w:before="100" w:beforeAutospacing="1" w:after="100" w:afterAutospacing="1"/>
    </w:pPr>
  </w:style>
  <w:style w:type="character" w:customStyle="1" w:styleId="authors-list-item">
    <w:name w:val="authors-list-item"/>
    <w:basedOn w:val="Carpredefinitoparagrafo"/>
    <w:rsid w:val="0070227B"/>
  </w:style>
  <w:style w:type="character" w:styleId="Collegamentoipertestuale">
    <w:name w:val="Hyperlink"/>
    <w:basedOn w:val="Carpredefinitoparagrafo"/>
    <w:uiPriority w:val="99"/>
    <w:semiHidden/>
    <w:unhideWhenUsed/>
    <w:rsid w:val="0070227B"/>
    <w:rPr>
      <w:color w:val="0000FF"/>
      <w:u w:val="single"/>
    </w:rPr>
  </w:style>
  <w:style w:type="character" w:customStyle="1" w:styleId="author-sup-separator">
    <w:name w:val="author-sup-separator"/>
    <w:basedOn w:val="Carpredefinitoparagrafo"/>
    <w:rsid w:val="0070227B"/>
  </w:style>
  <w:style w:type="character" w:customStyle="1" w:styleId="comma">
    <w:name w:val="comma"/>
    <w:basedOn w:val="Carpredefinitoparagrafo"/>
    <w:rsid w:val="00702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504431">
      <w:bodyDiv w:val="1"/>
      <w:marLeft w:val="0"/>
      <w:marRight w:val="0"/>
      <w:marTop w:val="0"/>
      <w:marBottom w:val="0"/>
      <w:divBdr>
        <w:top w:val="none" w:sz="0" w:space="0" w:color="auto"/>
        <w:left w:val="none" w:sz="0" w:space="0" w:color="auto"/>
        <w:bottom w:val="none" w:sz="0" w:space="0" w:color="auto"/>
        <w:right w:val="none" w:sz="0" w:space="0" w:color="auto"/>
      </w:divBdr>
      <w:divsChild>
        <w:div w:id="1852259035">
          <w:marLeft w:val="0"/>
          <w:marRight w:val="0"/>
          <w:marTop w:val="0"/>
          <w:marBottom w:val="0"/>
          <w:divBdr>
            <w:top w:val="none" w:sz="0" w:space="0" w:color="auto"/>
            <w:left w:val="none" w:sz="0" w:space="0" w:color="auto"/>
            <w:bottom w:val="none" w:sz="0" w:space="0" w:color="auto"/>
            <w:right w:val="none" w:sz="0" w:space="0" w:color="auto"/>
          </w:divBdr>
          <w:divsChild>
            <w:div w:id="763769332">
              <w:marLeft w:val="0"/>
              <w:marRight w:val="0"/>
              <w:marTop w:val="0"/>
              <w:marBottom w:val="0"/>
              <w:divBdr>
                <w:top w:val="none" w:sz="0" w:space="0" w:color="auto"/>
                <w:left w:val="none" w:sz="0" w:space="0" w:color="auto"/>
                <w:bottom w:val="none" w:sz="0" w:space="0" w:color="auto"/>
                <w:right w:val="none" w:sz="0" w:space="0" w:color="auto"/>
              </w:divBdr>
              <w:divsChild>
                <w:div w:id="147895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679646">
      <w:bodyDiv w:val="1"/>
      <w:marLeft w:val="0"/>
      <w:marRight w:val="0"/>
      <w:marTop w:val="0"/>
      <w:marBottom w:val="0"/>
      <w:divBdr>
        <w:top w:val="none" w:sz="0" w:space="0" w:color="auto"/>
        <w:left w:val="none" w:sz="0" w:space="0" w:color="auto"/>
        <w:bottom w:val="none" w:sz="0" w:space="0" w:color="auto"/>
        <w:right w:val="none" w:sz="0" w:space="0" w:color="auto"/>
      </w:divBdr>
    </w:div>
    <w:div w:id="1129932083">
      <w:bodyDiv w:val="1"/>
      <w:marLeft w:val="0"/>
      <w:marRight w:val="0"/>
      <w:marTop w:val="0"/>
      <w:marBottom w:val="0"/>
      <w:divBdr>
        <w:top w:val="none" w:sz="0" w:space="0" w:color="auto"/>
        <w:left w:val="none" w:sz="0" w:space="0" w:color="auto"/>
        <w:bottom w:val="none" w:sz="0" w:space="0" w:color="auto"/>
        <w:right w:val="none" w:sz="0" w:space="0" w:color="auto"/>
      </w:divBdr>
      <w:divsChild>
        <w:div w:id="221260388">
          <w:marLeft w:val="0"/>
          <w:marRight w:val="0"/>
          <w:marTop w:val="0"/>
          <w:marBottom w:val="0"/>
          <w:divBdr>
            <w:top w:val="none" w:sz="0" w:space="0" w:color="auto"/>
            <w:left w:val="none" w:sz="0" w:space="0" w:color="auto"/>
            <w:bottom w:val="none" w:sz="0" w:space="0" w:color="auto"/>
            <w:right w:val="none" w:sz="0" w:space="0" w:color="auto"/>
          </w:divBdr>
          <w:divsChild>
            <w:div w:id="2021201862">
              <w:marLeft w:val="0"/>
              <w:marRight w:val="0"/>
              <w:marTop w:val="0"/>
              <w:marBottom w:val="0"/>
              <w:divBdr>
                <w:top w:val="none" w:sz="0" w:space="0" w:color="auto"/>
                <w:left w:val="none" w:sz="0" w:space="0" w:color="auto"/>
                <w:bottom w:val="none" w:sz="0" w:space="0" w:color="auto"/>
                <w:right w:val="none" w:sz="0" w:space="0" w:color="auto"/>
              </w:divBdr>
              <w:divsChild>
                <w:div w:id="125516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125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Hammond+N&amp;cauthor_id=32222812"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pubmed.ncbi.nlm.nih.gov/?term=Memish+ZA&amp;cauthor_id=32222812"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ubmed.ncbi.nlm.nih.gov/?term=Baw+B&amp;cauthor_id=32222812" TargetMode="External"/><Relationship Id="rId11" Type="http://schemas.openxmlformats.org/officeDocument/2006/relationships/hyperlink" Target="https://pubmed.ncbi.nlm.nih.gov/?term=Rhodes+A&amp;cauthor_id=32222812" TargetMode="External"/><Relationship Id="rId5" Type="http://schemas.openxmlformats.org/officeDocument/2006/relationships/endnotes" Target="endnotes.xml"/><Relationship Id="rId10" Type="http://schemas.openxmlformats.org/officeDocument/2006/relationships/hyperlink" Target="https://pubmed.ncbi.nlm.nih.gov/?term=Evans+L&amp;cauthor_id=32222812" TargetMode="External"/><Relationship Id="rId4" Type="http://schemas.openxmlformats.org/officeDocument/2006/relationships/footnotes" Target="footnotes.xml"/><Relationship Id="rId9" Type="http://schemas.openxmlformats.org/officeDocument/2006/relationships/hyperlink" Target="https://pubmed.ncbi.nlm.nih.gov/?term=Hayden+FG&amp;cauthor_id=32222812"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1177</Words>
  <Characters>6713</Characters>
  <Application>Microsoft Office Word</Application>
  <DocSecurity>0</DocSecurity>
  <Lines>55</Lines>
  <Paragraphs>15</Paragraphs>
  <ScaleCrop>false</ScaleCrop>
  <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Siragusa</dc:creator>
  <cp:keywords/>
  <dc:description/>
  <cp:lastModifiedBy>Maurizio Bottiroli</cp:lastModifiedBy>
  <cp:revision>2</cp:revision>
  <dcterms:created xsi:type="dcterms:W3CDTF">2021-02-09T22:18:00Z</dcterms:created>
  <dcterms:modified xsi:type="dcterms:W3CDTF">2021-02-09T22:18:00Z</dcterms:modified>
</cp:coreProperties>
</file>