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5DA5" w14:textId="5973B3A3" w:rsidR="00740BBB" w:rsidRDefault="00157534" w:rsidP="00740BBB">
      <w:pPr>
        <w:keepNext/>
      </w:pPr>
      <w:r>
        <w:rPr>
          <w:noProof/>
        </w:rPr>
        <w:drawing>
          <wp:inline distT="0" distB="0" distL="0" distR="0" wp14:anchorId="24C3C1B6" wp14:editId="141A8BD9">
            <wp:extent cx="5864860" cy="68954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689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14F1E" w14:textId="18153AF0" w:rsidR="00740BBB" w:rsidRDefault="00740BBB" w:rsidP="00740BBB">
      <w:r w:rsidRPr="00740BBB">
        <w:rPr>
          <w:b/>
          <w:bCs/>
        </w:rPr>
        <w:t>Supplementary Figure S</w:t>
      </w:r>
      <w:r w:rsidRPr="00740BBB">
        <w:rPr>
          <w:b/>
          <w:bCs/>
        </w:rPr>
        <w:fldChar w:fldCharType="begin"/>
      </w:r>
      <w:r w:rsidRPr="00740BBB">
        <w:rPr>
          <w:b/>
          <w:bCs/>
        </w:rPr>
        <w:instrText xml:space="preserve"> SEQ Figure \* ARABIC </w:instrText>
      </w:r>
      <w:r w:rsidRPr="00740BBB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740BBB">
        <w:rPr>
          <w:b/>
          <w:bCs/>
        </w:rPr>
        <w:fldChar w:fldCharType="end"/>
      </w:r>
      <w:r w:rsidRPr="00740BBB">
        <w:rPr>
          <w:b/>
          <w:bCs/>
        </w:rPr>
        <w:t>.</w:t>
      </w:r>
      <w:r>
        <w:t xml:space="preserve"> </w:t>
      </w:r>
      <w:r w:rsidRPr="00740BBB">
        <w:t>Statistical modelling of GC-MS analysis of tobacco</w:t>
      </w:r>
      <w:r w:rsidRPr="00740BBB">
        <w:rPr>
          <w:i/>
          <w:iCs/>
        </w:rPr>
        <w:t xml:space="preserve"> </w:t>
      </w:r>
      <w:r w:rsidRPr="00740BBB">
        <w:t>transformed</w:t>
      </w:r>
      <w:r w:rsidRPr="00740BBB">
        <w:rPr>
          <w:i/>
          <w:iCs/>
        </w:rPr>
        <w:t xml:space="preserve"> </w:t>
      </w:r>
      <w:r w:rsidRPr="00740BBB">
        <w:t>with and without CRISPR/Cas9 construct. Sample groups include tissue culture control (TC), plants treated with agrobacteria without vector (AC) and plants tested positive (+) or negative (</w:t>
      </w:r>
      <w:r w:rsidR="007919A4">
        <w:t>azy</w:t>
      </w:r>
      <w:r w:rsidRPr="00740BBB">
        <w:t>) for the CRISPR/Cas9 construct by PCR (see legend). PCA scatter plots are displayed for generation T</w:t>
      </w:r>
      <w:r w:rsidRPr="00A372BC">
        <w:rPr>
          <w:vertAlign w:val="subscript"/>
        </w:rPr>
        <w:t>0</w:t>
      </w:r>
      <w:r w:rsidRPr="00740BBB">
        <w:t xml:space="preserve"> (A) and T</w:t>
      </w:r>
      <w:r w:rsidRPr="00A372BC">
        <w:rPr>
          <w:vertAlign w:val="subscript"/>
        </w:rPr>
        <w:t>1</w:t>
      </w:r>
      <w:r w:rsidRPr="00740BBB">
        <w:t xml:space="preserve"> (B). OPLS-DA scatter plots and associated S-plot are displayed for generation T</w:t>
      </w:r>
      <w:r w:rsidRPr="00A372BC">
        <w:rPr>
          <w:vertAlign w:val="subscript"/>
        </w:rPr>
        <w:t>0</w:t>
      </w:r>
      <w:r w:rsidRPr="00740BBB">
        <w:t xml:space="preserve"> (C, E) and T</w:t>
      </w:r>
      <w:r w:rsidRPr="00A372BC">
        <w:rPr>
          <w:vertAlign w:val="subscript"/>
        </w:rPr>
        <w:t>1</w:t>
      </w:r>
      <w:r w:rsidRPr="00740BBB">
        <w:t xml:space="preserve"> (D, F).</w:t>
      </w:r>
    </w:p>
    <w:p w14:paraId="0F66975D" w14:textId="627D6938" w:rsidR="00740BBB" w:rsidRDefault="000B16B3" w:rsidP="00740BBB">
      <w:pPr>
        <w:keepNext/>
      </w:pPr>
      <w:r>
        <w:rPr>
          <w:noProof/>
        </w:rPr>
        <w:lastRenderedPageBreak/>
        <w:drawing>
          <wp:inline distT="0" distB="0" distL="0" distR="0" wp14:anchorId="04DDB127" wp14:editId="6C389FC0">
            <wp:extent cx="5724000" cy="604020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6040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A2191" w14:textId="6C525981" w:rsidR="00740BBB" w:rsidRPr="00740BBB" w:rsidRDefault="00740BBB" w:rsidP="00740BBB">
      <w:r w:rsidRPr="00740BBB">
        <w:rPr>
          <w:b/>
          <w:bCs/>
        </w:rPr>
        <w:t>Supplementary Figure S</w:t>
      </w:r>
      <w:r w:rsidRPr="00740BBB">
        <w:rPr>
          <w:b/>
          <w:bCs/>
        </w:rPr>
        <w:fldChar w:fldCharType="begin"/>
      </w:r>
      <w:r w:rsidRPr="00740BBB">
        <w:rPr>
          <w:b/>
          <w:bCs/>
        </w:rPr>
        <w:instrText xml:space="preserve"> SEQ Figure \* ARABIC </w:instrText>
      </w:r>
      <w:r w:rsidRPr="00740BBB">
        <w:rPr>
          <w:b/>
          <w:bCs/>
        </w:rPr>
        <w:fldChar w:fldCharType="separate"/>
      </w:r>
      <w:r>
        <w:rPr>
          <w:b/>
          <w:bCs/>
          <w:noProof/>
        </w:rPr>
        <w:t>2</w:t>
      </w:r>
      <w:r w:rsidRPr="00740BBB">
        <w:rPr>
          <w:b/>
          <w:bCs/>
        </w:rPr>
        <w:fldChar w:fldCharType="end"/>
      </w:r>
      <w:r w:rsidRPr="00740BBB">
        <w:rPr>
          <w:b/>
          <w:bCs/>
        </w:rPr>
        <w:t>.</w:t>
      </w:r>
      <w:r>
        <w:t xml:space="preserve"> </w:t>
      </w:r>
      <w:r w:rsidRPr="00740BBB">
        <w:t xml:space="preserve">Statistical modelling of GC-MS analysis of leaf and fruit of tomato transformed with and without CRISPR/Cas9. Sample groups include tissue culture control (TC), </w:t>
      </w:r>
      <w:r w:rsidR="00237338">
        <w:rPr>
          <w:i/>
          <w:iCs/>
        </w:rPr>
        <w:t>nptII</w:t>
      </w:r>
      <w:r w:rsidR="00237338">
        <w:t>-only</w:t>
      </w:r>
      <w:r w:rsidR="00237338">
        <w:rPr>
          <w:i/>
          <w:iCs/>
        </w:rPr>
        <w:t xml:space="preserve"> </w:t>
      </w:r>
      <w:r w:rsidR="00A372BC">
        <w:t xml:space="preserve">vector </w:t>
      </w:r>
      <w:r w:rsidRPr="00740BBB">
        <w:t>control (C</w:t>
      </w:r>
      <w:r w:rsidRPr="00AA09E7">
        <w:t>)</w:t>
      </w:r>
      <w:r w:rsidR="00EB4E40" w:rsidRPr="00AA09E7">
        <w:t>,</w:t>
      </w:r>
      <w:r w:rsidRPr="00AA09E7">
        <w:t xml:space="preserve"> </w:t>
      </w:r>
      <w:r w:rsidR="00AA09E7" w:rsidRPr="00AA09E7">
        <w:t xml:space="preserve">non-edited </w:t>
      </w:r>
      <w:r w:rsidRPr="00AA09E7">
        <w:t>azygous plants (A</w:t>
      </w:r>
      <w:r w:rsidR="00AA09E7" w:rsidRPr="00AA09E7">
        <w:t>zy</w:t>
      </w:r>
      <w:r w:rsidRPr="00AA09E7">
        <w:t>) and plants tested positive (+)</w:t>
      </w:r>
      <w:r w:rsidR="00CA5E70">
        <w:t xml:space="preserve"> </w:t>
      </w:r>
      <w:r w:rsidRPr="00AA09E7">
        <w:t xml:space="preserve">for </w:t>
      </w:r>
      <w:r w:rsidRPr="00AA09E7">
        <w:rPr>
          <w:i/>
          <w:iCs/>
        </w:rPr>
        <w:t>Cas9</w:t>
      </w:r>
      <w:r w:rsidRPr="00AA09E7">
        <w:t xml:space="preserve"> by PCR (see legend). PCA scatter plots are displayed for leaf (A) and fruit (B).</w:t>
      </w:r>
      <w:r w:rsidR="00730C6E">
        <w:t xml:space="preserve"> </w:t>
      </w:r>
      <w:r w:rsidR="00730C6E" w:rsidRPr="00730C6E">
        <w:t xml:space="preserve">OPLS-DA scatter plot and associated S-plot are displayed for </w:t>
      </w:r>
      <w:r w:rsidR="007D2BBA">
        <w:t xml:space="preserve">GC-MS analysis of </w:t>
      </w:r>
      <w:r w:rsidR="00730C6E" w:rsidRPr="00730C6E">
        <w:t>leaf (C, D).</w:t>
      </w:r>
      <w:r w:rsidR="007D2BBA">
        <w:t xml:space="preserve"> </w:t>
      </w:r>
      <w:r w:rsidR="007D2BBA" w:rsidRPr="00730C6E">
        <w:t xml:space="preserve">OPLS-DA scatter plot and associated S-plot are displayed for </w:t>
      </w:r>
      <w:r w:rsidR="007D2BBA">
        <w:t>LC-HRMS analysis of fruit</w:t>
      </w:r>
      <w:r w:rsidR="007D2BBA" w:rsidRPr="00730C6E">
        <w:t xml:space="preserve"> (</w:t>
      </w:r>
      <w:r w:rsidR="007D2BBA">
        <w:t>E</w:t>
      </w:r>
      <w:r w:rsidR="007D2BBA" w:rsidRPr="00730C6E">
        <w:t xml:space="preserve">, </w:t>
      </w:r>
      <w:r w:rsidR="007D2BBA">
        <w:t>F</w:t>
      </w:r>
      <w:r w:rsidR="007D2BBA" w:rsidRPr="00730C6E">
        <w:t>).</w:t>
      </w:r>
      <w:r w:rsidR="007D2BBA">
        <w:t xml:space="preserve"> </w:t>
      </w:r>
      <w:r w:rsidR="003460B9">
        <w:t xml:space="preserve">OPLS-DA separation for GC-MS analysis for fruit and LC-HRMS analysis for leaf </w:t>
      </w:r>
      <w:r w:rsidR="001707E7">
        <w:t xml:space="preserve">could not be performed, </w:t>
      </w:r>
      <w:r w:rsidR="00ED7475">
        <w:t>due to the strong similarity of the groups.</w:t>
      </w:r>
    </w:p>
    <w:p w14:paraId="09CB3E94" w14:textId="44866DF8" w:rsidR="008E535E" w:rsidRDefault="00D937EE" w:rsidP="00740BBB"/>
    <w:p w14:paraId="609399ED" w14:textId="3D204413" w:rsidR="00740BBB" w:rsidRDefault="00D937EE" w:rsidP="00740BBB">
      <w:pPr>
        <w:keepNext/>
      </w:pPr>
      <w:r>
        <w:rPr>
          <w:noProof/>
        </w:rPr>
        <w:lastRenderedPageBreak/>
        <w:drawing>
          <wp:inline distT="0" distB="0" distL="0" distR="0" wp14:anchorId="7B81C907" wp14:editId="50ACFA60">
            <wp:extent cx="5724000" cy="50442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04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1CAD2" w14:textId="08C5B5FD" w:rsidR="00740BBB" w:rsidRPr="00740BBB" w:rsidRDefault="00740BBB" w:rsidP="00740BBB">
      <w:r w:rsidRPr="00740BBB">
        <w:rPr>
          <w:b/>
          <w:bCs/>
        </w:rPr>
        <w:t>Supplementary Figure S</w:t>
      </w:r>
      <w:r w:rsidRPr="00740BBB">
        <w:rPr>
          <w:b/>
          <w:bCs/>
        </w:rPr>
        <w:fldChar w:fldCharType="begin"/>
      </w:r>
      <w:r w:rsidRPr="00740BBB">
        <w:rPr>
          <w:b/>
          <w:bCs/>
        </w:rPr>
        <w:instrText xml:space="preserve"> SEQ Figure \* ARABIC </w:instrText>
      </w:r>
      <w:r w:rsidRPr="00740BBB">
        <w:rPr>
          <w:b/>
          <w:bCs/>
        </w:rPr>
        <w:fldChar w:fldCharType="separate"/>
      </w:r>
      <w:r w:rsidRPr="00740BBB">
        <w:rPr>
          <w:b/>
          <w:bCs/>
          <w:noProof/>
        </w:rPr>
        <w:t>3</w:t>
      </w:r>
      <w:r w:rsidRPr="00740BBB">
        <w:rPr>
          <w:b/>
          <w:bCs/>
        </w:rPr>
        <w:fldChar w:fldCharType="end"/>
      </w:r>
      <w:r w:rsidRPr="00740BBB">
        <w:rPr>
          <w:b/>
          <w:bCs/>
        </w:rPr>
        <w:t>.</w:t>
      </w:r>
      <w:r>
        <w:t xml:space="preserve"> </w:t>
      </w:r>
      <w:r w:rsidR="00282087">
        <w:t xml:space="preserve">Statistical modelling of </w:t>
      </w:r>
      <w:r w:rsidR="00282087" w:rsidRPr="00740BBB">
        <w:t xml:space="preserve">GC-MS analysis </w:t>
      </w:r>
      <w:r w:rsidR="00282087">
        <w:t xml:space="preserve">of tobacco with downregulated </w:t>
      </w:r>
      <w:r w:rsidR="00282087">
        <w:rPr>
          <w:i/>
          <w:iCs/>
        </w:rPr>
        <w:t>DET1</w:t>
      </w:r>
      <w:r w:rsidR="00282087">
        <w:t xml:space="preserve"> by CRISPR/Cas9. </w:t>
      </w:r>
      <w:r w:rsidR="00282087" w:rsidRPr="005F2474">
        <w:t>PCA sc</w:t>
      </w:r>
      <w:r w:rsidR="00282087">
        <w:t>ore</w:t>
      </w:r>
      <w:r w:rsidR="00282087" w:rsidRPr="005F2474">
        <w:t xml:space="preserve"> plots are displayed for generation T</w:t>
      </w:r>
      <w:r w:rsidR="00282087" w:rsidRPr="00A372BC">
        <w:rPr>
          <w:vertAlign w:val="subscript"/>
        </w:rPr>
        <w:t>0</w:t>
      </w:r>
      <w:r w:rsidR="00282087" w:rsidRPr="005F2474">
        <w:t xml:space="preserve"> (A) and T</w:t>
      </w:r>
      <w:r w:rsidR="00282087" w:rsidRPr="00A372BC">
        <w:rPr>
          <w:vertAlign w:val="subscript"/>
        </w:rPr>
        <w:t>1</w:t>
      </w:r>
      <w:r w:rsidR="00282087" w:rsidRPr="005F2474">
        <w:t xml:space="preserve"> (B).</w:t>
      </w:r>
      <w:r w:rsidR="00282087">
        <w:t xml:space="preserve"> </w:t>
      </w:r>
      <w:r w:rsidR="004169B0" w:rsidRPr="00A71F46">
        <w:t>Carotenoid, chlorophyll and sterol concentrations were measured for selected plants of generation T</w:t>
      </w:r>
      <w:r w:rsidR="004169B0" w:rsidRPr="00EB1F85">
        <w:rPr>
          <w:vertAlign w:val="subscript"/>
        </w:rPr>
        <w:t>0</w:t>
      </w:r>
      <w:r w:rsidR="004169B0" w:rsidRPr="00A71F46">
        <w:t xml:space="preserve"> (C) and their T</w:t>
      </w:r>
      <w:r w:rsidR="004169B0" w:rsidRPr="00EB1F85">
        <w:rPr>
          <w:vertAlign w:val="subscript"/>
        </w:rPr>
        <w:t>1</w:t>
      </w:r>
      <w:r w:rsidR="004169B0" w:rsidRPr="00A71F46">
        <w:t xml:space="preserve"> progeny (D). </w:t>
      </w:r>
      <w:r w:rsidR="00282087">
        <w:t>Plants of the T</w:t>
      </w:r>
      <w:r w:rsidR="00282087" w:rsidRPr="00A372BC">
        <w:rPr>
          <w:vertAlign w:val="subscript"/>
        </w:rPr>
        <w:t>0</w:t>
      </w:r>
      <w:r w:rsidR="00282087">
        <w:t xml:space="preserve"> generation were screened for </w:t>
      </w:r>
      <w:r w:rsidR="00282087" w:rsidRPr="00A372BC">
        <w:rPr>
          <w:i/>
          <w:iCs/>
        </w:rPr>
        <w:t>Cas9</w:t>
      </w:r>
      <w:r w:rsidR="00282087" w:rsidRPr="005F2474">
        <w:t xml:space="preserve"> by PCR </w:t>
      </w:r>
      <w:r w:rsidR="00282087">
        <w:t>and are indicated as</w:t>
      </w:r>
      <w:r w:rsidR="00282087" w:rsidRPr="005F2474">
        <w:t xml:space="preserve"> tested positive (+) or negative (-)</w:t>
      </w:r>
      <w:r w:rsidR="00282087">
        <w:t xml:space="preserve">, </w:t>
      </w:r>
      <w:r w:rsidR="00282087" w:rsidRPr="005F2474">
        <w:t>see legend</w:t>
      </w:r>
      <w:r w:rsidR="00282087">
        <w:t>. T</w:t>
      </w:r>
      <w:r w:rsidR="00282087" w:rsidRPr="00A372BC">
        <w:rPr>
          <w:vertAlign w:val="subscript"/>
        </w:rPr>
        <w:t>0</w:t>
      </w:r>
      <w:r w:rsidR="00282087">
        <w:t xml:space="preserve"> plants were analysed as duplicate technical replicates. T</w:t>
      </w:r>
      <w:r w:rsidR="00282087" w:rsidRPr="00A372BC">
        <w:rPr>
          <w:vertAlign w:val="subscript"/>
        </w:rPr>
        <w:t>1</w:t>
      </w:r>
      <w:r w:rsidR="00282087">
        <w:t xml:space="preserve"> plants included four to six biological replicates per genotype.</w:t>
      </w:r>
    </w:p>
    <w:p w14:paraId="74358E65" w14:textId="71DE90FC" w:rsidR="00740BBB" w:rsidRDefault="00740BBB" w:rsidP="00740BBB">
      <w:pPr>
        <w:pStyle w:val="Caption"/>
      </w:pPr>
    </w:p>
    <w:sectPr w:rsidR="00740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BB"/>
    <w:rsid w:val="00035CE1"/>
    <w:rsid w:val="00073B31"/>
    <w:rsid w:val="000B16B3"/>
    <w:rsid w:val="000E5640"/>
    <w:rsid w:val="00157534"/>
    <w:rsid w:val="001707E7"/>
    <w:rsid w:val="001D7E8C"/>
    <w:rsid w:val="001F2F10"/>
    <w:rsid w:val="00237338"/>
    <w:rsid w:val="00282087"/>
    <w:rsid w:val="003460B9"/>
    <w:rsid w:val="003A7942"/>
    <w:rsid w:val="004169B0"/>
    <w:rsid w:val="004A64A6"/>
    <w:rsid w:val="00547041"/>
    <w:rsid w:val="00562E98"/>
    <w:rsid w:val="00730C6E"/>
    <w:rsid w:val="00740BBB"/>
    <w:rsid w:val="0079161B"/>
    <w:rsid w:val="007919A4"/>
    <w:rsid w:val="007D2BBA"/>
    <w:rsid w:val="008B0443"/>
    <w:rsid w:val="00A372BC"/>
    <w:rsid w:val="00AA09E7"/>
    <w:rsid w:val="00CA5E70"/>
    <w:rsid w:val="00D937EE"/>
    <w:rsid w:val="00EB4E40"/>
    <w:rsid w:val="00ED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C999A98"/>
  <w15:chartTrackingRefBased/>
  <w15:docId w15:val="{0400CED8-EFA1-4C99-9D06-8DE52FFD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40B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40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1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39E8-ABAF-4D53-BB37-083CE9BB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Drapal, Margit</dc:creator>
  <cp:keywords/>
  <dc:description/>
  <cp:lastModifiedBy>Drapal, Margit</cp:lastModifiedBy>
  <cp:revision>16</cp:revision>
  <dcterms:created xsi:type="dcterms:W3CDTF">2022-04-08T11:23:00Z</dcterms:created>
  <dcterms:modified xsi:type="dcterms:W3CDTF">2022-09-27T13:11:00Z</dcterms:modified>
</cp:coreProperties>
</file>