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505F" w:rsidRPr="00A86D27" w:rsidRDefault="00A86D27" w:rsidP="00A86D27">
      <w:pPr>
        <w:jc w:val="center"/>
        <w:rPr>
          <w:b/>
        </w:rPr>
      </w:pPr>
      <w:r w:rsidRPr="00A86D27">
        <w:rPr>
          <w:b/>
        </w:rPr>
        <w:t>Supplementary Material for Biomedical Knowledge Discovery from Unstructured Text Corpora Using Contextual Word Embeddings</w:t>
      </w:r>
    </w:p>
    <w:p w:rsidR="00A86D27" w:rsidRPr="00A86D27" w:rsidRDefault="00A86D27" w:rsidP="00A86D27">
      <w:pPr>
        <w:jc w:val="center"/>
        <w:rPr>
          <w:b/>
        </w:rPr>
      </w:pPr>
    </w:p>
    <w:p w:rsidR="00A86D27" w:rsidRDefault="00A86D27" w:rsidP="00A86D27">
      <w:pPr>
        <w:jc w:val="center"/>
        <w:rPr>
          <w:b/>
        </w:rPr>
      </w:pPr>
      <w:r w:rsidRPr="00A86D27">
        <w:rPr>
          <w:b/>
        </w:rPr>
        <w:t>Sandip S Panesar MD MSc MIDS</w:t>
      </w:r>
    </w:p>
    <w:p w:rsidR="00A86D27" w:rsidRPr="00A86D27" w:rsidRDefault="00A86D27" w:rsidP="00A86D27">
      <w:pPr>
        <w:jc w:val="center"/>
        <w:rPr>
          <w:b/>
        </w:rPr>
      </w:pPr>
    </w:p>
    <w:p w:rsidR="00A86D27" w:rsidRPr="00A86D27" w:rsidRDefault="00A86D27" w:rsidP="00A86D27">
      <w:pPr>
        <w:jc w:val="center"/>
        <w:rPr>
          <w:b/>
          <w:color w:val="000000" w:themeColor="text1"/>
        </w:rPr>
      </w:pPr>
    </w:p>
    <w:p w:rsidR="00A86D27" w:rsidRPr="00A86D27" w:rsidRDefault="00A86D27" w:rsidP="00A86D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</w:rPr>
      </w:pPr>
      <w:r w:rsidRPr="00A86D27">
        <w:rPr>
          <w:b/>
          <w:bCs/>
          <w:color w:val="000000" w:themeColor="text1"/>
        </w:rPr>
        <w:t>Corpus Sampling Characteristics</w:t>
      </w:r>
    </w:p>
    <w:p w:rsidR="00A86D27" w:rsidRPr="00A86D27" w:rsidRDefault="00A86D27" w:rsidP="00A86D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</w:p>
    <w:p w:rsidR="00A86D27" w:rsidRDefault="00A86D27" w:rsidP="00A86D27">
      <w:pPr>
        <w:rPr>
          <w:color w:val="000000"/>
        </w:rPr>
      </w:pPr>
      <w:r>
        <w:rPr>
          <w:b/>
          <w:color w:val="000000"/>
        </w:rPr>
        <w:t>Appendix Figure 1.</w:t>
      </w:r>
      <w:r w:rsidRPr="00A86D27">
        <w:rPr>
          <w:color w:val="000000"/>
        </w:rPr>
        <w:t xml:space="preserve"> demonstrates the distribution of log sequence lengths for long and short sequences, respectively. </w:t>
      </w:r>
      <w:r w:rsidR="00682064">
        <w:rPr>
          <w:b/>
          <w:color w:val="000000"/>
        </w:rPr>
        <w:t>Appendix Figure 2.</w:t>
      </w:r>
      <w:r w:rsidRPr="00A86D27">
        <w:rPr>
          <w:color w:val="000000"/>
        </w:rPr>
        <w:t xml:space="preserve"> demonstrates the distribution of log number of sequences for long and short sequences, respectively. The sampling criteria was that sequences had a single instance of the word and was &lt;512 words in length. There are fewer long sequence samples per word compared to short sequence examples. The mean long sequence length was 46.8 words (</w:t>
      </w:r>
      <w:r w:rsidRPr="00A86D27">
        <w:rPr>
          <w:color w:val="000000" w:themeColor="text1"/>
        </w:rPr>
        <w:t>σ</w:t>
      </w:r>
      <w:r>
        <w:rPr>
          <w:color w:val="008000"/>
        </w:rPr>
        <w:t xml:space="preserve"> </w:t>
      </w:r>
      <w:r w:rsidRPr="00A86D27">
        <w:rPr>
          <w:color w:val="000000"/>
        </w:rPr>
        <w:t>= 29.5) while the mean short sequence length was 26.3 words (</w:t>
      </w:r>
      <w:r w:rsidRPr="00A86D27">
        <w:rPr>
          <w:color w:val="000000" w:themeColor="text1"/>
        </w:rPr>
        <w:t>σ</w:t>
      </w:r>
      <w:r w:rsidRPr="00A86D27">
        <w:rPr>
          <w:color w:val="000000"/>
        </w:rPr>
        <w:t xml:space="preserve"> = 16.7). For long sequences, the mean number of contextual examples per word was 2330.2 (</w:t>
      </w:r>
      <w:r w:rsidRPr="00A86D27">
        <w:rPr>
          <w:color w:val="000000" w:themeColor="text1"/>
        </w:rPr>
        <w:t>σ</w:t>
      </w:r>
      <w:r w:rsidRPr="00A86D27">
        <w:rPr>
          <w:color w:val="000000"/>
        </w:rPr>
        <w:t xml:space="preserve"> = 2194.8). For short sequences, the mean number of contextual examples per word was 3632.2 (</w:t>
      </w:r>
      <w:r w:rsidRPr="00A86D27">
        <w:rPr>
          <w:color w:val="000000" w:themeColor="text1"/>
        </w:rPr>
        <w:t>σ</w:t>
      </w:r>
      <w:r w:rsidRPr="00A86D27">
        <w:rPr>
          <w:color w:val="000000"/>
        </w:rPr>
        <w:t xml:space="preserve"> = 1948.7)</w:t>
      </w:r>
      <w:r w:rsidR="00682064">
        <w:rPr>
          <w:color w:val="000000"/>
        </w:rPr>
        <w:t>.</w:t>
      </w:r>
    </w:p>
    <w:p w:rsidR="00A86D27" w:rsidRDefault="00A86D27" w:rsidP="00A86D27">
      <w:pPr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5943600" cy="50946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entence_lengths.eps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9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6D27" w:rsidRPr="00A86D27" w:rsidRDefault="00A86D27" w:rsidP="00A86D27">
      <w:pPr>
        <w:rPr>
          <w:b/>
        </w:rPr>
      </w:pPr>
    </w:p>
    <w:p w:rsidR="00A86D27" w:rsidRPr="00A86D27" w:rsidRDefault="00A86D27" w:rsidP="00A86D27">
      <w:pPr>
        <w:pStyle w:val="HTMLPreformatte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Figure 5. </w:t>
      </w:r>
      <w:r w:rsidRPr="00A86D27">
        <w:rPr>
          <w:rFonts w:ascii="Times New Roman" w:hAnsi="Times New Roman" w:cs="Times New Roman"/>
          <w:color w:val="000000"/>
          <w:sz w:val="24"/>
          <w:szCs w:val="24"/>
        </w:rPr>
        <w:t>Distributions of log sentence lengths for long and short contextual sequences.</w:t>
      </w:r>
    </w:p>
    <w:p w:rsidR="00A86D27" w:rsidRDefault="00A86D27" w:rsidP="00A86D27">
      <w:pPr>
        <w:jc w:val="center"/>
        <w:rPr>
          <w:b/>
        </w:rPr>
      </w:pPr>
    </w:p>
    <w:p w:rsidR="00A86D27" w:rsidRDefault="00682064" w:rsidP="00A86D27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5943600" cy="509460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o_aggregated_contexts.ep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9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2064" w:rsidRDefault="00682064" w:rsidP="00A86D27">
      <w:pPr>
        <w:jc w:val="center"/>
        <w:rPr>
          <w:b/>
        </w:rPr>
      </w:pPr>
    </w:p>
    <w:p w:rsidR="00682064" w:rsidRDefault="00682064" w:rsidP="00682064">
      <w:pPr>
        <w:pStyle w:val="HTMLPreformatted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820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Appendix Figure 2. </w:t>
      </w:r>
      <w:r w:rsidRPr="006820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Distributions of log number of aggregated contexts for long and short sequence lengths. There are substantially more examples meeting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6820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5000 for short sentence</w:t>
      </w:r>
      <w:r w:rsidRPr="00682064">
        <w:rPr>
          <w:rFonts w:ascii="Times New Roman" w:hAnsi="Times New Roman" w:cs="Times New Roman"/>
          <w:color w:val="000000" w:themeColor="text1"/>
          <w:sz w:val="24"/>
          <w:szCs w:val="24"/>
        </w:rPr>
        <w:t>s.</w:t>
      </w:r>
    </w:p>
    <w:p w:rsidR="00682064" w:rsidRDefault="00682064" w:rsidP="00682064">
      <w:pPr>
        <w:pStyle w:val="HTMLPreformatted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064" w:rsidRPr="00CA3CA6" w:rsidRDefault="00682064" w:rsidP="00682064">
      <w:pPr>
        <w:pStyle w:val="HTMLPreformatted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3CA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Effect of Further Pre-Training on Word Representation Quality</w:t>
      </w:r>
    </w:p>
    <w:p w:rsidR="00682064" w:rsidRPr="00CA3CA6" w:rsidRDefault="00682064" w:rsidP="00682064">
      <w:pPr>
        <w:pStyle w:val="HTMLPreformatted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064" w:rsidRPr="00CA3CA6" w:rsidRDefault="00682064" w:rsidP="00682064">
      <w:pPr>
        <w:pStyle w:val="HTMLPreformatted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3C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pilot study involved pre-training </w:t>
      </w:r>
      <w:proofErr w:type="spellStart"/>
      <w:r w:rsidRPr="00CA3CA6">
        <w:rPr>
          <w:rFonts w:ascii="Times New Roman" w:hAnsi="Times New Roman" w:cs="Times New Roman"/>
          <w:color w:val="000000" w:themeColor="text1"/>
          <w:sz w:val="24"/>
          <w:szCs w:val="24"/>
        </w:rPr>
        <w:t>BioBERT</w:t>
      </w:r>
      <w:proofErr w:type="spellEnd"/>
      <w:r w:rsidRPr="00CA3C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using the entire CORD-19 corpus. This approach used only long corpus sequences and the base </w:t>
      </w:r>
      <w:proofErr w:type="spellStart"/>
      <w:r w:rsidRPr="00CA3CA6">
        <w:rPr>
          <w:rFonts w:ascii="Times New Roman" w:hAnsi="Times New Roman" w:cs="Times New Roman"/>
          <w:color w:val="000000" w:themeColor="text1"/>
          <w:sz w:val="24"/>
          <w:szCs w:val="24"/>
        </w:rPr>
        <w:t>BioBERT</w:t>
      </w:r>
      <w:proofErr w:type="spellEnd"/>
      <w:r w:rsidRPr="00CA3C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vocabulary (which itself is identical to BERT vocabulary). Pre-training was achieved using the scripts supplied with the TensorFlow implementation of the model (see Availability of Data and Materials for link) and involved creating pre-training data using sentence examples from the corpus, before running further pre-training for 100,000 epochs. Default hyperparameters were used. For this pilot study, </w:t>
      </w:r>
      <w:r w:rsidRPr="00CA3CA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</w:t>
      </w:r>
      <w:r w:rsidRPr="00CA3C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10, 50, 100, 500 and 1000. The </w:t>
      </w:r>
      <w:r w:rsidRPr="00CA3CA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</w:t>
      </w:r>
      <w:r w:rsidRPr="00CA3C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selected examples were then all tokenized and passed through either the further-pretrained </w:t>
      </w:r>
      <w:proofErr w:type="spellStart"/>
      <w:r w:rsidRPr="00CA3CA6">
        <w:rPr>
          <w:rFonts w:ascii="Times New Roman" w:hAnsi="Times New Roman" w:cs="Times New Roman"/>
          <w:color w:val="000000" w:themeColor="text1"/>
          <w:sz w:val="24"/>
          <w:szCs w:val="24"/>
        </w:rPr>
        <w:t>BioBERT</w:t>
      </w:r>
      <w:proofErr w:type="spellEnd"/>
      <w:r w:rsidRPr="00CA3C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model or the base Bio-BERT model. For either approach, representations corresponding to the word of interest were then extracted wholly (i.e. as a single 1x768 word representation, or </w:t>
      </w:r>
      <w:r w:rsidRPr="00CA3CA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k</w:t>
      </w:r>
      <w:r w:rsidRPr="00CA3C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individual sub-word representations) and added to the list of </w:t>
      </w:r>
      <w:proofErr w:type="gramStart"/>
      <w:r w:rsidRPr="00CA3CA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</w:t>
      </w:r>
      <w:proofErr w:type="gramEnd"/>
      <w:r w:rsidRPr="00CA3C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A3CA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(explained further in the methods section). Benchmarking was performed as described in the methods section.</w:t>
      </w:r>
    </w:p>
    <w:p w:rsidR="00682064" w:rsidRPr="00CA3CA6" w:rsidRDefault="00682064" w:rsidP="00682064">
      <w:pPr>
        <w:pStyle w:val="HTMLPreformatted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064" w:rsidRPr="00CA3CA6" w:rsidRDefault="00682064" w:rsidP="00682064">
      <w:pPr>
        <w:pStyle w:val="HTMLPreformatted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3CA6">
        <w:rPr>
          <w:rFonts w:ascii="Times New Roman" w:hAnsi="Times New Roman" w:cs="Times New Roman"/>
          <w:color w:val="000000" w:themeColor="text1"/>
          <w:sz w:val="24"/>
          <w:szCs w:val="24"/>
        </w:rPr>
        <w:t>For the Bio-</w:t>
      </w:r>
      <w:proofErr w:type="spellStart"/>
      <w:r w:rsidRPr="00CA3CA6">
        <w:rPr>
          <w:rFonts w:ascii="Times New Roman" w:hAnsi="Times New Roman" w:cs="Times New Roman"/>
          <w:color w:val="000000" w:themeColor="text1"/>
          <w:sz w:val="24"/>
          <w:szCs w:val="24"/>
        </w:rPr>
        <w:t>SimVerb</w:t>
      </w:r>
      <w:proofErr w:type="spellEnd"/>
      <w:r w:rsidRPr="00CA3C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benchmarks (Left side of </w:t>
      </w:r>
      <w:r w:rsidR="00CA3CA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Appendix Figure 3</w:t>
      </w:r>
      <w:r w:rsidRPr="00CA3C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there is a clear increase in performance by increasing </w:t>
      </w:r>
      <w:r w:rsidRPr="00CA3CA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</w:t>
      </w:r>
      <w:r w:rsidRPr="00CA3C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from 10 to 1000 contexts. Also apparent is that the representations extracted from the further pre-trained model underperform relative to those extracted from the base model for the same </w:t>
      </w:r>
      <w:r w:rsidRPr="00CA3CA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</w:t>
      </w:r>
      <w:r w:rsidRPr="00CA3C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Biggest increases in performance are seen going from </w:t>
      </w:r>
      <w:r w:rsidRPr="00CA3CA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</w:t>
      </w:r>
      <w:r w:rsidRPr="00CA3C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=10 to </w:t>
      </w:r>
      <w:r w:rsidRPr="00CA3CA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</w:t>
      </w:r>
      <w:r w:rsidRPr="00CA3C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=100. Increasing </w:t>
      </w:r>
      <w:r w:rsidRPr="00CA3CA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</w:t>
      </w:r>
      <w:r w:rsidRPr="00CA3C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beyond this begins to demonstrate smaller performance boosts. Interestingly, best performing verb embeddings from the further pre-trained model were taken from layer 12 (see </w:t>
      </w:r>
      <w:r w:rsidRPr="00CA3CA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Appendix Table 1</w:t>
      </w:r>
      <w:r w:rsidRPr="00CA3CA6">
        <w:rPr>
          <w:rFonts w:ascii="Times New Roman" w:hAnsi="Times New Roman" w:cs="Times New Roman"/>
          <w:color w:val="000000" w:themeColor="text1"/>
          <w:sz w:val="24"/>
          <w:szCs w:val="24"/>
        </w:rPr>
        <w:t>) while for the base model, performance peaked at embeddings extracted from layer 8. In some cases, embeddings taken from layer 12 of the further pre-trained model almost reached peak performance from embeddings taken from layer 8 of the base model.</w:t>
      </w:r>
    </w:p>
    <w:p w:rsidR="00682064" w:rsidRPr="00CA3CA6" w:rsidRDefault="00682064" w:rsidP="00682064">
      <w:pPr>
        <w:pStyle w:val="HTMLPreformatted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064" w:rsidRDefault="00682064" w:rsidP="00682064">
      <w:pPr>
        <w:pStyle w:val="HTMLPreformatted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3CA6">
        <w:rPr>
          <w:rFonts w:ascii="Times New Roman" w:hAnsi="Times New Roman" w:cs="Times New Roman"/>
          <w:color w:val="000000" w:themeColor="text1"/>
          <w:sz w:val="24"/>
          <w:szCs w:val="24"/>
        </w:rPr>
        <w:t>For the Bio-</w:t>
      </w:r>
      <w:proofErr w:type="spellStart"/>
      <w:r w:rsidRPr="00CA3CA6">
        <w:rPr>
          <w:rFonts w:ascii="Times New Roman" w:hAnsi="Times New Roman" w:cs="Times New Roman"/>
          <w:color w:val="000000" w:themeColor="text1"/>
          <w:sz w:val="24"/>
          <w:szCs w:val="24"/>
        </w:rPr>
        <w:t>SimLex</w:t>
      </w:r>
      <w:proofErr w:type="spellEnd"/>
      <w:r w:rsidRPr="00CA3C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benchmarks (Right side of </w:t>
      </w:r>
      <w:r w:rsidRPr="00CA3CA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Appendix Figure 3</w:t>
      </w:r>
      <w:r w:rsidRPr="00CA3C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though there was a general performance increase between representations extracted from the further-pretrained model and the base </w:t>
      </w:r>
      <w:proofErr w:type="spellStart"/>
      <w:r w:rsidRPr="00CA3CA6">
        <w:rPr>
          <w:rFonts w:ascii="Times New Roman" w:hAnsi="Times New Roman" w:cs="Times New Roman"/>
          <w:color w:val="000000" w:themeColor="text1"/>
          <w:sz w:val="24"/>
          <w:szCs w:val="24"/>
        </w:rPr>
        <w:t>BioBERT</w:t>
      </w:r>
      <w:proofErr w:type="spellEnd"/>
      <w:r w:rsidRPr="00CA3C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model, it was less pronounced as it was for the verb benchmarks, with performance for the first 6 layers approximately equal before diverging thereafter. Moreover, a substantial boost is seen going from </w:t>
      </w:r>
      <w:r w:rsidR="00CA3CA6" w:rsidRPr="00CA3CA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</w:t>
      </w:r>
      <w:r w:rsidRPr="00CA3C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=10 to </w:t>
      </w:r>
      <w:r w:rsidRPr="00CA3CA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</w:t>
      </w:r>
      <w:r w:rsidRPr="00CA3C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=50, becoming less pronounced as </w:t>
      </w:r>
      <w:r w:rsidRPr="00CA3CA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</w:t>
      </w:r>
      <w:r w:rsidRPr="00CA3C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increases. Again, performance for the representations extracted from a further pre-trained model demonstrate a trough following their maximum performance at layer 8, but increase substantially thereafter going from layer 11 to 12, though without reaching their layer 6 peak. This characteristic was not observed with the base model representations. Finally, representations from either the further-pretrained or base models did not outperform either Word2Vec 200 or 300 dimensional representations, or the </w:t>
      </w:r>
      <w:proofErr w:type="spellStart"/>
      <w:r w:rsidRPr="00CA3CA6">
        <w:rPr>
          <w:rFonts w:ascii="Times New Roman" w:hAnsi="Times New Roman" w:cs="Times New Roman"/>
          <w:color w:val="000000" w:themeColor="text1"/>
          <w:sz w:val="24"/>
          <w:szCs w:val="24"/>
        </w:rPr>
        <w:t>BioWordVec</w:t>
      </w:r>
      <w:proofErr w:type="spellEnd"/>
      <w:r w:rsidRPr="00CA3C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representations.</w:t>
      </w:r>
    </w:p>
    <w:p w:rsidR="00CA3CA6" w:rsidRDefault="00CA3CA6" w:rsidP="00682064">
      <w:pPr>
        <w:pStyle w:val="HTMLPreformatted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3CA6" w:rsidRDefault="00CA3CA6" w:rsidP="00682064">
      <w:pPr>
        <w:pStyle w:val="HTMLPreformatted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5943600" cy="317690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lot_main_results.ep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76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3CA6" w:rsidRDefault="00CA3CA6" w:rsidP="00682064">
      <w:pPr>
        <w:pStyle w:val="HTMLPreformatted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3CA6" w:rsidRDefault="00CA3CA6" w:rsidP="00682064">
      <w:pPr>
        <w:pStyle w:val="HTMLPreformatted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3CA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Appendix Figure 3. </w:t>
      </w:r>
      <w:r w:rsidRPr="00CA3CA6">
        <w:rPr>
          <w:rFonts w:ascii="Times New Roman" w:hAnsi="Times New Roman" w:cs="Times New Roman"/>
          <w:color w:val="000000" w:themeColor="text1"/>
          <w:sz w:val="24"/>
          <w:szCs w:val="24"/>
        </w:rPr>
        <w:t>Layer-wise performance of BERT embeddings (0 corresponds to input layer) at both Bio-</w:t>
      </w:r>
      <w:proofErr w:type="spellStart"/>
      <w:r w:rsidRPr="00CA3CA6">
        <w:rPr>
          <w:rFonts w:ascii="Times New Roman" w:hAnsi="Times New Roman" w:cs="Times New Roman"/>
          <w:color w:val="000000" w:themeColor="text1"/>
          <w:sz w:val="24"/>
          <w:szCs w:val="24"/>
        </w:rPr>
        <w:t>SimVerb</w:t>
      </w:r>
      <w:proofErr w:type="spellEnd"/>
      <w:r w:rsidRPr="00CA3C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Bio-</w:t>
      </w:r>
      <w:proofErr w:type="spellStart"/>
      <w:r w:rsidRPr="00CA3CA6">
        <w:rPr>
          <w:rFonts w:ascii="Times New Roman" w:hAnsi="Times New Roman" w:cs="Times New Roman"/>
          <w:color w:val="000000" w:themeColor="text1"/>
          <w:sz w:val="24"/>
          <w:szCs w:val="24"/>
        </w:rPr>
        <w:t>SimLex</w:t>
      </w:r>
      <w:proofErr w:type="spellEnd"/>
      <w:r w:rsidRPr="00CA3C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benchmarks. Pretrained </w:t>
      </w:r>
      <w:r w:rsidRPr="00CA3CA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</w:t>
      </w:r>
      <w:r w:rsidRPr="00CA3C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/Base </w:t>
      </w:r>
      <w:r w:rsidRPr="00CA3CA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CA3C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refer to either the </w:t>
      </w:r>
      <w:r w:rsidRPr="00CA3CA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further-pretrained model or the base model, respectively, followed by the </w:t>
      </w:r>
      <w:r w:rsidRPr="00CA3CA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n </w:t>
      </w:r>
      <w:r w:rsidRPr="00CA3CA6">
        <w:rPr>
          <w:rFonts w:ascii="Times New Roman" w:hAnsi="Times New Roman" w:cs="Times New Roman"/>
          <w:color w:val="000000" w:themeColor="text1"/>
          <w:sz w:val="24"/>
          <w:szCs w:val="24"/>
        </w:rPr>
        <w:t>aggregated contexts. Horizontal dashed lines correspond to performance of static models.</w:t>
      </w:r>
    </w:p>
    <w:p w:rsidR="00CA3CA6" w:rsidRDefault="00CA3CA6" w:rsidP="00682064">
      <w:pPr>
        <w:pStyle w:val="HTMLPreformatted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1291"/>
        <w:gridCol w:w="1191"/>
      </w:tblGrid>
      <w:tr w:rsidR="00CA3CA6" w:rsidTr="00CA3CA6">
        <w:trPr>
          <w:trHeight w:val="315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A3CA6" w:rsidRDefault="00CA3CA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Method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A3CA6" w:rsidRDefault="00CA3CA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Bio-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SimVerb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A3CA6" w:rsidRDefault="00CA3CA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Bio-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SimLex</w:t>
            </w:r>
            <w:proofErr w:type="spellEnd"/>
          </w:p>
        </w:tc>
      </w:tr>
      <w:tr w:rsidR="00CA3CA6" w:rsidTr="00CA3CA6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A3CA6" w:rsidRDefault="00CA3CA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Pre-Trained 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A3CA6" w:rsidRDefault="00CA3CA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0.5169 (12)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A3CA6" w:rsidRDefault="00CA3CA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0.6770 (1)</w:t>
            </w:r>
          </w:p>
        </w:tc>
      </w:tr>
      <w:tr w:rsidR="00CA3CA6" w:rsidTr="00CA3CA6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A3CA6" w:rsidRDefault="00CA3CA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Pre-Trained 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A3CA6" w:rsidRDefault="00CA3CA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0.5351 (12)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A3CA6" w:rsidRDefault="00CA3CA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0.6991 (6)</w:t>
            </w:r>
          </w:p>
        </w:tc>
      </w:tr>
      <w:tr w:rsidR="00CA3CA6" w:rsidTr="00CA3CA6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A3CA6" w:rsidRDefault="00CA3CA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Pre-Trained 500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A3CA6" w:rsidRDefault="00CA3CA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0.5440 (12)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A3CA6" w:rsidRDefault="00CA3CA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0.7004 (6)</w:t>
            </w:r>
          </w:p>
        </w:tc>
      </w:tr>
      <w:tr w:rsidR="00CA3CA6" w:rsidTr="00CA3CA6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A3CA6" w:rsidRDefault="00CA3CA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Pre-Trained 1000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A3CA6" w:rsidRDefault="00CA3CA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0.5487 (12)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A3CA6" w:rsidRDefault="00CA3CA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0.7008 (6)</w:t>
            </w:r>
          </w:p>
        </w:tc>
      </w:tr>
      <w:tr w:rsidR="00CA3CA6" w:rsidTr="00CA3CA6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A3CA6" w:rsidRDefault="00CA3CA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Base 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A3CA6" w:rsidRDefault="00CA3CA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0.5229 (8)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A3CA6" w:rsidRDefault="00CA3CA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0.6744 (5)</w:t>
            </w:r>
          </w:p>
        </w:tc>
      </w:tr>
      <w:tr w:rsidR="00CA3CA6" w:rsidTr="00CA3CA6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A3CA6" w:rsidRDefault="00CA3CA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Base 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A3CA6" w:rsidRDefault="00CA3CA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0.5415 (8)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A3CA6" w:rsidRDefault="00CA3CA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0.7054 (6)</w:t>
            </w:r>
          </w:p>
        </w:tc>
      </w:tr>
      <w:tr w:rsidR="00CA3CA6" w:rsidTr="00CA3CA6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A3CA6" w:rsidRDefault="00CA3CA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Base 500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A3CA6" w:rsidRDefault="00CA3CA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0.5494 (8)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A3CA6" w:rsidRDefault="00CA3CA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0.7072 (6)</w:t>
            </w:r>
          </w:p>
        </w:tc>
      </w:tr>
      <w:tr w:rsidR="00CA3CA6" w:rsidTr="00CA3CA6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A3CA6" w:rsidRDefault="00CA3CA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Base 1000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A3CA6" w:rsidRDefault="00CA3CA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0.5504 (8)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A3CA6" w:rsidRDefault="00CA3CA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0.7078 (6)</w:t>
            </w:r>
          </w:p>
        </w:tc>
      </w:tr>
      <w:tr w:rsidR="00CA3CA6" w:rsidTr="00CA3CA6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A3CA6" w:rsidRDefault="00CA3CA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w2v 300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A3CA6" w:rsidRDefault="00CA3CA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A3CA6" w:rsidRDefault="00CA3CA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0.7341</w:t>
            </w:r>
          </w:p>
        </w:tc>
      </w:tr>
      <w:tr w:rsidR="00CA3CA6" w:rsidTr="00CA3CA6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A3CA6" w:rsidRDefault="00CA3CA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w2v 200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A3CA6" w:rsidRDefault="00CA3CA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0.5237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A3CA6" w:rsidRDefault="00CA3CA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0.731</w:t>
            </w:r>
          </w:p>
        </w:tc>
        <w:bookmarkStart w:id="0" w:name="_GoBack"/>
        <w:bookmarkEnd w:id="0"/>
      </w:tr>
      <w:tr w:rsidR="00CA3CA6" w:rsidTr="00CA3CA6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A3CA6" w:rsidRDefault="00CA3CA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GloVe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300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A3CA6" w:rsidRDefault="00CA3CA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0.5051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A3CA6" w:rsidRDefault="00CA3CA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0.6253</w:t>
            </w:r>
          </w:p>
        </w:tc>
      </w:tr>
      <w:tr w:rsidR="00CA3CA6" w:rsidTr="00CA3CA6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A3CA6" w:rsidRDefault="00CA3CA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BWV 200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A3CA6" w:rsidRDefault="00CA3CA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0.4923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A3CA6" w:rsidRDefault="00CA3CA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0.7213</w:t>
            </w:r>
          </w:p>
        </w:tc>
      </w:tr>
    </w:tbl>
    <w:p w:rsidR="00CA3CA6" w:rsidRPr="00CA3CA6" w:rsidRDefault="00CA3CA6" w:rsidP="00682064">
      <w:pPr>
        <w:pStyle w:val="HTMLPreformatted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064" w:rsidRDefault="00682064" w:rsidP="00682064">
      <w:pPr>
        <w:jc w:val="center"/>
        <w:rPr>
          <w:b/>
          <w:color w:val="000000" w:themeColor="text1"/>
        </w:rPr>
      </w:pPr>
    </w:p>
    <w:p w:rsidR="00CA3CA6" w:rsidRPr="00CA3CA6" w:rsidRDefault="00CA3CA6" w:rsidP="00CA3CA6">
      <w:pPr>
        <w:rPr>
          <w:b/>
          <w:color w:val="000000" w:themeColor="text1"/>
        </w:rPr>
      </w:pPr>
      <w:r w:rsidRPr="00CA3CA6">
        <w:rPr>
          <w:b/>
          <w:color w:val="000000" w:themeColor="text1"/>
        </w:rPr>
        <w:t xml:space="preserve">Appendix Table 1. </w:t>
      </w:r>
      <w:r w:rsidRPr="00CA3CA6">
        <w:rPr>
          <w:color w:val="000000" w:themeColor="text1"/>
        </w:rPr>
        <w:t xml:space="preserve">Top performing (Spearman's </w:t>
      </w:r>
      <w:r w:rsidRPr="00CA3CA6">
        <w:rPr>
          <w:color w:val="000000" w:themeColor="text1"/>
        </w:rPr>
        <w:t>ρ</w:t>
      </w:r>
      <w:r w:rsidRPr="00CA3CA6">
        <w:rPr>
          <w:color w:val="000000" w:themeColor="text1"/>
        </w:rPr>
        <w:t xml:space="preserve">) distilled BERT embeddings and static embeddings from pilot study. `Pre-Trained/Base </w:t>
      </w:r>
      <w:r w:rsidRPr="00CA3CA6">
        <w:rPr>
          <w:i/>
          <w:color w:val="000000" w:themeColor="text1"/>
        </w:rPr>
        <w:t>n</w:t>
      </w:r>
      <w:r w:rsidRPr="00CA3CA6">
        <w:rPr>
          <w:color w:val="000000" w:themeColor="text1"/>
        </w:rPr>
        <w:t xml:space="preserve">' indicates embeddings extracted from </w:t>
      </w:r>
      <w:r w:rsidRPr="00CA3CA6">
        <w:rPr>
          <w:i/>
          <w:color w:val="000000" w:themeColor="text1"/>
        </w:rPr>
        <w:t>n</w:t>
      </w:r>
      <w:r w:rsidRPr="00CA3CA6">
        <w:rPr>
          <w:color w:val="000000" w:themeColor="text1"/>
        </w:rPr>
        <w:t xml:space="preserve"> examples taken from the distilled pre-trained or base model, respectively. Number in brackets indicates layer. w2v200/300 = Word2Vec 200/300 dimensional embeddings. BWV = </w:t>
      </w:r>
      <w:proofErr w:type="spellStart"/>
      <w:r w:rsidRPr="00CA3CA6">
        <w:rPr>
          <w:color w:val="000000" w:themeColor="text1"/>
        </w:rPr>
        <w:t>BioWordVec</w:t>
      </w:r>
      <w:proofErr w:type="spellEnd"/>
      <w:r w:rsidRPr="00CA3CA6">
        <w:rPr>
          <w:color w:val="000000" w:themeColor="text1"/>
        </w:rPr>
        <w:t xml:space="preserve"> 200 dimensional embeddings. Bold entries indicate best overall performance.</w:t>
      </w:r>
    </w:p>
    <w:sectPr w:rsidR="00CA3CA6" w:rsidRPr="00CA3CA6" w:rsidSect="00D37A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D27"/>
    <w:rsid w:val="000F7BD4"/>
    <w:rsid w:val="005B5A74"/>
    <w:rsid w:val="00682064"/>
    <w:rsid w:val="00A86D27"/>
    <w:rsid w:val="00CA3CA6"/>
    <w:rsid w:val="00D3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E9E7D5"/>
  <w15:chartTrackingRefBased/>
  <w15:docId w15:val="{D4D11195-19DD-6F46-A11C-12A95D436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86D27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86D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86D27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802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3AE3924-659D-AB4A-BEFE-5F1FA1F4F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793</Words>
  <Characters>4523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2022-11-19T17:19:00Z</dcterms:created>
  <dcterms:modified xsi:type="dcterms:W3CDTF">2022-11-19T17:55:00Z</dcterms:modified>
</cp:coreProperties>
</file>