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3D2CC" w14:textId="5D8D6590" w:rsidR="00644E71" w:rsidRPr="0027124E" w:rsidRDefault="00644E71" w:rsidP="00CF1C66">
      <w:pPr>
        <w:spacing w:line="276" w:lineRule="auto"/>
        <w:jc w:val="center"/>
        <w:rPr>
          <w:rFonts w:ascii="Calibri" w:eastAsia="Calibri" w:hAnsi="Calibri" w:cs="Calibri"/>
          <w:b/>
          <w:sz w:val="32"/>
          <w:szCs w:val="32"/>
        </w:rPr>
      </w:pPr>
      <w:r w:rsidRPr="0027124E">
        <w:rPr>
          <w:rFonts w:ascii="Calibri" w:eastAsia="Calibri" w:hAnsi="Calibri" w:cs="Calibri"/>
          <w:b/>
          <w:sz w:val="32"/>
          <w:szCs w:val="32"/>
        </w:rPr>
        <w:t xml:space="preserve">Supplementary </w:t>
      </w:r>
      <w:r w:rsidR="00CF1C66" w:rsidRPr="0027124E">
        <w:rPr>
          <w:rFonts w:ascii="Calibri" w:eastAsia="Calibri" w:hAnsi="Calibri" w:cs="Calibri"/>
          <w:b/>
          <w:sz w:val="32"/>
          <w:szCs w:val="32"/>
        </w:rPr>
        <w:t>I</w:t>
      </w:r>
      <w:r w:rsidRPr="0027124E">
        <w:rPr>
          <w:rFonts w:ascii="Calibri" w:eastAsia="Calibri" w:hAnsi="Calibri" w:cs="Calibri"/>
          <w:b/>
          <w:sz w:val="32"/>
          <w:szCs w:val="32"/>
        </w:rPr>
        <w:t>nformation</w:t>
      </w:r>
    </w:p>
    <w:p w14:paraId="3227E62D" w14:textId="3FB61F12" w:rsidR="00CF1C66" w:rsidRPr="0027124E" w:rsidRDefault="00CF1C66" w:rsidP="00CF1C66">
      <w:pPr>
        <w:spacing w:line="276" w:lineRule="auto"/>
        <w:jc w:val="center"/>
        <w:rPr>
          <w:rFonts w:ascii="Calibri" w:eastAsia="Calibri" w:hAnsi="Calibri" w:cs="Calibri"/>
          <w:b/>
          <w:sz w:val="32"/>
          <w:szCs w:val="32"/>
        </w:rPr>
      </w:pPr>
    </w:p>
    <w:p w14:paraId="11D3B810" w14:textId="77777777" w:rsidR="002825A7" w:rsidRPr="0027124E" w:rsidRDefault="002825A7" w:rsidP="002825A7">
      <w:pPr>
        <w:pStyle w:val="Heading3"/>
        <w:spacing w:before="0" w:line="276" w:lineRule="auto"/>
        <w:jc w:val="center"/>
        <w:rPr>
          <w:rFonts w:ascii="Calibri" w:eastAsia="Calibri" w:hAnsi="Calibri" w:cs="Calibri"/>
          <w:color w:val="222222"/>
          <w:sz w:val="32"/>
          <w:szCs w:val="32"/>
        </w:rPr>
      </w:pPr>
      <w:r w:rsidRPr="0027124E">
        <w:rPr>
          <w:rFonts w:ascii="Calibri" w:eastAsia="Calibri" w:hAnsi="Calibri" w:cs="Calibri"/>
          <w:color w:val="222222"/>
          <w:sz w:val="32"/>
          <w:szCs w:val="32"/>
        </w:rPr>
        <w:t>Uncovering hidden spin polarization of energy bands in antiferromagnets</w:t>
      </w:r>
    </w:p>
    <w:p w14:paraId="0248EA53" w14:textId="77777777" w:rsidR="002825A7" w:rsidRPr="0027124E" w:rsidRDefault="002825A7" w:rsidP="002825A7">
      <w:pPr>
        <w:pStyle w:val="Heading3"/>
        <w:spacing w:before="0" w:line="276" w:lineRule="auto"/>
        <w:jc w:val="center"/>
        <w:rPr>
          <w:rFonts w:ascii="Calibri" w:eastAsia="Calibri" w:hAnsi="Calibri" w:cs="Calibri"/>
          <w:b w:val="0"/>
          <w:bCs/>
          <w:color w:val="222222"/>
          <w:sz w:val="24"/>
          <w:szCs w:val="24"/>
        </w:rPr>
      </w:pPr>
      <w:r w:rsidRPr="0027124E">
        <w:rPr>
          <w:rFonts w:ascii="Calibri" w:eastAsia="Calibri" w:hAnsi="Calibri" w:cs="Calibri"/>
          <w:b w:val="0"/>
          <w:bCs/>
          <w:color w:val="222222"/>
          <w:sz w:val="24"/>
          <w:szCs w:val="24"/>
        </w:rPr>
        <w:t>Lin-Ding Yuan</w:t>
      </w:r>
      <w:r w:rsidRPr="0027124E">
        <w:rPr>
          <w:rFonts w:ascii="Calibri" w:eastAsia="Calibri" w:hAnsi="Calibri" w:cs="Calibri"/>
          <w:b w:val="0"/>
          <w:bCs/>
          <w:color w:val="222222"/>
          <w:sz w:val="24"/>
          <w:szCs w:val="24"/>
          <w:vertAlign w:val="superscript"/>
        </w:rPr>
        <w:t>1</w:t>
      </w:r>
      <w:r w:rsidRPr="0027124E">
        <w:rPr>
          <w:rFonts w:ascii="Calibri" w:eastAsia="Calibri" w:hAnsi="Calibri" w:cs="Calibri"/>
          <w:b w:val="0"/>
          <w:bCs/>
          <w:color w:val="222222"/>
          <w:sz w:val="24"/>
          <w:szCs w:val="24"/>
        </w:rPr>
        <w:t>, Xiuwen Zhang</w:t>
      </w:r>
      <w:r w:rsidRPr="0027124E">
        <w:rPr>
          <w:rFonts w:ascii="Calibri" w:eastAsia="Calibri" w:hAnsi="Calibri" w:cs="Calibri"/>
          <w:b w:val="0"/>
          <w:bCs/>
          <w:color w:val="222222"/>
          <w:sz w:val="24"/>
          <w:szCs w:val="24"/>
          <w:vertAlign w:val="superscript"/>
        </w:rPr>
        <w:t>1</w:t>
      </w:r>
      <w:r w:rsidRPr="0027124E">
        <w:rPr>
          <w:rFonts w:ascii="Calibri" w:eastAsia="Calibri" w:hAnsi="Calibri" w:cs="Calibri"/>
          <w:b w:val="0"/>
          <w:bCs/>
          <w:color w:val="222222"/>
          <w:sz w:val="24"/>
          <w:szCs w:val="24"/>
        </w:rPr>
        <w:t>, Carlos Mera</w:t>
      </w:r>
      <w:r w:rsidRPr="0027124E">
        <w:rPr>
          <w:rFonts w:ascii="Calibri" w:eastAsia="Calibri" w:hAnsi="Calibri" w:cs="Calibri"/>
          <w:b w:val="0"/>
          <w:bCs/>
          <w:color w:val="222222"/>
          <w:sz w:val="24"/>
          <w:szCs w:val="24"/>
          <w:vertAlign w:val="superscript"/>
        </w:rPr>
        <w:t>2</w:t>
      </w:r>
      <w:r w:rsidRPr="0027124E">
        <w:rPr>
          <w:rFonts w:ascii="Calibri" w:eastAsia="Calibri" w:hAnsi="Calibri" w:cs="Calibri"/>
          <w:b w:val="0"/>
          <w:bCs/>
          <w:color w:val="222222"/>
          <w:sz w:val="24"/>
          <w:szCs w:val="24"/>
        </w:rPr>
        <w:t>, Alex Zunger</w:t>
      </w:r>
      <w:r w:rsidRPr="0027124E">
        <w:rPr>
          <w:rFonts w:ascii="Calibri" w:eastAsia="Calibri" w:hAnsi="Calibri" w:cs="Calibri"/>
          <w:b w:val="0"/>
          <w:bCs/>
          <w:color w:val="222222"/>
          <w:sz w:val="24"/>
          <w:szCs w:val="24"/>
          <w:vertAlign w:val="superscript"/>
        </w:rPr>
        <w:t>1</w:t>
      </w:r>
    </w:p>
    <w:p w14:paraId="42522195" w14:textId="77777777" w:rsidR="002825A7" w:rsidRPr="0027124E" w:rsidRDefault="002825A7" w:rsidP="002825A7">
      <w:pPr>
        <w:spacing w:after="80" w:line="276" w:lineRule="auto"/>
        <w:jc w:val="center"/>
        <w:rPr>
          <w:sz w:val="22"/>
          <w:lang w:eastAsia="en-GB"/>
        </w:rPr>
      </w:pPr>
      <w:r w:rsidRPr="0027124E">
        <w:rPr>
          <w:sz w:val="22"/>
          <w:vertAlign w:val="superscript"/>
          <w:lang w:eastAsia="en-GB"/>
        </w:rPr>
        <w:t>1</w:t>
      </w:r>
      <w:r w:rsidRPr="0027124E">
        <w:rPr>
          <w:sz w:val="22"/>
          <w:lang w:eastAsia="en-GB"/>
        </w:rPr>
        <w:t>Renewable and Sustainable Energy Institute, University of Colorado, Boulder, Colorado 80309, USA</w:t>
      </w:r>
    </w:p>
    <w:p w14:paraId="63DF2A25" w14:textId="77777777" w:rsidR="002825A7" w:rsidRPr="0027124E" w:rsidRDefault="002825A7" w:rsidP="002825A7">
      <w:pPr>
        <w:pStyle w:val="NormalWeb"/>
        <w:spacing w:before="0" w:beforeAutospacing="0" w:after="80" w:afterAutospacing="0" w:line="276" w:lineRule="auto"/>
        <w:jc w:val="center"/>
        <w:rPr>
          <w:sz w:val="22"/>
        </w:rPr>
      </w:pPr>
      <w:r w:rsidRPr="0027124E">
        <w:rPr>
          <w:sz w:val="22"/>
          <w:vertAlign w:val="superscript"/>
        </w:rPr>
        <w:t>2</w:t>
      </w:r>
      <w:r w:rsidRPr="0027124E">
        <w:rPr>
          <w:sz w:val="22"/>
        </w:rPr>
        <w:t>Center for Natural and Human Sciences, Federal University of ABC, Santo Andre, São Paulo, Brazil</w:t>
      </w:r>
    </w:p>
    <w:p w14:paraId="48D2BD65" w14:textId="77777777" w:rsidR="00CF1C66" w:rsidRPr="0027124E" w:rsidRDefault="00CF1C66" w:rsidP="00CD2CC4">
      <w:pPr>
        <w:spacing w:line="276" w:lineRule="auto"/>
        <w:jc w:val="center"/>
        <w:rPr>
          <w:rFonts w:ascii="Palatino Linotype" w:eastAsia="Palatino Linotype" w:hAnsi="Palatino Linotype" w:cs="Palatino Linotype"/>
          <w:color w:val="000000"/>
          <w:sz w:val="32"/>
          <w:szCs w:val="32"/>
        </w:rPr>
      </w:pPr>
    </w:p>
    <w:p w14:paraId="218530AF" w14:textId="77777777" w:rsidR="00644E71" w:rsidRPr="0027124E" w:rsidRDefault="00644E71" w:rsidP="00644E71">
      <w:pPr>
        <w:spacing w:line="276" w:lineRule="auto"/>
        <w:jc w:val="both"/>
        <w:rPr>
          <w:rFonts w:ascii="Calibri" w:eastAsia="Calibri" w:hAnsi="Calibri" w:cs="Calibri"/>
        </w:rPr>
      </w:pPr>
    </w:p>
    <w:p w14:paraId="0DA95B68" w14:textId="3F67D9D3" w:rsidR="00644E71" w:rsidRPr="0027124E" w:rsidRDefault="00644E71" w:rsidP="00644E71">
      <w:pPr>
        <w:numPr>
          <w:ilvl w:val="0"/>
          <w:numId w:val="1"/>
        </w:numPr>
        <w:pBdr>
          <w:top w:val="nil"/>
          <w:left w:val="nil"/>
          <w:bottom w:val="nil"/>
          <w:right w:val="nil"/>
          <w:between w:val="nil"/>
        </w:pBdr>
        <w:spacing w:line="276" w:lineRule="auto"/>
        <w:jc w:val="both"/>
        <w:rPr>
          <w:rFonts w:ascii="Calibri" w:eastAsia="Calibri" w:hAnsi="Calibri" w:cs="Calibri"/>
          <w:b/>
          <w:color w:val="000000"/>
        </w:rPr>
      </w:pPr>
      <w:r w:rsidRPr="0027124E">
        <w:rPr>
          <w:rFonts w:ascii="Calibri" w:eastAsia="Calibri" w:hAnsi="Calibri" w:cs="Calibri"/>
          <w:b/>
          <w:color w:val="000000"/>
        </w:rPr>
        <w:t xml:space="preserve">Symmetry conditions for </w:t>
      </w:r>
      <w:r w:rsidR="00921C2F" w:rsidRPr="0027124E">
        <w:rPr>
          <w:rFonts w:ascii="Calibri" w:eastAsia="Calibri" w:hAnsi="Calibri" w:cs="Calibri"/>
          <w:b/>
          <w:color w:val="000000"/>
        </w:rPr>
        <w:t xml:space="preserve">SOC-independent </w:t>
      </w:r>
      <w:r w:rsidRPr="0027124E">
        <w:rPr>
          <w:rFonts w:ascii="Calibri" w:eastAsia="Calibri" w:hAnsi="Calibri" w:cs="Calibri"/>
          <w:b/>
          <w:color w:val="000000"/>
        </w:rPr>
        <w:t xml:space="preserve">hidden spin polarization in collinear AFM </w:t>
      </w:r>
    </w:p>
    <w:p w14:paraId="3524503E" w14:textId="2F7B17AF" w:rsidR="00644E71" w:rsidRPr="0027124E" w:rsidRDefault="00644E71" w:rsidP="00644E71">
      <w:pPr>
        <w:spacing w:line="276" w:lineRule="auto"/>
        <w:jc w:val="both"/>
        <w:rPr>
          <w:rFonts w:ascii="Palatino Linotype" w:eastAsia="Palatino Linotype" w:hAnsi="Palatino Linotype" w:cs="Palatino Linotype"/>
          <w:color w:val="222222"/>
          <w:sz w:val="22"/>
          <w:szCs w:val="22"/>
        </w:rPr>
      </w:pPr>
      <w:r w:rsidRPr="0027124E">
        <w:rPr>
          <w:rFonts w:ascii="Palatino Linotype" w:eastAsia="Palatino Linotype" w:hAnsi="Palatino Linotype" w:cs="Palatino Linotype"/>
          <w:color w:val="222222"/>
          <w:sz w:val="22"/>
          <w:szCs w:val="22"/>
        </w:rPr>
        <w:t xml:space="preserve">     The hidden spin polarization in the absence of SOC arises in AFM, when the bulk symmetry enforces spin degeneracy of the band while the sector symmetry allows spin split</w:t>
      </w:r>
      <w:r w:rsidR="00097223" w:rsidRPr="0027124E">
        <w:rPr>
          <w:rFonts w:ascii="Palatino Linotype" w:eastAsia="Palatino Linotype" w:hAnsi="Palatino Linotype" w:cs="Palatino Linotype"/>
          <w:color w:val="222222"/>
          <w:sz w:val="22"/>
          <w:szCs w:val="22"/>
        </w:rPr>
        <w:t>ting</w:t>
      </w:r>
      <w:r w:rsidRPr="0027124E">
        <w:rPr>
          <w:rFonts w:ascii="Palatino Linotype" w:eastAsia="Palatino Linotype" w:hAnsi="Palatino Linotype" w:cs="Palatino Linotype"/>
          <w:color w:val="222222"/>
          <w:sz w:val="22"/>
          <w:szCs w:val="22"/>
        </w:rPr>
        <w:t>.</w:t>
      </w:r>
    </w:p>
    <w:p w14:paraId="4D271B7C" w14:textId="30C8D085" w:rsidR="00644E71" w:rsidRPr="0027124E" w:rsidRDefault="00644E71" w:rsidP="00644E71">
      <w:pPr>
        <w:spacing w:line="276" w:lineRule="auto"/>
        <w:ind w:firstLine="220"/>
        <w:jc w:val="both"/>
        <w:rPr>
          <w:rFonts w:ascii="Palatino Linotype" w:eastAsia="Palatino Linotype" w:hAnsi="Palatino Linotype" w:cs="Palatino Linotype"/>
          <w:color w:val="222222"/>
          <w:sz w:val="22"/>
          <w:szCs w:val="22"/>
        </w:rPr>
      </w:pPr>
      <w:r w:rsidRPr="0027124E">
        <w:rPr>
          <w:rFonts w:ascii="Palatino Linotype" w:eastAsia="Palatino Linotype" w:hAnsi="Palatino Linotype" w:cs="Palatino Linotype"/>
          <w:color w:val="222222"/>
          <w:sz w:val="22"/>
          <w:szCs w:val="22"/>
        </w:rPr>
        <w:t xml:space="preserve">   </w:t>
      </w:r>
      <w:r w:rsidRPr="0027124E">
        <w:rPr>
          <w:rFonts w:ascii="Palatino Linotype" w:eastAsia="Palatino Linotype" w:hAnsi="Palatino Linotype" w:cs="Palatino Linotype"/>
          <w:b/>
          <w:color w:val="222222"/>
          <w:sz w:val="22"/>
          <w:szCs w:val="22"/>
        </w:rPr>
        <w:t>The bulk symmetry of a spin degenerate antiferromagnetic compound</w:t>
      </w:r>
      <w:r w:rsidRPr="0027124E">
        <w:rPr>
          <w:rFonts w:ascii="Palatino Linotype" w:eastAsia="Palatino Linotype" w:hAnsi="Palatino Linotype" w:cs="Palatino Linotype"/>
          <w:color w:val="222222"/>
          <w:sz w:val="22"/>
          <w:szCs w:val="22"/>
        </w:rPr>
        <w:t xml:space="preserve"> needs to preserve either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or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symmetry. Depending on the which of the two symmetries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and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are preserved spin degenerate bulk AFM can be divided into three prototypes: (1) Bulk AFM compounds that violate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but preserves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symmetry which is referred to as spin splitting prototype 1 (SST-1) bulk;  (2) Bulk AFM compounds that preserve both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and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symmetry which is referred to as SST-2 bulk; (3) Bulk AFM compounds that preserve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but violate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symmetry which is referred to as SST-3 bulk. </w:t>
      </w:r>
    </w:p>
    <w:p w14:paraId="3A56FF32" w14:textId="6A0E5AE5" w:rsidR="00644E71" w:rsidRPr="0027124E" w:rsidRDefault="00644E71" w:rsidP="00CB3164">
      <w:pPr>
        <w:spacing w:line="276" w:lineRule="auto"/>
        <w:ind w:firstLine="220"/>
        <w:jc w:val="both"/>
        <w:rPr>
          <w:rFonts w:ascii="Palatino Linotype" w:eastAsia="Palatino Linotype" w:hAnsi="Palatino Linotype" w:cs="Palatino Linotype"/>
          <w:sz w:val="22"/>
          <w:szCs w:val="22"/>
        </w:rPr>
      </w:pPr>
      <w:r w:rsidRPr="0027124E">
        <w:rPr>
          <w:rFonts w:ascii="Palatino Linotype" w:eastAsia="Palatino Linotype" w:hAnsi="Palatino Linotype" w:cs="Palatino Linotype"/>
          <w:color w:val="222222"/>
          <w:sz w:val="22"/>
          <w:szCs w:val="22"/>
        </w:rPr>
        <w:t xml:space="preserve">  </w:t>
      </w:r>
      <w:r w:rsidRPr="0027124E">
        <w:rPr>
          <w:rFonts w:ascii="Palatino Linotype" w:eastAsia="Palatino Linotype" w:hAnsi="Palatino Linotype" w:cs="Palatino Linotype"/>
          <w:b/>
          <w:color w:val="222222"/>
          <w:sz w:val="22"/>
          <w:szCs w:val="22"/>
        </w:rPr>
        <w:t>The sector symmetry of a spin split sector</w:t>
      </w:r>
      <w:r w:rsidRPr="0027124E">
        <w:rPr>
          <w:rFonts w:ascii="Palatino Linotype" w:eastAsia="Palatino Linotype" w:hAnsi="Palatino Linotype" w:cs="Palatino Linotype"/>
          <w:color w:val="222222"/>
          <w:sz w:val="22"/>
          <w:szCs w:val="22"/>
        </w:rPr>
        <w:t xml:space="preserve"> needs to violate both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and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symmetry. Depending on the magnetic type of the constitute sector of the bulk AFM the spin split sector can be either (4) AFM sector that violate both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and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symmetry which is referred to as SST-4 sector; or (5) FM (also include Ferrimagnets (FiM)) sector that violate both </w:t>
      </w:r>
      <m:oMath>
        <m:r>
          <w:rPr>
            <w:rFonts w:ascii="Cambria Math" w:eastAsia="Cambria Math" w:hAnsi="Cambria Math" w:cs="Cambria Math"/>
            <w:color w:val="222222"/>
            <w:sz w:val="22"/>
            <w:szCs w:val="22"/>
          </w:rPr>
          <m:t>UT</m:t>
        </m:r>
      </m:oMath>
      <w:r w:rsidRPr="0027124E">
        <w:rPr>
          <w:rFonts w:ascii="Palatino Linotype" w:eastAsia="Palatino Linotype" w:hAnsi="Palatino Linotype" w:cs="Palatino Linotype"/>
          <w:color w:val="222222"/>
          <w:sz w:val="22"/>
          <w:szCs w:val="22"/>
        </w:rPr>
        <w:t xml:space="preserve"> and </w:t>
      </w:r>
      <m:oMath>
        <m:r>
          <w:rPr>
            <w:rFonts w:ascii="Cambria Math" w:eastAsia="Cambria Math" w:hAnsi="Cambria Math" w:cs="Cambria Math"/>
            <w:color w:val="222222"/>
            <w:sz w:val="22"/>
            <w:szCs w:val="22"/>
          </w:rPr>
          <m:t>ΘIT</m:t>
        </m:r>
      </m:oMath>
      <w:r w:rsidRPr="0027124E">
        <w:rPr>
          <w:rFonts w:ascii="Palatino Linotype" w:eastAsia="Palatino Linotype" w:hAnsi="Palatino Linotype" w:cs="Palatino Linotype"/>
          <w:color w:val="222222"/>
          <w:sz w:val="22"/>
          <w:szCs w:val="22"/>
        </w:rPr>
        <w:t xml:space="preserve"> symmetry which is referred to as SST-5 sector. The two spin split sector prototypes correspond to the two SOC-independent mechanisms for spin splitting, that is </w:t>
      </w:r>
      <w:r w:rsidRPr="0027124E">
        <w:rPr>
          <w:rFonts w:ascii="Palatino Linotype" w:eastAsia="Palatino Linotype" w:hAnsi="Palatino Linotype" w:cs="Palatino Linotype"/>
          <w:sz w:val="22"/>
          <w:szCs w:val="22"/>
        </w:rPr>
        <w:t>(</w:t>
      </w:r>
      <w:r w:rsidR="00CB3164" w:rsidRPr="0027124E">
        <w:rPr>
          <w:rFonts w:ascii="Palatino Linotype" w:eastAsia="Palatino Linotype" w:hAnsi="Palatino Linotype" w:cs="Palatino Linotype"/>
          <w:sz w:val="22"/>
          <w:szCs w:val="22"/>
        </w:rPr>
        <w:t>a</w:t>
      </w:r>
      <w:r w:rsidRPr="0027124E">
        <w:rPr>
          <w:rFonts w:ascii="Palatino Linotype" w:eastAsia="Palatino Linotype" w:hAnsi="Palatino Linotype" w:cs="Palatino Linotype"/>
          <w:sz w:val="22"/>
          <w:szCs w:val="22"/>
        </w:rPr>
        <w:t>) magnetic mechanism that create spin splitting even in the absence of SOC in antiferromagnetic compounds</w:t>
      </w:r>
      <w:r w:rsidR="00CB3164" w:rsidRPr="0027124E">
        <w:rPr>
          <w:rFonts w:ascii="Palatino Linotype" w:eastAsia="Palatino Linotype" w:hAnsi="Palatino Linotype" w:cs="Palatino Linotype"/>
          <w:sz w:val="22"/>
          <w:szCs w:val="22"/>
        </w:rPr>
        <w:t xml:space="preserve">; and </w:t>
      </w:r>
      <w:r w:rsidR="00CB3164" w:rsidRPr="0027124E">
        <w:rPr>
          <w:rFonts w:ascii="Palatino Linotype" w:eastAsia="Palatino Linotype" w:hAnsi="Palatino Linotype" w:cs="Palatino Linotype"/>
          <w:color w:val="222222"/>
          <w:sz w:val="22"/>
          <w:szCs w:val="22"/>
        </w:rPr>
        <w:t xml:space="preserve">(b) </w:t>
      </w:r>
      <w:r w:rsidR="00CB3164" w:rsidRPr="0027124E">
        <w:rPr>
          <w:rFonts w:ascii="Palatino Linotype" w:eastAsia="Palatino Linotype" w:hAnsi="Palatino Linotype" w:cs="Palatino Linotype"/>
          <w:sz w:val="22"/>
          <w:szCs w:val="22"/>
        </w:rPr>
        <w:t>Zeeman mechanism of the FM sector with non-zero intrinsic magnetic moment.</w:t>
      </w:r>
    </w:p>
    <w:p w14:paraId="3688E62D" w14:textId="77777777" w:rsidR="00644E71" w:rsidRPr="0027124E" w:rsidRDefault="00644E71" w:rsidP="00644E71">
      <w:pPr>
        <w:spacing w:line="276" w:lineRule="auto"/>
        <w:jc w:val="both"/>
        <w:rPr>
          <w:rFonts w:ascii="Calibri" w:eastAsia="Calibri" w:hAnsi="Calibri" w:cs="Calibri"/>
          <w:b/>
        </w:rPr>
      </w:pPr>
    </w:p>
    <w:p w14:paraId="3CF30AFD" w14:textId="6F8AE093" w:rsidR="00644E71" w:rsidRPr="0027124E" w:rsidRDefault="00644E71" w:rsidP="00644E71">
      <w:pPr>
        <w:numPr>
          <w:ilvl w:val="0"/>
          <w:numId w:val="1"/>
        </w:numPr>
        <w:pBdr>
          <w:top w:val="nil"/>
          <w:left w:val="nil"/>
          <w:bottom w:val="nil"/>
          <w:right w:val="nil"/>
          <w:between w:val="nil"/>
        </w:pBdr>
        <w:spacing w:line="276" w:lineRule="auto"/>
        <w:jc w:val="both"/>
        <w:rPr>
          <w:rFonts w:ascii="Calibri" w:eastAsia="Calibri" w:hAnsi="Calibri" w:cs="Calibri"/>
          <w:b/>
          <w:color w:val="000000"/>
        </w:rPr>
      </w:pPr>
      <w:r w:rsidRPr="0027124E">
        <w:rPr>
          <w:rFonts w:ascii="Calibri" w:eastAsia="Calibri" w:hAnsi="Calibri" w:cs="Calibri"/>
          <w:b/>
          <w:color w:val="000000"/>
        </w:rPr>
        <w:t xml:space="preserve">Additional examples </w:t>
      </w:r>
      <w:r w:rsidR="00A3690E" w:rsidRPr="0027124E">
        <w:rPr>
          <w:rFonts w:ascii="Calibri" w:eastAsia="Calibri" w:hAnsi="Calibri" w:cs="Calibri"/>
          <w:b/>
          <w:color w:val="000000"/>
        </w:rPr>
        <w:t xml:space="preserve">of </w:t>
      </w:r>
      <w:r w:rsidR="00921C2F" w:rsidRPr="0027124E">
        <w:rPr>
          <w:rFonts w:ascii="Calibri" w:eastAsia="Calibri" w:hAnsi="Calibri" w:cs="Calibri"/>
          <w:b/>
          <w:color w:val="000000"/>
        </w:rPr>
        <w:t xml:space="preserve">SOC-independent </w:t>
      </w:r>
      <w:r w:rsidR="00A3690E" w:rsidRPr="0027124E">
        <w:rPr>
          <w:rFonts w:ascii="Calibri" w:eastAsia="Calibri" w:hAnsi="Calibri" w:cs="Calibri"/>
          <w:b/>
          <w:color w:val="000000"/>
        </w:rPr>
        <w:t xml:space="preserve">hidden spin polarization in collinear antiferromagnets </w:t>
      </w:r>
      <w:r w:rsidRPr="0027124E">
        <w:rPr>
          <w:rFonts w:ascii="Calibri" w:eastAsia="Calibri" w:hAnsi="Calibri" w:cs="Calibri"/>
          <w:b/>
          <w:color w:val="000000"/>
        </w:rPr>
        <w:t>with DFT results</w:t>
      </w:r>
    </w:p>
    <w:p w14:paraId="52F9600E" w14:textId="2E636E25" w:rsidR="00644E71" w:rsidRPr="0027124E" w:rsidRDefault="00644E71" w:rsidP="00644E71">
      <w:pPr>
        <w:spacing w:line="276" w:lineRule="auto"/>
        <w:ind w:firstLine="240"/>
        <w:jc w:val="both"/>
        <w:rPr>
          <w:rFonts w:ascii="Palatino Linotype" w:eastAsia="Palatino Linotype" w:hAnsi="Palatino Linotype" w:cs="Palatino Linotype"/>
          <w:color w:val="000000"/>
          <w:sz w:val="22"/>
          <w:szCs w:val="22"/>
        </w:rPr>
      </w:pPr>
      <w:r w:rsidRPr="0027124E">
        <w:rPr>
          <w:rFonts w:ascii="Palatino Linotype" w:eastAsia="Palatino Linotype" w:hAnsi="Palatino Linotype" w:cs="Palatino Linotype"/>
          <w:color w:val="000000"/>
          <w:sz w:val="22"/>
          <w:szCs w:val="22"/>
        </w:rPr>
        <w:t xml:space="preserve">Figure </w:t>
      </w:r>
      <w:r w:rsidR="00B3717F" w:rsidRPr="0027124E">
        <w:rPr>
          <w:rFonts w:ascii="Palatino Linotype" w:eastAsia="Palatino Linotype" w:hAnsi="Palatino Linotype" w:cs="Palatino Linotype"/>
          <w:color w:val="000000"/>
          <w:sz w:val="22"/>
          <w:szCs w:val="22"/>
        </w:rPr>
        <w:t>S1</w:t>
      </w:r>
      <w:r w:rsidRPr="0027124E">
        <w:rPr>
          <w:rFonts w:ascii="Palatino Linotype" w:eastAsia="Palatino Linotype" w:hAnsi="Palatino Linotype" w:cs="Palatino Linotype"/>
          <w:color w:val="000000"/>
          <w:sz w:val="22"/>
          <w:szCs w:val="22"/>
        </w:rPr>
        <w:t xml:space="preserve"> illustrates the “hidden spin polarization” effect in hexagonal CoBr</w:t>
      </w:r>
      <w:r w:rsidRPr="0027124E">
        <w:rPr>
          <w:rFonts w:ascii="Palatino Linotype" w:eastAsia="Palatino Linotype" w:hAnsi="Palatino Linotype" w:cs="Palatino Linotype"/>
          <w:color w:val="000000"/>
          <w:sz w:val="22"/>
          <w:szCs w:val="22"/>
          <w:vertAlign w:val="subscript"/>
        </w:rPr>
        <w:t xml:space="preserve">2 </w:t>
      </w:r>
      <w:r w:rsidRPr="0027124E">
        <w:rPr>
          <w:rFonts w:ascii="Palatino Linotype" w:eastAsia="Palatino Linotype" w:hAnsi="Palatino Linotype" w:cs="Palatino Linotype"/>
          <w:color w:val="222222"/>
          <w:sz w:val="22"/>
          <w:szCs w:val="22"/>
        </w:rPr>
        <w:fldChar w:fldCharType="begin"/>
      </w:r>
      <w:r w:rsidR="00457825" w:rsidRPr="0027124E">
        <w:rPr>
          <w:rFonts w:ascii="Palatino Linotype" w:eastAsia="Palatino Linotype" w:hAnsi="Palatino Linotype" w:cs="Palatino Linotype"/>
          <w:color w:val="222222"/>
          <w:sz w:val="22"/>
          <w:szCs w:val="22"/>
        </w:rPr>
        <w:instrText xml:space="preserve"> ADDIN EN.CITE &lt;EndNote&gt;&lt;Cite&gt;&lt;Author&gt;Wilkinson&lt;/Author&gt;&lt;Year&gt;1959&lt;/Year&gt;&lt;RecNum&gt;917&lt;/RecNum&gt;&lt;DisplayText&gt;&lt;style face="superscript"&gt;1&lt;/style&gt;&lt;/DisplayText&gt;&lt;record&gt;&lt;rec-number&gt;917&lt;/rec-number&gt;&lt;foreign-keys&gt;&lt;key app="EN" db-id="5ww02vf0zz0s5uez9dop52zwwsd2tssxwsvr" timestamp="1654021231"&gt;917&lt;/key&gt;&lt;/foreign-keys&gt;&lt;ref-type name="Journal Article"&gt;17&lt;/ref-type&gt;&lt;contributors&gt;&lt;authors&gt;&lt;author&gt;Wilkinson, M. K.&lt;/author&gt;&lt;author&gt;Cable, J. W.&lt;/author&gt;&lt;author&gt;Wollan, E. O.&lt;/author&gt;&lt;author&gt;Koehler, W. C.&lt;/author&gt;&lt;/authors&gt;&lt;/contributors&gt;&lt;titles&gt;&lt;title&gt;Neutron Diffraction Investigations of the Magnetic Ordering in FeBr2, CoBr2, FeCl2, and CoCl2&lt;/title&gt;&lt;secondary-title&gt;Physical Review&lt;/secondary-title&gt;&lt;/titles&gt;&lt;periodical&gt;&lt;full-title&gt;Physical Review&lt;/full-title&gt;&lt;/periodical&gt;&lt;pages&gt;497-507&lt;/pages&gt;&lt;volume&gt;113&lt;/volume&gt;&lt;number&gt;2&lt;/number&gt;&lt;dates&gt;&lt;year&gt;1959&lt;/year&gt;&lt;pub-dates&gt;&lt;date&gt;01/15/&lt;/date&gt;&lt;/pub-dates&gt;&lt;/dates&gt;&lt;publisher&gt;American Physical Society&lt;/publisher&gt;&lt;urls&gt;&lt;related-urls&gt;&lt;url&gt;https://link.aps.org/doi/10.1103/PhysRev.113.497&lt;/url&gt;&lt;/related-urls&gt;&lt;/urls&gt;&lt;electronic-resource-num&gt;10.1103/PhysRev.113.497&lt;/electronic-resource-num&gt;&lt;/record&gt;&lt;/Cite&gt;&lt;/EndNote&gt;</w:instrText>
      </w:r>
      <w:r w:rsidRPr="0027124E">
        <w:rPr>
          <w:rFonts w:ascii="Palatino Linotype" w:eastAsia="Palatino Linotype" w:hAnsi="Palatino Linotype" w:cs="Palatino Linotype"/>
          <w:color w:val="222222"/>
          <w:sz w:val="22"/>
          <w:szCs w:val="22"/>
        </w:rPr>
        <w:fldChar w:fldCharType="separate"/>
      </w:r>
      <w:r w:rsidR="00457825" w:rsidRPr="0027124E">
        <w:rPr>
          <w:rFonts w:ascii="Palatino Linotype" w:eastAsia="Palatino Linotype" w:hAnsi="Palatino Linotype" w:cs="Palatino Linotype"/>
          <w:noProof/>
          <w:color w:val="222222"/>
          <w:sz w:val="22"/>
          <w:szCs w:val="22"/>
          <w:vertAlign w:val="superscript"/>
        </w:rPr>
        <w:t>1</w:t>
      </w:r>
      <w:r w:rsidRPr="0027124E">
        <w:rPr>
          <w:rFonts w:ascii="Palatino Linotype" w:eastAsia="Palatino Linotype" w:hAnsi="Palatino Linotype" w:cs="Palatino Linotype"/>
          <w:color w:val="222222"/>
          <w:sz w:val="22"/>
          <w:szCs w:val="22"/>
        </w:rPr>
        <w:fldChar w:fldCharType="end"/>
      </w:r>
      <w:r w:rsidRPr="0027124E">
        <w:rPr>
          <w:rFonts w:ascii="Palatino Linotype" w:eastAsia="Palatino Linotype" w:hAnsi="Palatino Linotype" w:cs="Palatino Linotype"/>
          <w:sz w:val="22"/>
          <w:szCs w:val="22"/>
        </w:rPr>
        <w:t xml:space="preserve"> </w:t>
      </w:r>
      <w:r w:rsidRPr="0027124E">
        <w:rPr>
          <w:rFonts w:ascii="Palatino Linotype" w:eastAsia="Palatino Linotype" w:hAnsi="Palatino Linotype" w:cs="Palatino Linotype"/>
          <w:color w:val="000000"/>
          <w:sz w:val="22"/>
          <w:szCs w:val="22"/>
        </w:rPr>
        <w:t>being bulk SST-2 class (MSG C</w:t>
      </w:r>
      <w:r w:rsidRPr="0027124E">
        <w:rPr>
          <w:rFonts w:ascii="Palatino Linotype" w:eastAsia="Palatino Linotype" w:hAnsi="Palatino Linotype" w:cs="Palatino Linotype"/>
          <w:color w:val="000000"/>
          <w:sz w:val="22"/>
          <w:szCs w:val="22"/>
          <w:vertAlign w:val="subscript"/>
        </w:rPr>
        <w:t>C</w:t>
      </w:r>
      <w:r w:rsidRPr="0027124E">
        <w:rPr>
          <w:rFonts w:ascii="Palatino Linotype" w:eastAsia="Palatino Linotype" w:hAnsi="Palatino Linotype" w:cs="Palatino Linotype"/>
          <w:color w:val="000000"/>
          <w:sz w:val="22"/>
          <w:szCs w:val="22"/>
        </w:rPr>
        <w:t>2/c) but made of SST-5 class FM CoBr2 layers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in Fig. </w:t>
      </w:r>
      <w:r w:rsidR="00B3717F" w:rsidRPr="0027124E">
        <w:rPr>
          <w:rFonts w:ascii="Palatino Linotype" w:eastAsia="Palatino Linotype" w:hAnsi="Palatino Linotype" w:cs="Palatino Linotype"/>
          <w:color w:val="000000"/>
          <w:sz w:val="22"/>
          <w:szCs w:val="22"/>
        </w:rPr>
        <w:t>S1</w:t>
      </w:r>
      <w:r w:rsidRPr="0027124E">
        <w:rPr>
          <w:rFonts w:ascii="Palatino Linotype" w:eastAsia="Palatino Linotype" w:hAnsi="Palatino Linotype" w:cs="Palatino Linotype"/>
          <w:color w:val="000000"/>
          <w:sz w:val="22"/>
          <w:szCs w:val="22"/>
        </w:rPr>
        <w:t xml:space="preserve">a). The crystal is antiferromagnetically ordered with its magnetic moments collinearly </w:t>
      </w:r>
      <w:r w:rsidRPr="0027124E">
        <w:rPr>
          <w:rFonts w:ascii="Palatino Linotype" w:eastAsia="Palatino Linotype" w:hAnsi="Palatino Linotype" w:cs="Palatino Linotype"/>
          <w:sz w:val="22"/>
          <w:szCs w:val="22"/>
        </w:rPr>
        <w:t>aligned</w:t>
      </w:r>
      <w:r w:rsidRPr="0027124E">
        <w:rPr>
          <w:rFonts w:ascii="Palatino Linotype" w:eastAsia="Palatino Linotype" w:hAnsi="Palatino Linotype" w:cs="Palatino Linotype"/>
          <w:color w:val="000000"/>
          <w:sz w:val="22"/>
          <w:szCs w:val="22"/>
        </w:rPr>
        <w:t xml:space="preserve"> in (001) direction. The two FeBr</w:t>
      </w:r>
      <w:r w:rsidRPr="0027124E">
        <w:rPr>
          <w:rFonts w:ascii="Palatino Linotype" w:eastAsia="Palatino Linotype" w:hAnsi="Palatino Linotype" w:cs="Palatino Linotype"/>
          <w:color w:val="000000"/>
          <w:sz w:val="22"/>
          <w:szCs w:val="22"/>
          <w:vertAlign w:val="subscript"/>
        </w:rPr>
        <w:t>2</w:t>
      </w:r>
      <w:r w:rsidRPr="0027124E">
        <w:rPr>
          <w:rFonts w:ascii="Palatino Linotype" w:eastAsia="Palatino Linotype" w:hAnsi="Palatino Linotype" w:cs="Palatino Linotype"/>
          <w:color w:val="000000"/>
          <w:sz w:val="22"/>
          <w:szCs w:val="22"/>
        </w:rPr>
        <w:t xml:space="preserve"> layers are connected by both the </w:t>
      </w:r>
      <m:oMath>
        <m:r>
          <w:rPr>
            <w:rFonts w:ascii="Cambria Math" w:hAnsi="Cambria Math"/>
          </w:rPr>
          <m:t>Θ</m:t>
        </m:r>
        <m:r>
          <w:rPr>
            <w:rFonts w:ascii="Cambria Math" w:eastAsia="Cambria Math" w:hAnsi="Cambria Math" w:cs="Cambria Math"/>
            <w:color w:val="000000"/>
            <w:sz w:val="22"/>
            <w:szCs w:val="22"/>
          </w:rPr>
          <m:t>IT</m:t>
        </m:r>
      </m:oMath>
      <w:r w:rsidRPr="0027124E">
        <w:rPr>
          <w:rFonts w:ascii="Palatino Linotype" w:eastAsia="Palatino Linotype" w:hAnsi="Palatino Linotype" w:cs="Palatino Linotype"/>
          <w:color w:val="000000"/>
          <w:sz w:val="22"/>
          <w:szCs w:val="22"/>
        </w:rPr>
        <w:t xml:space="preserve"> and the </w:t>
      </w:r>
      <m:oMath>
        <m:r>
          <w:rPr>
            <w:rFonts w:ascii="Cambria Math" w:eastAsia="Cambria Math" w:hAnsi="Cambria Math" w:cs="Cambria Math"/>
            <w:color w:val="000000"/>
            <w:sz w:val="22"/>
            <w:szCs w:val="22"/>
          </w:rPr>
          <m:t>UT</m:t>
        </m:r>
      </m:oMath>
      <w:r w:rsidRPr="0027124E">
        <w:rPr>
          <w:rFonts w:ascii="Palatino Linotype" w:eastAsia="Palatino Linotype" w:hAnsi="Palatino Linotype" w:cs="Palatino Linotype"/>
          <w:color w:val="000000"/>
          <w:sz w:val="22"/>
          <w:szCs w:val="22"/>
        </w:rPr>
        <w:t xml:space="preserve"> symmetry which restores the spin degeneracy of the bulk and results in a compensated net spin polarization (Fig. </w:t>
      </w:r>
      <w:r w:rsidR="00B3717F" w:rsidRPr="0027124E">
        <w:rPr>
          <w:rFonts w:ascii="Palatino Linotype" w:eastAsia="Palatino Linotype" w:hAnsi="Palatino Linotype" w:cs="Palatino Linotype"/>
          <w:color w:val="000000"/>
          <w:sz w:val="22"/>
          <w:szCs w:val="22"/>
        </w:rPr>
        <w:lastRenderedPageBreak/>
        <w:t>S1</w:t>
      </w:r>
      <w:r w:rsidRPr="0027124E">
        <w:rPr>
          <w:rFonts w:ascii="Palatino Linotype" w:eastAsia="Palatino Linotype" w:hAnsi="Palatino Linotype" w:cs="Palatino Linotype"/>
          <w:color w:val="000000"/>
          <w:sz w:val="22"/>
          <w:szCs w:val="22"/>
        </w:rPr>
        <w:t>b). However, the corresponding spin polarization for the bottom two conduction bands (C1</w:t>
      </w:r>
      <w:r w:rsidR="00CB26FB" w:rsidRPr="0027124E">
        <w:rPr>
          <w:rFonts w:ascii="Palatino Linotype" w:eastAsia="Palatino Linotype" w:hAnsi="Palatino Linotype" w:cs="Palatino Linotype"/>
          <w:color w:val="000000"/>
          <w:sz w:val="22"/>
          <w:szCs w:val="22"/>
        </w:rPr>
        <w:t xml:space="preserve"> and </w:t>
      </w:r>
      <w:r w:rsidRPr="0027124E">
        <w:rPr>
          <w:rFonts w:ascii="Palatino Linotype" w:eastAsia="Palatino Linotype" w:hAnsi="Palatino Linotype" w:cs="Palatino Linotype"/>
          <w:color w:val="000000"/>
          <w:sz w:val="22"/>
          <w:szCs w:val="22"/>
        </w:rPr>
        <w:t xml:space="preserve">C2) projected onto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(hidden spin polarization), shown in Fig. </w:t>
      </w:r>
      <w:r w:rsidR="00B3717F" w:rsidRPr="0027124E">
        <w:rPr>
          <w:rFonts w:ascii="Palatino Linotype" w:eastAsia="Palatino Linotype" w:hAnsi="Palatino Linotype" w:cs="Palatino Linotype"/>
          <w:color w:val="000000"/>
          <w:sz w:val="22"/>
          <w:szCs w:val="22"/>
        </w:rPr>
        <w:t>S1</w:t>
      </w:r>
      <w:r w:rsidRPr="0027124E">
        <w:rPr>
          <w:rFonts w:ascii="Palatino Linotype" w:eastAsia="Palatino Linotype" w:hAnsi="Palatino Linotype" w:cs="Palatino Linotype"/>
          <w:color w:val="000000"/>
          <w:sz w:val="22"/>
          <w:szCs w:val="22"/>
        </w:rPr>
        <w:t>c, are non-zero and compensate</w:t>
      </w:r>
      <w:r w:rsidRPr="0027124E">
        <w:rPr>
          <w:rFonts w:ascii="Palatino Linotype" w:eastAsia="Palatino Linotype" w:hAnsi="Palatino Linotype" w:cs="Palatino Linotype"/>
          <w:sz w:val="22"/>
          <w:szCs w:val="22"/>
        </w:rPr>
        <w:t xml:space="preserve"> each</w:t>
      </w:r>
      <w:r w:rsidRPr="0027124E">
        <w:rPr>
          <w:rFonts w:ascii="Palatino Linotype" w:eastAsia="Palatino Linotype" w:hAnsi="Palatino Linotype" w:cs="Palatino Linotype"/>
          <w:color w:val="000000"/>
          <w:sz w:val="22"/>
          <w:szCs w:val="22"/>
        </w:rPr>
        <w:t xml:space="preserve"> other.</w:t>
      </w:r>
    </w:p>
    <w:p w14:paraId="43E6D240" w14:textId="77777777" w:rsidR="00644E71" w:rsidRPr="0027124E" w:rsidRDefault="00644E71" w:rsidP="00644E71">
      <w:pPr>
        <w:spacing w:line="276" w:lineRule="auto"/>
        <w:jc w:val="both"/>
        <w:rPr>
          <w:rFonts w:ascii="Calibri" w:eastAsia="Calibri" w:hAnsi="Calibri" w:cs="Calibri"/>
        </w:rPr>
      </w:pPr>
    </w:p>
    <w:p w14:paraId="091CC0F0" w14:textId="625776F8" w:rsidR="00644E71" w:rsidRPr="0027124E" w:rsidRDefault="00B51316" w:rsidP="00644E71">
      <w:pPr>
        <w:spacing w:line="276" w:lineRule="auto"/>
        <w:jc w:val="both"/>
        <w:rPr>
          <w:rFonts w:ascii="Calibri" w:eastAsia="Calibri" w:hAnsi="Calibri" w:cs="Calibri"/>
        </w:rPr>
      </w:pPr>
      <w:r w:rsidRPr="0027124E">
        <w:rPr>
          <w:rFonts w:ascii="Calibri" w:eastAsia="Calibri" w:hAnsi="Calibri" w:cs="Calibri"/>
          <w:noProof/>
        </w:rPr>
        <w:drawing>
          <wp:inline distT="0" distB="0" distL="0" distR="0" wp14:anchorId="507BE348" wp14:editId="420E109C">
            <wp:extent cx="5943600" cy="1978660"/>
            <wp:effectExtent l="0" t="0" r="0" b="2540"/>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1978660"/>
                    </a:xfrm>
                    <a:prstGeom prst="rect">
                      <a:avLst/>
                    </a:prstGeom>
                  </pic:spPr>
                </pic:pic>
              </a:graphicData>
            </a:graphic>
          </wp:inline>
        </w:drawing>
      </w:r>
    </w:p>
    <w:p w14:paraId="2F2268F1" w14:textId="1CD3EE8E" w:rsidR="00644E71" w:rsidRPr="0027124E" w:rsidRDefault="00644E71" w:rsidP="00644E71">
      <w:pPr>
        <w:spacing w:line="276" w:lineRule="auto"/>
        <w:jc w:val="both"/>
        <w:rPr>
          <w:rFonts w:ascii="Calibri" w:eastAsia="Calibri" w:hAnsi="Calibri" w:cs="Calibri"/>
        </w:rPr>
      </w:pPr>
      <w:r w:rsidRPr="0027124E">
        <w:rPr>
          <w:rFonts w:ascii="Palatino Linotype" w:eastAsia="Palatino Linotype" w:hAnsi="Palatino Linotype" w:cs="Palatino Linotype"/>
          <w:b/>
          <w:sz w:val="20"/>
          <w:szCs w:val="20"/>
        </w:rPr>
        <w:t xml:space="preserve">Figure </w:t>
      </w:r>
      <w:r w:rsidR="00B3717F" w:rsidRPr="0027124E">
        <w:rPr>
          <w:rFonts w:ascii="Palatino Linotype" w:eastAsia="Palatino Linotype" w:hAnsi="Palatino Linotype" w:cs="Palatino Linotype"/>
          <w:b/>
          <w:sz w:val="20"/>
          <w:szCs w:val="20"/>
        </w:rPr>
        <w:t>S1</w:t>
      </w:r>
      <w:r w:rsidRPr="0027124E">
        <w:rPr>
          <w:rFonts w:ascii="Palatino Linotype" w:eastAsia="Palatino Linotype" w:hAnsi="Palatino Linotype" w:cs="Palatino Linotype"/>
          <w:b/>
          <w:sz w:val="20"/>
          <w:szCs w:val="20"/>
        </w:rPr>
        <w:t>: Hidden spin polarization from individual ferromagnetic sectors in bulk hexagonal CoBr</w:t>
      </w:r>
      <w:r w:rsidRPr="0027124E">
        <w:rPr>
          <w:rFonts w:ascii="Palatino Linotype" w:eastAsia="Palatino Linotype" w:hAnsi="Palatino Linotype" w:cs="Palatino Linotype"/>
          <w:b/>
          <w:sz w:val="20"/>
          <w:szCs w:val="20"/>
          <w:vertAlign w:val="subscript"/>
        </w:rPr>
        <w:t>2</w:t>
      </w:r>
      <w:r w:rsidRPr="0027124E">
        <w:rPr>
          <w:rFonts w:ascii="Palatino Linotype" w:eastAsia="Palatino Linotype" w:hAnsi="Palatino Linotype" w:cs="Palatino Linotype"/>
          <w:b/>
          <w:sz w:val="20"/>
          <w:szCs w:val="20"/>
        </w:rPr>
        <w:t xml:space="preserve"> (bulk belonging to SST-2 class with sector belonging to SST-5 class). </w:t>
      </w:r>
      <w:r w:rsidRPr="0027124E">
        <w:rPr>
          <w:rFonts w:ascii="Palatino Linotype" w:eastAsia="Palatino Linotype" w:hAnsi="Palatino Linotype" w:cs="Palatino Linotype"/>
          <w:b/>
          <w:bCs/>
          <w:sz w:val="20"/>
          <w:szCs w:val="20"/>
        </w:rPr>
        <w:t>a</w:t>
      </w:r>
      <w:r w:rsidRPr="0027124E">
        <w:rPr>
          <w:rFonts w:ascii="Palatino Linotype" w:eastAsia="Palatino Linotype" w:hAnsi="Palatino Linotype" w:cs="Palatino Linotype"/>
          <w:sz w:val="20"/>
          <w:szCs w:val="20"/>
        </w:rPr>
        <w:t xml:space="preserve"> crystal structure of antiferromagnetic CoBr</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 xml:space="preserve"> composed of two ferromagnetic layers with opposite magnetization (indicated by red and blue polynomials) in the unit cell. The two layers are referred as sector-</w:t>
      </w:r>
      <m:oMath>
        <m:r>
          <w:rPr>
            <w:rFonts w:ascii="Cambria Math" w:hAnsi="Cambria Math"/>
          </w:rPr>
          <m:t>α</m:t>
        </m:r>
      </m:oMath>
      <w:r w:rsidRPr="0027124E">
        <w:rPr>
          <w:rFonts w:ascii="Palatino Linotype" w:eastAsia="Palatino Linotype" w:hAnsi="Palatino Linotype" w:cs="Palatino Linotype"/>
          <w:sz w:val="20"/>
          <w:szCs w:val="20"/>
        </w:rPr>
        <w:t xml:space="preserve"> and sector-</w:t>
      </w:r>
      <m:oMath>
        <m:r>
          <w:rPr>
            <w:rFonts w:ascii="Cambria Math" w:hAnsi="Cambria Math"/>
          </w:rPr>
          <m:t>β</m:t>
        </m:r>
      </m:oMath>
      <w:r w:rsidRPr="0027124E">
        <w:rPr>
          <w:rFonts w:ascii="Palatino Linotype" w:eastAsia="Palatino Linotype" w:hAnsi="Palatino Linotype" w:cs="Palatino Linotype"/>
          <w:sz w:val="20"/>
          <w:szCs w:val="20"/>
        </w:rPr>
        <w:t xml:space="preserve">, respectively; </w:t>
      </w:r>
      <w:r w:rsidRPr="0027124E">
        <w:rPr>
          <w:rFonts w:ascii="Palatino Linotype" w:eastAsia="Palatino Linotype" w:hAnsi="Palatino Linotype" w:cs="Palatino Linotype"/>
          <w:b/>
          <w:bCs/>
          <w:sz w:val="20"/>
          <w:szCs w:val="20"/>
        </w:rPr>
        <w:t>b</w:t>
      </w:r>
      <w:r w:rsidRPr="0027124E">
        <w:rPr>
          <w:rFonts w:ascii="Palatino Linotype" w:eastAsia="Palatino Linotype" w:hAnsi="Palatino Linotype" w:cs="Palatino Linotype"/>
          <w:sz w:val="20"/>
          <w:szCs w:val="20"/>
        </w:rPr>
        <w:t xml:space="preserve"> spin degenerate bands of CoBr</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 xml:space="preserve">; </w:t>
      </w:r>
      <w:r w:rsidRPr="0027124E">
        <w:rPr>
          <w:rFonts w:ascii="Palatino Linotype" w:eastAsia="Palatino Linotype" w:hAnsi="Palatino Linotype" w:cs="Palatino Linotype"/>
          <w:b/>
          <w:bCs/>
          <w:sz w:val="20"/>
          <w:szCs w:val="20"/>
        </w:rPr>
        <w:t>c</w:t>
      </w:r>
      <w:r w:rsidRPr="0027124E">
        <w:rPr>
          <w:rFonts w:ascii="Palatino Linotype" w:eastAsia="Palatino Linotype" w:hAnsi="Palatino Linotype" w:cs="Palatino Linotype"/>
          <w:sz w:val="20"/>
          <w:szCs w:val="20"/>
        </w:rPr>
        <w:t xml:space="preserve"> Hidden spin polarization from each individual sector of the lowest two conduction bands (C1 and C2) on </w:t>
      </w:r>
      <m:oMath>
        <m:r>
          <m:rPr>
            <m:sty m:val="p"/>
          </m:rPr>
          <w:rPr>
            <w:rFonts w:ascii="Cambria Math" w:eastAsia="Palatino Linotype" w:hAnsi="Cambria Math" w:cs="Palatino Linotype"/>
            <w:sz w:val="20"/>
            <w:szCs w:val="20"/>
          </w:rPr>
          <m:t>ΓMK</m:t>
        </m:r>
      </m:oMath>
      <w:r w:rsidRPr="0027124E">
        <w:rPr>
          <w:rFonts w:ascii="Palatino Linotype" w:eastAsia="Palatino Linotype" w:hAnsi="Palatino Linotype" w:cs="Palatino Linotype"/>
          <w:sz w:val="20"/>
          <w:szCs w:val="20"/>
        </w:rPr>
        <w:t xml:space="preserve"> k-plane. The up and down spins are mapped to the color from blue to red.</w:t>
      </w:r>
    </w:p>
    <w:p w14:paraId="5620B067" w14:textId="77777777" w:rsidR="00644E71" w:rsidRPr="0027124E" w:rsidRDefault="00644E71" w:rsidP="00644E71">
      <w:pPr>
        <w:spacing w:line="276" w:lineRule="auto"/>
        <w:jc w:val="both"/>
        <w:rPr>
          <w:rFonts w:ascii="Calibri" w:eastAsia="Calibri" w:hAnsi="Calibri" w:cs="Calibri"/>
        </w:rPr>
      </w:pPr>
    </w:p>
    <w:p w14:paraId="3F1C4ADE" w14:textId="643051ED" w:rsidR="00644E71" w:rsidRPr="0027124E" w:rsidRDefault="00644E71" w:rsidP="00644E71">
      <w:pPr>
        <w:spacing w:line="276" w:lineRule="auto"/>
        <w:ind w:firstLine="240"/>
        <w:jc w:val="both"/>
        <w:rPr>
          <w:rFonts w:ascii="Palatino Linotype" w:eastAsia="Palatino Linotype" w:hAnsi="Palatino Linotype" w:cs="Palatino Linotype"/>
          <w:color w:val="000000"/>
          <w:sz w:val="22"/>
          <w:szCs w:val="22"/>
        </w:rPr>
      </w:pPr>
      <w:r w:rsidRPr="0027124E">
        <w:rPr>
          <w:rFonts w:ascii="Palatino Linotype" w:eastAsia="Palatino Linotype" w:hAnsi="Palatino Linotype" w:cs="Palatino Linotype"/>
          <w:color w:val="000000"/>
          <w:sz w:val="22"/>
          <w:szCs w:val="22"/>
        </w:rPr>
        <w:t xml:space="preserve">Figure </w:t>
      </w:r>
      <w:r w:rsidR="00B3717F" w:rsidRPr="0027124E">
        <w:rPr>
          <w:rFonts w:ascii="Palatino Linotype" w:eastAsia="Palatino Linotype" w:hAnsi="Palatino Linotype" w:cs="Palatino Linotype"/>
          <w:color w:val="000000"/>
          <w:sz w:val="22"/>
          <w:szCs w:val="22"/>
        </w:rPr>
        <w:t>S2</w:t>
      </w:r>
      <w:r w:rsidRPr="0027124E">
        <w:rPr>
          <w:rFonts w:ascii="Palatino Linotype" w:eastAsia="Palatino Linotype" w:hAnsi="Palatino Linotype" w:cs="Palatino Linotype"/>
          <w:color w:val="000000"/>
          <w:sz w:val="22"/>
          <w:szCs w:val="22"/>
        </w:rPr>
        <w:t xml:space="preserve"> illustrates the “hidden spin polarization” effect in tetragonal Ca</w:t>
      </w:r>
      <w:r w:rsidRPr="0027124E">
        <w:rPr>
          <w:rFonts w:ascii="Palatino Linotype" w:eastAsia="Palatino Linotype" w:hAnsi="Palatino Linotype" w:cs="Palatino Linotype"/>
          <w:color w:val="000000"/>
          <w:sz w:val="22"/>
          <w:szCs w:val="22"/>
          <w:vertAlign w:val="subscript"/>
        </w:rPr>
        <w:t>3</w:t>
      </w:r>
      <w:r w:rsidRPr="0027124E">
        <w:rPr>
          <w:rFonts w:ascii="Palatino Linotype" w:eastAsia="Palatino Linotype" w:hAnsi="Palatino Linotype" w:cs="Palatino Linotype"/>
          <w:color w:val="000000"/>
          <w:sz w:val="22"/>
          <w:szCs w:val="22"/>
        </w:rPr>
        <w:t>Ru</w:t>
      </w:r>
      <w:r w:rsidRPr="0027124E">
        <w:rPr>
          <w:rFonts w:ascii="Palatino Linotype" w:eastAsia="Palatino Linotype" w:hAnsi="Palatino Linotype" w:cs="Palatino Linotype"/>
          <w:color w:val="000000"/>
          <w:sz w:val="22"/>
          <w:szCs w:val="22"/>
          <w:vertAlign w:val="subscript"/>
        </w:rPr>
        <w:t>2</w:t>
      </w:r>
      <w:r w:rsidRPr="0027124E">
        <w:rPr>
          <w:rFonts w:ascii="Palatino Linotype" w:eastAsia="Palatino Linotype" w:hAnsi="Palatino Linotype" w:cs="Palatino Linotype"/>
          <w:color w:val="000000"/>
          <w:sz w:val="22"/>
          <w:szCs w:val="22"/>
        </w:rPr>
        <w:t>O</w:t>
      </w:r>
      <w:r w:rsidRPr="0027124E">
        <w:rPr>
          <w:rFonts w:ascii="Palatino Linotype" w:eastAsia="Palatino Linotype" w:hAnsi="Palatino Linotype" w:cs="Palatino Linotype"/>
          <w:color w:val="000000"/>
          <w:sz w:val="22"/>
          <w:szCs w:val="22"/>
          <w:vertAlign w:val="subscript"/>
        </w:rPr>
        <w:t>7</w:t>
      </w:r>
      <w:r w:rsidRPr="0027124E">
        <w:rPr>
          <w:rFonts w:ascii="Palatino Linotype" w:eastAsia="Palatino Linotype" w:hAnsi="Palatino Linotype" w:cs="Palatino Linotype"/>
          <w:color w:val="000000"/>
          <w:sz w:val="22"/>
          <w:szCs w:val="22"/>
        </w:rPr>
        <w:t xml:space="preserve"> </w:t>
      </w:r>
      <w:r w:rsidRPr="0027124E">
        <w:rPr>
          <w:rFonts w:ascii="Palatino Linotype" w:eastAsia="Palatino Linotype" w:hAnsi="Palatino Linotype" w:cs="Palatino Linotype"/>
          <w:sz w:val="22"/>
          <w:szCs w:val="22"/>
        </w:rPr>
        <w:fldChar w:fldCharType="begin"/>
      </w:r>
      <w:r w:rsidR="00457825" w:rsidRPr="0027124E">
        <w:rPr>
          <w:rFonts w:ascii="Palatino Linotype" w:eastAsia="Palatino Linotype" w:hAnsi="Palatino Linotype" w:cs="Palatino Linotype"/>
          <w:sz w:val="22"/>
          <w:szCs w:val="22"/>
        </w:rPr>
        <w:instrText xml:space="preserve"> ADDIN EN.CITE &lt;EndNote&gt;&lt;Cite&gt;&lt;Author&gt;Yoshida&lt;/Author&gt;&lt;Year&gt;2005&lt;/Year&gt;&lt;RecNum&gt;922&lt;/RecNum&gt;&lt;DisplayText&gt;&lt;style face="superscript"&gt;2&lt;/style&gt;&lt;/DisplayText&gt;&lt;record&gt;&lt;rec-number&gt;922&lt;/rec-number&gt;&lt;foreign-keys&gt;&lt;key app="EN" db-id="5ww02vf0zz0s5uez9dop52zwwsd2tssxwsvr" timestamp="1654022272"&gt;922&lt;/key&gt;&lt;/foreign-keys&gt;&lt;ref-type name="Journal Article"&gt;17&lt;/ref-type&gt;&lt;contributors&gt;&lt;authors&gt;&lt;author&gt;Yoshida, Yoshiyuki&lt;/author&gt;&lt;author&gt;Ikeda, Shin-Ichi&lt;/author&gt;&lt;author&gt;Matsuhata, Hirofumi&lt;/author&gt;&lt;author&gt;Shirakawa, Naoki&lt;/author&gt;&lt;author&gt;Lee, C. H.&lt;/author&gt;&lt;author&gt;Katano, Susumu&lt;/author&gt;&lt;/authors&gt;&lt;/contributors&gt;&lt;titles&gt;&lt;title&gt;Crystal and magnetic structure of Ca3Ru2O7&lt;/title&gt;&lt;secondary-title&gt;Physical Review B&lt;/secondary-title&gt;&lt;/titles&gt;&lt;periodical&gt;&lt;full-title&gt;Physical Review B&lt;/full-title&gt;&lt;/periodical&gt;&lt;pages&gt;054412&lt;/pages&gt;&lt;volume&gt;72&lt;/volume&gt;&lt;number&gt;5&lt;/number&gt;&lt;dates&gt;&lt;year&gt;2005&lt;/year&gt;&lt;pub-dates&gt;&lt;date&gt;08/09/&lt;/date&gt;&lt;/pub-dates&gt;&lt;/dates&gt;&lt;publisher&gt;American Physical Society&lt;/publisher&gt;&lt;urls&gt;&lt;related-urls&gt;&lt;url&gt;https://link.aps.org/doi/10.1103/PhysRevB.72.054412&lt;/url&gt;&lt;/related-urls&gt;&lt;/urls&gt;&lt;electronic-resource-num&gt;10.1103/PhysRevB.72.054412&lt;/electronic-resource-num&gt;&lt;/record&gt;&lt;/Cite&gt;&lt;/EndNote&gt;</w:instrText>
      </w:r>
      <w:r w:rsidRPr="0027124E">
        <w:rPr>
          <w:rFonts w:ascii="Palatino Linotype" w:eastAsia="Palatino Linotype" w:hAnsi="Palatino Linotype" w:cs="Palatino Linotype"/>
          <w:sz w:val="22"/>
          <w:szCs w:val="22"/>
        </w:rPr>
        <w:fldChar w:fldCharType="separate"/>
      </w:r>
      <w:r w:rsidR="00457825" w:rsidRPr="0027124E">
        <w:rPr>
          <w:rFonts w:ascii="Palatino Linotype" w:eastAsia="Palatino Linotype" w:hAnsi="Palatino Linotype" w:cs="Palatino Linotype"/>
          <w:noProof/>
          <w:sz w:val="22"/>
          <w:szCs w:val="22"/>
          <w:vertAlign w:val="superscript"/>
        </w:rPr>
        <w:t>2</w:t>
      </w:r>
      <w:r w:rsidRPr="0027124E">
        <w:rPr>
          <w:rFonts w:ascii="Palatino Linotype" w:eastAsia="Palatino Linotype" w:hAnsi="Palatino Linotype" w:cs="Palatino Linotype"/>
          <w:sz w:val="22"/>
          <w:szCs w:val="22"/>
        </w:rPr>
        <w:fldChar w:fldCharType="end"/>
      </w:r>
      <w:r w:rsidRPr="0027124E">
        <w:rPr>
          <w:rFonts w:ascii="Palatino Linotype" w:eastAsia="Palatino Linotype" w:hAnsi="Palatino Linotype" w:cs="Palatino Linotype"/>
          <w:color w:val="000000"/>
          <w:sz w:val="22"/>
          <w:szCs w:val="22"/>
        </w:rPr>
        <w:t xml:space="preserve">  being bulk SST-3 class (MSG P</w:t>
      </w:r>
      <w:r w:rsidRPr="0027124E">
        <w:rPr>
          <w:rFonts w:ascii="Palatino Linotype" w:eastAsia="Palatino Linotype" w:hAnsi="Palatino Linotype" w:cs="Palatino Linotype"/>
          <w:color w:val="000000"/>
          <w:sz w:val="22"/>
          <w:szCs w:val="22"/>
          <w:vertAlign w:val="subscript"/>
        </w:rPr>
        <w:t>C</w:t>
      </w:r>
      <w:r w:rsidRPr="0027124E">
        <w:rPr>
          <w:rFonts w:ascii="Palatino Linotype" w:eastAsia="Palatino Linotype" w:hAnsi="Palatino Linotype" w:cs="Palatino Linotype"/>
          <w:color w:val="000000"/>
          <w:sz w:val="22"/>
          <w:szCs w:val="22"/>
        </w:rPr>
        <w:t>na2</w:t>
      </w:r>
      <w:r w:rsidRPr="0027124E">
        <w:rPr>
          <w:rFonts w:ascii="Palatino Linotype" w:eastAsia="Palatino Linotype" w:hAnsi="Palatino Linotype" w:cs="Palatino Linotype"/>
          <w:color w:val="000000"/>
          <w:sz w:val="22"/>
          <w:szCs w:val="22"/>
          <w:vertAlign w:val="subscript"/>
        </w:rPr>
        <w:t>1</w:t>
      </w:r>
      <w:r w:rsidRPr="0027124E">
        <w:rPr>
          <w:rFonts w:ascii="Palatino Linotype" w:eastAsia="Palatino Linotype" w:hAnsi="Palatino Linotype" w:cs="Palatino Linotype"/>
          <w:color w:val="000000"/>
          <w:sz w:val="22"/>
          <w:szCs w:val="22"/>
        </w:rPr>
        <w:t>) but made of SST-5 class FM RuO</w:t>
      </w:r>
      <w:r w:rsidRPr="0027124E">
        <w:rPr>
          <w:rFonts w:ascii="Palatino Linotype" w:eastAsia="Palatino Linotype" w:hAnsi="Palatino Linotype" w:cs="Palatino Linotype"/>
          <w:color w:val="000000"/>
          <w:sz w:val="22"/>
          <w:szCs w:val="22"/>
          <w:vertAlign w:val="subscript"/>
        </w:rPr>
        <w:t>7</w:t>
      </w:r>
      <w:r w:rsidRPr="0027124E">
        <w:rPr>
          <w:rFonts w:ascii="Palatino Linotype" w:eastAsia="Palatino Linotype" w:hAnsi="Palatino Linotype" w:cs="Palatino Linotype"/>
          <w:color w:val="000000"/>
          <w:sz w:val="22"/>
          <w:szCs w:val="22"/>
        </w:rPr>
        <w:t xml:space="preserve"> sectors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in Fig. </w:t>
      </w:r>
      <w:r w:rsidR="00B3717F" w:rsidRPr="0027124E">
        <w:rPr>
          <w:rFonts w:ascii="Palatino Linotype" w:eastAsia="Palatino Linotype" w:hAnsi="Palatino Linotype" w:cs="Palatino Linotype"/>
          <w:color w:val="000000"/>
          <w:sz w:val="22"/>
          <w:szCs w:val="22"/>
        </w:rPr>
        <w:t>S2</w:t>
      </w:r>
      <w:r w:rsidRPr="0027124E">
        <w:rPr>
          <w:rFonts w:ascii="Palatino Linotype" w:eastAsia="Palatino Linotype" w:hAnsi="Palatino Linotype" w:cs="Palatino Linotype"/>
          <w:color w:val="000000"/>
          <w:sz w:val="22"/>
          <w:szCs w:val="22"/>
        </w:rPr>
        <w:t xml:space="preserve">a). The crystal is antiferromagnetically ordered with its magnetic moments collinearly </w:t>
      </w:r>
      <w:r w:rsidRPr="0027124E">
        <w:rPr>
          <w:rFonts w:ascii="Palatino Linotype" w:eastAsia="Palatino Linotype" w:hAnsi="Palatino Linotype" w:cs="Palatino Linotype"/>
          <w:sz w:val="22"/>
          <w:szCs w:val="22"/>
        </w:rPr>
        <w:t>aligned</w:t>
      </w:r>
      <w:r w:rsidRPr="0027124E">
        <w:rPr>
          <w:rFonts w:ascii="Palatino Linotype" w:eastAsia="Palatino Linotype" w:hAnsi="Palatino Linotype" w:cs="Palatino Linotype"/>
          <w:color w:val="000000"/>
          <w:sz w:val="22"/>
          <w:szCs w:val="22"/>
        </w:rPr>
        <w:t xml:space="preserve"> in (010) direction. The two ferromagnetically ordered Ru</w:t>
      </w:r>
      <w:r w:rsidRPr="0027124E">
        <w:rPr>
          <w:rFonts w:ascii="Palatino Linotype" w:eastAsia="Palatino Linotype" w:hAnsi="Palatino Linotype" w:cs="Palatino Linotype"/>
          <w:color w:val="000000"/>
          <w:sz w:val="22"/>
          <w:szCs w:val="22"/>
          <w:vertAlign w:val="subscript"/>
        </w:rPr>
        <w:t>2</w:t>
      </w:r>
      <w:r w:rsidRPr="0027124E">
        <w:rPr>
          <w:rFonts w:ascii="Palatino Linotype" w:eastAsia="Palatino Linotype" w:hAnsi="Palatino Linotype" w:cs="Palatino Linotype"/>
          <w:color w:val="000000"/>
          <w:sz w:val="22"/>
          <w:szCs w:val="22"/>
        </w:rPr>
        <w:t>O</w:t>
      </w:r>
      <w:r w:rsidRPr="0027124E">
        <w:rPr>
          <w:rFonts w:ascii="Palatino Linotype" w:eastAsia="Palatino Linotype" w:hAnsi="Palatino Linotype" w:cs="Palatino Linotype"/>
          <w:color w:val="000000"/>
          <w:sz w:val="22"/>
          <w:szCs w:val="22"/>
          <w:vertAlign w:val="subscript"/>
        </w:rPr>
        <w:t>7</w:t>
      </w:r>
      <w:r w:rsidRPr="0027124E">
        <w:rPr>
          <w:rFonts w:ascii="Palatino Linotype" w:eastAsia="Palatino Linotype" w:hAnsi="Palatino Linotype" w:cs="Palatino Linotype"/>
          <w:color w:val="000000"/>
          <w:sz w:val="22"/>
          <w:szCs w:val="22"/>
        </w:rPr>
        <w:t xml:space="preserve"> sectors are connected by the </w:t>
      </w:r>
      <m:oMath>
        <m:r>
          <w:rPr>
            <w:rFonts w:ascii="Cambria Math" w:eastAsia="Cambria Math" w:hAnsi="Cambria Math" w:cs="Cambria Math"/>
            <w:color w:val="000000"/>
            <w:sz w:val="22"/>
            <w:szCs w:val="22"/>
          </w:rPr>
          <m:t>UT</m:t>
        </m:r>
      </m:oMath>
      <w:r w:rsidRPr="0027124E">
        <w:rPr>
          <w:rFonts w:ascii="Palatino Linotype" w:eastAsia="Palatino Linotype" w:hAnsi="Palatino Linotype" w:cs="Palatino Linotype"/>
          <w:color w:val="000000"/>
          <w:sz w:val="22"/>
          <w:szCs w:val="22"/>
        </w:rPr>
        <w:t xml:space="preserve"> symmetry which restores the spin degeneracy of the bulk and results in a compensated net spin polarization (Fig. </w:t>
      </w:r>
      <w:r w:rsidR="00B3717F" w:rsidRPr="0027124E">
        <w:rPr>
          <w:rFonts w:ascii="Palatino Linotype" w:eastAsia="Palatino Linotype" w:hAnsi="Palatino Linotype" w:cs="Palatino Linotype"/>
          <w:color w:val="000000"/>
          <w:sz w:val="22"/>
          <w:szCs w:val="22"/>
        </w:rPr>
        <w:t>S2</w:t>
      </w:r>
      <w:r w:rsidRPr="0027124E">
        <w:rPr>
          <w:rFonts w:ascii="Palatino Linotype" w:eastAsia="Palatino Linotype" w:hAnsi="Palatino Linotype" w:cs="Palatino Linotype"/>
          <w:color w:val="000000"/>
          <w:sz w:val="22"/>
          <w:szCs w:val="22"/>
        </w:rPr>
        <w:t xml:space="preserve">b). However, the corresponding spin polarization for the </w:t>
      </w:r>
      <w:r w:rsidR="00D23605" w:rsidRPr="0027124E">
        <w:rPr>
          <w:rFonts w:ascii="Palatino Linotype" w:eastAsia="Palatino Linotype" w:hAnsi="Palatino Linotype" w:cs="Palatino Linotype"/>
          <w:color w:val="000000"/>
          <w:sz w:val="22"/>
          <w:szCs w:val="22"/>
        </w:rPr>
        <w:t xml:space="preserve">bottom </w:t>
      </w:r>
      <w:r w:rsidRPr="0027124E">
        <w:rPr>
          <w:rFonts w:ascii="Palatino Linotype" w:eastAsia="Palatino Linotype" w:hAnsi="Palatino Linotype" w:cs="Palatino Linotype"/>
          <w:color w:val="000000"/>
          <w:sz w:val="22"/>
          <w:szCs w:val="22"/>
        </w:rPr>
        <w:t xml:space="preserve">two </w:t>
      </w:r>
      <w:r w:rsidR="00D23605" w:rsidRPr="0027124E">
        <w:rPr>
          <w:rFonts w:ascii="Palatino Linotype" w:eastAsia="Palatino Linotype" w:hAnsi="Palatino Linotype" w:cs="Palatino Linotype"/>
          <w:color w:val="000000"/>
          <w:sz w:val="22"/>
          <w:szCs w:val="22"/>
        </w:rPr>
        <w:t xml:space="preserve">conduction </w:t>
      </w:r>
      <w:r w:rsidRPr="0027124E">
        <w:rPr>
          <w:rFonts w:ascii="Palatino Linotype" w:eastAsia="Palatino Linotype" w:hAnsi="Palatino Linotype" w:cs="Palatino Linotype"/>
          <w:color w:val="000000"/>
          <w:sz w:val="22"/>
          <w:szCs w:val="22"/>
        </w:rPr>
        <w:t>bands (</w:t>
      </w:r>
      <w:r w:rsidR="00D23605" w:rsidRPr="0027124E">
        <w:rPr>
          <w:rFonts w:ascii="Palatino Linotype" w:eastAsia="Palatino Linotype" w:hAnsi="Palatino Linotype" w:cs="Palatino Linotype"/>
          <w:color w:val="000000"/>
          <w:sz w:val="22"/>
          <w:szCs w:val="22"/>
        </w:rPr>
        <w:t>C1 and C2</w:t>
      </w:r>
      <w:r w:rsidRPr="0027124E">
        <w:rPr>
          <w:rFonts w:ascii="Palatino Linotype" w:eastAsia="Palatino Linotype" w:hAnsi="Palatino Linotype" w:cs="Palatino Linotype"/>
          <w:color w:val="000000"/>
          <w:sz w:val="22"/>
          <w:szCs w:val="22"/>
        </w:rPr>
        <w:t xml:space="preserve">) projected onto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(hidden spin polarization), shown in Fig. </w:t>
      </w:r>
      <w:r w:rsidR="00B3717F" w:rsidRPr="0027124E">
        <w:rPr>
          <w:rFonts w:ascii="Palatino Linotype" w:eastAsia="Palatino Linotype" w:hAnsi="Palatino Linotype" w:cs="Palatino Linotype"/>
          <w:color w:val="000000"/>
          <w:sz w:val="22"/>
          <w:szCs w:val="22"/>
        </w:rPr>
        <w:t>S2</w:t>
      </w:r>
      <w:r w:rsidRPr="0027124E">
        <w:rPr>
          <w:rFonts w:ascii="Palatino Linotype" w:eastAsia="Palatino Linotype" w:hAnsi="Palatino Linotype" w:cs="Palatino Linotype"/>
          <w:color w:val="000000"/>
          <w:sz w:val="22"/>
          <w:szCs w:val="22"/>
        </w:rPr>
        <w:t xml:space="preserve">c, are nonzero and compensate each other. </w:t>
      </w:r>
    </w:p>
    <w:p w14:paraId="3B70EC42" w14:textId="77777777" w:rsidR="00644E71" w:rsidRPr="0027124E" w:rsidRDefault="00644E71" w:rsidP="00644E71">
      <w:pPr>
        <w:pBdr>
          <w:top w:val="nil"/>
          <w:left w:val="nil"/>
          <w:bottom w:val="nil"/>
          <w:right w:val="nil"/>
          <w:between w:val="nil"/>
        </w:pBdr>
        <w:spacing w:line="276" w:lineRule="auto"/>
        <w:jc w:val="both"/>
        <w:rPr>
          <w:rFonts w:ascii="Calibri" w:eastAsia="Calibri" w:hAnsi="Calibri" w:cs="Calibri"/>
        </w:rPr>
      </w:pPr>
    </w:p>
    <w:p w14:paraId="76246FFF" w14:textId="3B054009" w:rsidR="00644E71" w:rsidRPr="0027124E" w:rsidRDefault="00B51316" w:rsidP="00644E71">
      <w:pPr>
        <w:pBdr>
          <w:top w:val="nil"/>
          <w:left w:val="nil"/>
          <w:bottom w:val="nil"/>
          <w:right w:val="nil"/>
          <w:between w:val="nil"/>
        </w:pBdr>
        <w:spacing w:line="276" w:lineRule="auto"/>
        <w:jc w:val="both"/>
        <w:rPr>
          <w:rFonts w:ascii="Calibri" w:eastAsia="Calibri" w:hAnsi="Calibri" w:cs="Calibri"/>
          <w:color w:val="000000"/>
        </w:rPr>
      </w:pPr>
      <w:r w:rsidRPr="0027124E">
        <w:rPr>
          <w:rFonts w:ascii="Calibri" w:eastAsia="Calibri" w:hAnsi="Calibri" w:cs="Calibri"/>
          <w:noProof/>
          <w:color w:val="000000"/>
        </w:rPr>
        <w:lastRenderedPageBreak/>
        <w:drawing>
          <wp:inline distT="0" distB="0" distL="0" distR="0" wp14:anchorId="53765AD5" wp14:editId="04E9D988">
            <wp:extent cx="5943600" cy="2341245"/>
            <wp:effectExtent l="0" t="0" r="0" b="0"/>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943600" cy="2341245"/>
                    </a:xfrm>
                    <a:prstGeom prst="rect">
                      <a:avLst/>
                    </a:prstGeom>
                  </pic:spPr>
                </pic:pic>
              </a:graphicData>
            </a:graphic>
          </wp:inline>
        </w:drawing>
      </w:r>
    </w:p>
    <w:p w14:paraId="104E4F5F" w14:textId="3FB0C773" w:rsidR="00644E71" w:rsidRPr="0027124E" w:rsidRDefault="00644E71" w:rsidP="00644E71">
      <w:pPr>
        <w:pBdr>
          <w:top w:val="nil"/>
          <w:left w:val="nil"/>
          <w:bottom w:val="nil"/>
          <w:right w:val="nil"/>
          <w:between w:val="nil"/>
        </w:pBdr>
        <w:spacing w:after="160" w:line="276" w:lineRule="auto"/>
        <w:jc w:val="both"/>
        <w:rPr>
          <w:rFonts w:ascii="Palatino Linotype" w:eastAsia="Palatino Linotype" w:hAnsi="Palatino Linotype" w:cs="Palatino Linotype"/>
          <w:sz w:val="20"/>
          <w:szCs w:val="20"/>
        </w:rPr>
      </w:pPr>
      <w:r w:rsidRPr="0027124E">
        <w:rPr>
          <w:rFonts w:ascii="Palatino Linotype" w:eastAsia="Palatino Linotype" w:hAnsi="Palatino Linotype" w:cs="Palatino Linotype"/>
          <w:b/>
          <w:sz w:val="20"/>
          <w:szCs w:val="20"/>
        </w:rPr>
        <w:t xml:space="preserve">Figure </w:t>
      </w:r>
      <w:r w:rsidR="00B3717F" w:rsidRPr="0027124E">
        <w:rPr>
          <w:rFonts w:ascii="Palatino Linotype" w:eastAsia="Palatino Linotype" w:hAnsi="Palatino Linotype" w:cs="Palatino Linotype"/>
          <w:b/>
          <w:sz w:val="20"/>
          <w:szCs w:val="20"/>
        </w:rPr>
        <w:t>S2</w:t>
      </w:r>
      <w:r w:rsidRPr="0027124E">
        <w:rPr>
          <w:rFonts w:ascii="Palatino Linotype" w:eastAsia="Palatino Linotype" w:hAnsi="Palatino Linotype" w:cs="Palatino Linotype"/>
          <w:b/>
          <w:sz w:val="20"/>
          <w:szCs w:val="20"/>
        </w:rPr>
        <w:t>: Hidden spin polarization from individual ferromagnetic sectors in b</w:t>
      </w:r>
      <w:r w:rsidRPr="0027124E">
        <w:rPr>
          <w:rFonts w:ascii="Palatino Linotype" w:eastAsia="Palatino Linotype" w:hAnsi="Palatino Linotype" w:cs="Palatino Linotype"/>
          <w:b/>
          <w:color w:val="000000"/>
          <w:sz w:val="20"/>
          <w:szCs w:val="20"/>
        </w:rPr>
        <w:t>ulk Ca</w:t>
      </w:r>
      <w:r w:rsidRPr="0027124E">
        <w:rPr>
          <w:rFonts w:ascii="Palatino Linotype" w:eastAsia="Palatino Linotype" w:hAnsi="Palatino Linotype" w:cs="Palatino Linotype"/>
          <w:b/>
          <w:color w:val="000000"/>
          <w:sz w:val="20"/>
          <w:szCs w:val="20"/>
          <w:vertAlign w:val="subscript"/>
        </w:rPr>
        <w:t>3</w:t>
      </w:r>
      <w:r w:rsidRPr="0027124E">
        <w:rPr>
          <w:rFonts w:ascii="Palatino Linotype" w:eastAsia="Palatino Linotype" w:hAnsi="Palatino Linotype" w:cs="Palatino Linotype"/>
          <w:b/>
          <w:color w:val="000000"/>
          <w:sz w:val="20"/>
          <w:szCs w:val="20"/>
        </w:rPr>
        <w:t>Ru</w:t>
      </w:r>
      <w:r w:rsidRPr="0027124E">
        <w:rPr>
          <w:rFonts w:ascii="Palatino Linotype" w:eastAsia="Palatino Linotype" w:hAnsi="Palatino Linotype" w:cs="Palatino Linotype"/>
          <w:b/>
          <w:color w:val="000000"/>
          <w:sz w:val="20"/>
          <w:szCs w:val="20"/>
          <w:vertAlign w:val="subscript"/>
        </w:rPr>
        <w:t>2</w:t>
      </w:r>
      <w:r w:rsidRPr="0027124E">
        <w:rPr>
          <w:rFonts w:ascii="Palatino Linotype" w:eastAsia="Palatino Linotype" w:hAnsi="Palatino Linotype" w:cs="Palatino Linotype"/>
          <w:b/>
          <w:color w:val="000000"/>
          <w:sz w:val="20"/>
          <w:szCs w:val="20"/>
        </w:rPr>
        <w:t>O</w:t>
      </w:r>
      <w:r w:rsidRPr="0027124E">
        <w:rPr>
          <w:rFonts w:ascii="Palatino Linotype" w:eastAsia="Palatino Linotype" w:hAnsi="Palatino Linotype" w:cs="Palatino Linotype"/>
          <w:b/>
          <w:color w:val="000000"/>
          <w:sz w:val="20"/>
          <w:szCs w:val="20"/>
          <w:vertAlign w:val="subscript"/>
        </w:rPr>
        <w:t>7</w:t>
      </w:r>
      <w:r w:rsidRPr="0027124E">
        <w:rPr>
          <w:rFonts w:ascii="Palatino Linotype" w:eastAsia="Palatino Linotype" w:hAnsi="Palatino Linotype" w:cs="Palatino Linotype"/>
          <w:b/>
          <w:color w:val="000000"/>
          <w:sz w:val="20"/>
          <w:szCs w:val="20"/>
        </w:rPr>
        <w:t xml:space="preserve"> </w:t>
      </w:r>
      <w:r w:rsidRPr="0027124E">
        <w:rPr>
          <w:rFonts w:ascii="Palatino Linotype" w:eastAsia="Palatino Linotype" w:hAnsi="Palatino Linotype" w:cs="Palatino Linotype"/>
          <w:b/>
          <w:sz w:val="20"/>
          <w:szCs w:val="20"/>
        </w:rPr>
        <w:t>(</w:t>
      </w:r>
      <w:r w:rsidRPr="0027124E">
        <w:rPr>
          <w:rFonts w:ascii="Palatino Linotype" w:eastAsia="Palatino Linotype" w:hAnsi="Palatino Linotype" w:cs="Palatino Linotype"/>
          <w:b/>
          <w:color w:val="000000"/>
          <w:sz w:val="20"/>
          <w:szCs w:val="20"/>
        </w:rPr>
        <w:t>bulk belonging to SST-</w:t>
      </w:r>
      <w:r w:rsidRPr="0027124E">
        <w:rPr>
          <w:rFonts w:ascii="Palatino Linotype" w:eastAsia="Palatino Linotype" w:hAnsi="Palatino Linotype" w:cs="Palatino Linotype"/>
          <w:b/>
          <w:sz w:val="20"/>
          <w:szCs w:val="20"/>
        </w:rPr>
        <w:t>3 class</w:t>
      </w:r>
      <w:r w:rsidRPr="0027124E">
        <w:rPr>
          <w:rFonts w:ascii="Palatino Linotype" w:eastAsia="Palatino Linotype" w:hAnsi="Palatino Linotype" w:cs="Palatino Linotype"/>
          <w:b/>
          <w:color w:val="000000"/>
          <w:sz w:val="20"/>
          <w:szCs w:val="20"/>
        </w:rPr>
        <w:t xml:space="preserve"> with </w:t>
      </w:r>
      <w:r w:rsidRPr="0027124E">
        <w:rPr>
          <w:rFonts w:ascii="Palatino Linotype" w:eastAsia="Palatino Linotype" w:hAnsi="Palatino Linotype" w:cs="Palatino Linotype"/>
          <w:b/>
          <w:sz w:val="20"/>
          <w:szCs w:val="20"/>
        </w:rPr>
        <w:t xml:space="preserve">sector belonging to </w:t>
      </w:r>
      <w:r w:rsidRPr="0027124E">
        <w:rPr>
          <w:rFonts w:ascii="Palatino Linotype" w:eastAsia="Palatino Linotype" w:hAnsi="Palatino Linotype" w:cs="Palatino Linotype"/>
          <w:b/>
          <w:color w:val="000000"/>
          <w:sz w:val="20"/>
          <w:szCs w:val="20"/>
        </w:rPr>
        <w:t>SST-5 class</w:t>
      </w:r>
      <w:r w:rsidRPr="0027124E">
        <w:rPr>
          <w:rFonts w:ascii="Palatino Linotype" w:eastAsia="Palatino Linotype" w:hAnsi="Palatino Linotype" w:cs="Palatino Linotype"/>
          <w:b/>
          <w:sz w:val="20"/>
          <w:szCs w:val="20"/>
        </w:rPr>
        <w:t>)</w:t>
      </w:r>
      <w:r w:rsidRPr="0027124E">
        <w:rPr>
          <w:rFonts w:ascii="Palatino Linotype" w:eastAsia="Palatino Linotype" w:hAnsi="Palatino Linotype" w:cs="Palatino Linotype"/>
          <w:b/>
          <w:color w:val="000000"/>
          <w:sz w:val="20"/>
          <w:szCs w:val="20"/>
        </w:rPr>
        <w:t xml:space="preserve">. </w:t>
      </w:r>
      <w:r w:rsidRPr="0027124E">
        <w:rPr>
          <w:rFonts w:ascii="Palatino Linotype" w:eastAsia="Palatino Linotype" w:hAnsi="Palatino Linotype" w:cs="Palatino Linotype"/>
          <w:b/>
          <w:bCs/>
          <w:sz w:val="20"/>
          <w:szCs w:val="20"/>
        </w:rPr>
        <w:t>a</w:t>
      </w:r>
      <w:r w:rsidRPr="0027124E">
        <w:rPr>
          <w:rFonts w:ascii="Palatino Linotype" w:eastAsia="Palatino Linotype" w:hAnsi="Palatino Linotype" w:cs="Palatino Linotype"/>
          <w:sz w:val="20"/>
          <w:szCs w:val="20"/>
        </w:rPr>
        <w:t xml:space="preserve"> crystal structure of antiferromagnetic Ca</w:t>
      </w:r>
      <w:r w:rsidRPr="0027124E">
        <w:rPr>
          <w:rFonts w:ascii="Palatino Linotype" w:eastAsia="Palatino Linotype" w:hAnsi="Palatino Linotype" w:cs="Palatino Linotype"/>
          <w:sz w:val="20"/>
          <w:szCs w:val="20"/>
          <w:vertAlign w:val="subscript"/>
        </w:rPr>
        <w:t>3</w:t>
      </w:r>
      <w:r w:rsidRPr="0027124E">
        <w:rPr>
          <w:rFonts w:ascii="Palatino Linotype" w:eastAsia="Palatino Linotype" w:hAnsi="Palatino Linotype" w:cs="Palatino Linotype"/>
          <w:sz w:val="20"/>
          <w:szCs w:val="20"/>
        </w:rPr>
        <w:t>Ru</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O</w:t>
      </w:r>
      <w:r w:rsidRPr="0027124E">
        <w:rPr>
          <w:rFonts w:ascii="Palatino Linotype" w:eastAsia="Palatino Linotype" w:hAnsi="Palatino Linotype" w:cs="Palatino Linotype"/>
          <w:sz w:val="20"/>
          <w:szCs w:val="20"/>
          <w:vertAlign w:val="subscript"/>
        </w:rPr>
        <w:t>7</w:t>
      </w:r>
      <w:r w:rsidRPr="0027124E">
        <w:rPr>
          <w:rFonts w:ascii="Palatino Linotype" w:eastAsia="Palatino Linotype" w:hAnsi="Palatino Linotype" w:cs="Palatino Linotype"/>
          <w:sz w:val="20"/>
          <w:szCs w:val="20"/>
        </w:rPr>
        <w:t xml:space="preserve"> composed of two ferromagnetic sectors with opposite magnetization (indicated by red and blue polynomials) in the unit cell. The Ca atoms are dismissed. The two sectors are referred as sector-</w:t>
      </w:r>
      <m:oMath>
        <m:r>
          <w:rPr>
            <w:rFonts w:ascii="Cambria Math" w:hAnsi="Cambria Math"/>
          </w:rPr>
          <m:t>α</m:t>
        </m:r>
      </m:oMath>
      <w:r w:rsidRPr="0027124E">
        <w:rPr>
          <w:rFonts w:ascii="Palatino Linotype" w:eastAsia="Palatino Linotype" w:hAnsi="Palatino Linotype" w:cs="Palatino Linotype"/>
          <w:sz w:val="20"/>
          <w:szCs w:val="20"/>
        </w:rPr>
        <w:t xml:space="preserve"> and sector-</w:t>
      </w:r>
      <m:oMath>
        <m:r>
          <w:rPr>
            <w:rFonts w:ascii="Cambria Math" w:hAnsi="Cambria Math"/>
          </w:rPr>
          <m:t>β</m:t>
        </m:r>
      </m:oMath>
      <w:r w:rsidRPr="0027124E">
        <w:rPr>
          <w:rFonts w:ascii="Palatino Linotype" w:eastAsia="Palatino Linotype" w:hAnsi="Palatino Linotype" w:cs="Palatino Linotype"/>
          <w:sz w:val="20"/>
          <w:szCs w:val="20"/>
        </w:rPr>
        <w:t xml:space="preserve">, respectively; </w:t>
      </w:r>
      <w:r w:rsidRPr="0027124E">
        <w:rPr>
          <w:rFonts w:ascii="Palatino Linotype" w:eastAsia="Palatino Linotype" w:hAnsi="Palatino Linotype" w:cs="Palatino Linotype"/>
          <w:b/>
          <w:bCs/>
          <w:sz w:val="20"/>
          <w:szCs w:val="20"/>
        </w:rPr>
        <w:t>b</w:t>
      </w:r>
      <w:r w:rsidRPr="0027124E">
        <w:rPr>
          <w:rFonts w:ascii="Palatino Linotype" w:eastAsia="Palatino Linotype" w:hAnsi="Palatino Linotype" w:cs="Palatino Linotype"/>
          <w:sz w:val="20"/>
          <w:szCs w:val="20"/>
        </w:rPr>
        <w:t xml:space="preserve"> spin degenerate bands of Ca</w:t>
      </w:r>
      <w:r w:rsidRPr="0027124E">
        <w:rPr>
          <w:rFonts w:ascii="Palatino Linotype" w:eastAsia="Palatino Linotype" w:hAnsi="Palatino Linotype" w:cs="Palatino Linotype"/>
          <w:sz w:val="20"/>
          <w:szCs w:val="20"/>
          <w:vertAlign w:val="subscript"/>
        </w:rPr>
        <w:t>3</w:t>
      </w:r>
      <w:r w:rsidRPr="0027124E">
        <w:rPr>
          <w:rFonts w:ascii="Palatino Linotype" w:eastAsia="Palatino Linotype" w:hAnsi="Palatino Linotype" w:cs="Palatino Linotype"/>
          <w:sz w:val="20"/>
          <w:szCs w:val="20"/>
        </w:rPr>
        <w:t>Ru</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O</w:t>
      </w:r>
      <w:r w:rsidRPr="0027124E">
        <w:rPr>
          <w:rFonts w:ascii="Palatino Linotype" w:eastAsia="Palatino Linotype" w:hAnsi="Palatino Linotype" w:cs="Palatino Linotype"/>
          <w:sz w:val="20"/>
          <w:szCs w:val="20"/>
          <w:vertAlign w:val="subscript"/>
        </w:rPr>
        <w:t>7</w:t>
      </w:r>
      <w:r w:rsidRPr="0027124E">
        <w:rPr>
          <w:rFonts w:ascii="Palatino Linotype" w:eastAsia="Palatino Linotype" w:hAnsi="Palatino Linotype" w:cs="Palatino Linotype"/>
          <w:sz w:val="20"/>
          <w:szCs w:val="20"/>
        </w:rPr>
        <w:t xml:space="preserve">; </w:t>
      </w:r>
      <w:r w:rsidRPr="0027124E">
        <w:rPr>
          <w:rFonts w:ascii="Palatino Linotype" w:eastAsia="Palatino Linotype" w:hAnsi="Palatino Linotype" w:cs="Palatino Linotype"/>
          <w:b/>
          <w:bCs/>
          <w:sz w:val="20"/>
          <w:szCs w:val="20"/>
        </w:rPr>
        <w:t>c</w:t>
      </w:r>
      <w:r w:rsidRPr="0027124E">
        <w:rPr>
          <w:rFonts w:ascii="Palatino Linotype" w:eastAsia="Palatino Linotype" w:hAnsi="Palatino Linotype" w:cs="Palatino Linotype"/>
          <w:sz w:val="20"/>
          <w:szCs w:val="20"/>
        </w:rPr>
        <w:t xml:space="preserve"> Hidden spin polarization from each individual sector of the lowest two conduction bands (C1 and C2) on </w:t>
      </w:r>
      <m:oMath>
        <m:r>
          <m:rPr>
            <m:sty m:val="p"/>
          </m:rPr>
          <w:rPr>
            <w:rFonts w:ascii="Cambria Math" w:eastAsia="Palatino Linotype" w:hAnsi="Cambria Math" w:cs="Palatino Linotype"/>
            <w:sz w:val="20"/>
            <w:szCs w:val="20"/>
          </w:rPr>
          <m:t>ΓXS</m:t>
        </m:r>
      </m:oMath>
      <w:r w:rsidRPr="0027124E">
        <w:rPr>
          <w:rFonts w:ascii="Palatino Linotype" w:eastAsia="Palatino Linotype" w:hAnsi="Palatino Linotype" w:cs="Palatino Linotype"/>
          <w:sz w:val="20"/>
          <w:szCs w:val="20"/>
        </w:rPr>
        <w:t xml:space="preserve"> k-plane. The up and down spins are mapped to the color from blue to red.</w:t>
      </w:r>
    </w:p>
    <w:p w14:paraId="05B9EDC1" w14:textId="3C4784F2" w:rsidR="00644E71" w:rsidRPr="0027124E" w:rsidRDefault="00644E71" w:rsidP="00B51316">
      <w:pPr>
        <w:spacing w:line="276" w:lineRule="auto"/>
        <w:ind w:firstLine="240"/>
        <w:jc w:val="both"/>
        <w:rPr>
          <w:rFonts w:ascii="Palatino Linotype" w:eastAsia="Palatino Linotype" w:hAnsi="Palatino Linotype" w:cs="Palatino Linotype"/>
          <w:color w:val="000000"/>
          <w:sz w:val="22"/>
          <w:szCs w:val="22"/>
        </w:rPr>
      </w:pPr>
      <w:r w:rsidRPr="0027124E">
        <w:rPr>
          <w:rFonts w:ascii="Palatino Linotype" w:eastAsia="Palatino Linotype" w:hAnsi="Palatino Linotype" w:cs="Palatino Linotype"/>
          <w:color w:val="000000"/>
          <w:sz w:val="22"/>
          <w:szCs w:val="22"/>
        </w:rPr>
        <w:t xml:space="preserve">Figure </w:t>
      </w:r>
      <w:r w:rsidR="00B3717F" w:rsidRPr="0027124E">
        <w:rPr>
          <w:rFonts w:ascii="Palatino Linotype" w:eastAsia="Palatino Linotype" w:hAnsi="Palatino Linotype" w:cs="Palatino Linotype"/>
          <w:color w:val="000000"/>
          <w:sz w:val="22"/>
          <w:szCs w:val="22"/>
        </w:rPr>
        <w:t>S3</w:t>
      </w:r>
      <w:r w:rsidRPr="0027124E">
        <w:rPr>
          <w:rFonts w:ascii="Palatino Linotype" w:eastAsia="Palatino Linotype" w:hAnsi="Palatino Linotype" w:cs="Palatino Linotype"/>
          <w:color w:val="000000"/>
          <w:sz w:val="22"/>
          <w:szCs w:val="22"/>
        </w:rPr>
        <w:t xml:space="preserve"> illustrates the “hidden spin polarization” effect in La</w:t>
      </w:r>
      <w:r w:rsidRPr="0027124E">
        <w:rPr>
          <w:rFonts w:ascii="Palatino Linotype" w:eastAsia="Palatino Linotype" w:hAnsi="Palatino Linotype" w:cs="Palatino Linotype"/>
          <w:color w:val="000000"/>
          <w:sz w:val="22"/>
          <w:szCs w:val="22"/>
          <w:vertAlign w:val="subscript"/>
        </w:rPr>
        <w:t>2</w:t>
      </w:r>
      <w:r w:rsidRPr="0027124E">
        <w:rPr>
          <w:rFonts w:ascii="Palatino Linotype" w:eastAsia="Palatino Linotype" w:hAnsi="Palatino Linotype" w:cs="Palatino Linotype"/>
          <w:color w:val="000000"/>
          <w:sz w:val="22"/>
          <w:szCs w:val="22"/>
        </w:rPr>
        <w:t>NiO</w:t>
      </w:r>
      <w:r w:rsidRPr="0027124E">
        <w:rPr>
          <w:rFonts w:ascii="Palatino Linotype" w:eastAsia="Palatino Linotype" w:hAnsi="Palatino Linotype" w:cs="Palatino Linotype"/>
          <w:color w:val="000000"/>
          <w:sz w:val="22"/>
          <w:szCs w:val="22"/>
          <w:vertAlign w:val="subscript"/>
        </w:rPr>
        <w:t xml:space="preserve">4 </w:t>
      </w:r>
      <w:r w:rsidRPr="0027124E">
        <w:rPr>
          <w:rFonts w:ascii="Palatino Linotype" w:eastAsia="Palatino Linotype" w:hAnsi="Palatino Linotype" w:cs="Palatino Linotype"/>
          <w:color w:val="000000"/>
          <w:sz w:val="22"/>
          <w:szCs w:val="22"/>
        </w:rPr>
        <w:fldChar w:fldCharType="begin"/>
      </w:r>
      <w:r w:rsidR="00457825" w:rsidRPr="0027124E">
        <w:rPr>
          <w:rFonts w:ascii="Palatino Linotype" w:eastAsia="Palatino Linotype" w:hAnsi="Palatino Linotype" w:cs="Palatino Linotype"/>
          <w:color w:val="000000"/>
          <w:sz w:val="22"/>
          <w:szCs w:val="22"/>
        </w:rPr>
        <w:instrText xml:space="preserve"> ADDIN EN.CITE &lt;EndNote&gt;&lt;Cite&gt;&lt;Author&gt;Rodriguez-Carvajal&lt;/Author&gt;&lt;Year&gt;1991&lt;/Year&gt;&lt;RecNum&gt;924&lt;/RecNum&gt;&lt;DisplayText&gt;&lt;style face="superscript"&gt;3&lt;/style&gt;&lt;/DisplayText&gt;&lt;record&gt;&lt;rec-number&gt;924&lt;/rec-number&gt;&lt;foreign-keys&gt;&lt;key app="EN" db-id="5ww02vf0zz0s5uez9dop52zwwsd2tssxwsvr" timestamp="1654022418"&gt;924&lt;/key&gt;&lt;/foreign-keys&gt;&lt;ref-type name="Journal Article"&gt;17&lt;/ref-type&gt;&lt;contributors&gt;&lt;authors&gt;&lt;author&gt;Rodriguez-Carvajal, J.&lt;/author&gt;&lt;author&gt;Fernandez-Diaz, M. T.&lt;/author&gt;&lt;author&gt;Martinez, J. L.&lt;/author&gt;&lt;/authors&gt;&lt;/contributors&gt;&lt;titles&gt;&lt;title&gt;Neutron diffraction study on structural and magnetic properties of La&amp;lt;sub&amp;gt;2&amp;lt;/sub&amp;gt;NiO&amp;lt;sub&amp;gt;4&amp;lt;/sub&amp;gt;&lt;/title&gt;&lt;secondary-title&gt;Journal of Physics: Condensed Matter&lt;/secondary-title&gt;&lt;/titles&gt;&lt;periodical&gt;&lt;full-title&gt;Journal of Physics: Condensed Matter&lt;/full-title&gt;&lt;/periodical&gt;&lt;pages&gt;3215-3234&lt;/pages&gt;&lt;volume&gt;3&lt;/volume&gt;&lt;number&gt;19&lt;/number&gt;&lt;dates&gt;&lt;year&gt;1991&lt;/year&gt;&lt;pub-dates&gt;&lt;date&gt;1991/05/13&lt;/date&gt;&lt;/pub-dates&gt;&lt;/dates&gt;&lt;publisher&gt;IOP Publishing&lt;/publisher&gt;&lt;isbn&gt;0953-8984&amp;#xD;1361-648X&lt;/isbn&gt;&lt;urls&gt;&lt;related-urls&gt;&lt;url&gt;http://dx.doi.org/10.1088/0953-8984/3/19/002&lt;/url&gt;&lt;/related-urls&gt;&lt;/urls&gt;&lt;electronic-resource-num&gt;10.1088/0953-8984/3/19/002&lt;/electronic-resource-num&gt;&lt;/record&gt;&lt;/Cite&gt;&lt;/EndNote&gt;</w:instrText>
      </w:r>
      <w:r w:rsidRPr="0027124E">
        <w:rPr>
          <w:rFonts w:ascii="Palatino Linotype" w:eastAsia="Palatino Linotype" w:hAnsi="Palatino Linotype" w:cs="Palatino Linotype"/>
          <w:color w:val="000000"/>
          <w:sz w:val="22"/>
          <w:szCs w:val="22"/>
        </w:rPr>
        <w:fldChar w:fldCharType="separate"/>
      </w:r>
      <w:r w:rsidR="00457825" w:rsidRPr="0027124E">
        <w:rPr>
          <w:rFonts w:ascii="Palatino Linotype" w:eastAsia="Palatino Linotype" w:hAnsi="Palatino Linotype" w:cs="Palatino Linotype"/>
          <w:noProof/>
          <w:color w:val="000000"/>
          <w:sz w:val="22"/>
          <w:szCs w:val="22"/>
          <w:vertAlign w:val="superscript"/>
        </w:rPr>
        <w:t>3</w:t>
      </w:r>
      <w:r w:rsidRPr="0027124E">
        <w:rPr>
          <w:rFonts w:ascii="Palatino Linotype" w:eastAsia="Palatino Linotype" w:hAnsi="Palatino Linotype" w:cs="Palatino Linotype"/>
          <w:color w:val="000000"/>
          <w:sz w:val="22"/>
          <w:szCs w:val="22"/>
        </w:rPr>
        <w:fldChar w:fldCharType="end"/>
      </w:r>
      <w:r w:rsidRPr="0027124E">
        <w:rPr>
          <w:rFonts w:ascii="Palatino Linotype" w:eastAsia="Palatino Linotype" w:hAnsi="Palatino Linotype" w:cs="Palatino Linotype"/>
          <w:color w:val="000000"/>
          <w:sz w:val="22"/>
          <w:szCs w:val="22"/>
        </w:rPr>
        <w:t xml:space="preserve"> being bulk SST-2 class (MSG: P</w:t>
      </w:r>
      <w:r w:rsidRPr="0027124E">
        <w:rPr>
          <w:rFonts w:ascii="Palatino Linotype" w:eastAsia="Palatino Linotype" w:hAnsi="Palatino Linotype" w:cs="Palatino Linotype"/>
          <w:color w:val="000000"/>
          <w:sz w:val="22"/>
          <w:szCs w:val="22"/>
          <w:vertAlign w:val="subscript"/>
        </w:rPr>
        <w:t>C</w:t>
      </w:r>
      <w:r w:rsidRPr="0027124E">
        <w:rPr>
          <w:rFonts w:ascii="Palatino Linotype" w:eastAsia="Palatino Linotype" w:hAnsi="Palatino Linotype" w:cs="Palatino Linotype"/>
          <w:color w:val="000000"/>
          <w:sz w:val="22"/>
          <w:szCs w:val="22"/>
        </w:rPr>
        <w:t>mna) but made of SST-4 class antiferromagnetic NiO</w:t>
      </w:r>
      <w:r w:rsidRPr="0027124E">
        <w:rPr>
          <w:rFonts w:ascii="Palatino Linotype" w:eastAsia="Palatino Linotype" w:hAnsi="Palatino Linotype" w:cs="Palatino Linotype"/>
          <w:color w:val="000000"/>
          <w:sz w:val="22"/>
          <w:szCs w:val="22"/>
          <w:vertAlign w:val="subscript"/>
        </w:rPr>
        <w:t>6</w:t>
      </w:r>
      <w:r w:rsidRPr="0027124E">
        <w:rPr>
          <w:rFonts w:ascii="Palatino Linotype" w:eastAsia="Palatino Linotype" w:hAnsi="Palatino Linotype" w:cs="Palatino Linotype"/>
          <w:color w:val="000000"/>
          <w:sz w:val="22"/>
          <w:szCs w:val="22"/>
        </w:rPr>
        <w:t xml:space="preserve"> layers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in Fig. </w:t>
      </w:r>
      <w:r w:rsidR="00B3717F" w:rsidRPr="0027124E">
        <w:rPr>
          <w:rFonts w:ascii="Palatino Linotype" w:eastAsia="Palatino Linotype" w:hAnsi="Palatino Linotype" w:cs="Palatino Linotype"/>
          <w:color w:val="000000"/>
          <w:sz w:val="22"/>
          <w:szCs w:val="22"/>
        </w:rPr>
        <w:t>S3</w:t>
      </w:r>
      <w:r w:rsidRPr="0027124E">
        <w:rPr>
          <w:rFonts w:ascii="Palatino Linotype" w:eastAsia="Palatino Linotype" w:hAnsi="Palatino Linotype" w:cs="Palatino Linotype"/>
          <w:color w:val="000000"/>
          <w:sz w:val="22"/>
          <w:szCs w:val="22"/>
        </w:rPr>
        <w:t xml:space="preserve">a). The crystal is antiferromagnetically ordered with its magnetic moments collinearly </w:t>
      </w:r>
      <w:r w:rsidRPr="0027124E">
        <w:rPr>
          <w:rFonts w:ascii="Palatino Linotype" w:eastAsia="Palatino Linotype" w:hAnsi="Palatino Linotype" w:cs="Palatino Linotype"/>
          <w:sz w:val="22"/>
          <w:szCs w:val="22"/>
        </w:rPr>
        <w:t>aligned</w:t>
      </w:r>
      <w:r w:rsidRPr="0027124E">
        <w:rPr>
          <w:rFonts w:ascii="Palatino Linotype" w:eastAsia="Palatino Linotype" w:hAnsi="Palatino Linotype" w:cs="Palatino Linotype"/>
          <w:color w:val="000000"/>
          <w:sz w:val="22"/>
          <w:szCs w:val="22"/>
        </w:rPr>
        <w:t xml:space="preserve"> in (100) direction. The two ferromagnetically ordered Ru</w:t>
      </w:r>
      <w:r w:rsidRPr="0027124E">
        <w:rPr>
          <w:rFonts w:ascii="Palatino Linotype" w:eastAsia="Palatino Linotype" w:hAnsi="Palatino Linotype" w:cs="Palatino Linotype"/>
          <w:color w:val="000000"/>
          <w:sz w:val="22"/>
          <w:szCs w:val="22"/>
          <w:vertAlign w:val="subscript"/>
        </w:rPr>
        <w:t>2</w:t>
      </w:r>
      <w:r w:rsidRPr="0027124E">
        <w:rPr>
          <w:rFonts w:ascii="Palatino Linotype" w:eastAsia="Palatino Linotype" w:hAnsi="Palatino Linotype" w:cs="Palatino Linotype"/>
          <w:color w:val="000000"/>
          <w:sz w:val="22"/>
          <w:szCs w:val="22"/>
        </w:rPr>
        <w:t>O</w:t>
      </w:r>
      <w:r w:rsidRPr="0027124E">
        <w:rPr>
          <w:rFonts w:ascii="Palatino Linotype" w:eastAsia="Palatino Linotype" w:hAnsi="Palatino Linotype" w:cs="Palatino Linotype"/>
          <w:color w:val="000000"/>
          <w:sz w:val="22"/>
          <w:szCs w:val="22"/>
          <w:vertAlign w:val="subscript"/>
        </w:rPr>
        <w:t>7</w:t>
      </w:r>
      <w:r w:rsidRPr="0027124E">
        <w:rPr>
          <w:rFonts w:ascii="Palatino Linotype" w:eastAsia="Palatino Linotype" w:hAnsi="Palatino Linotype" w:cs="Palatino Linotype"/>
          <w:color w:val="000000"/>
          <w:sz w:val="22"/>
          <w:szCs w:val="22"/>
        </w:rPr>
        <w:t xml:space="preserve"> sectors are connected by both the </w:t>
      </w:r>
      <m:oMath>
        <m:r>
          <w:rPr>
            <w:rFonts w:ascii="Cambria Math" w:hAnsi="Cambria Math"/>
          </w:rPr>
          <m:t>Θ</m:t>
        </m:r>
        <m:r>
          <w:rPr>
            <w:rFonts w:ascii="Cambria Math" w:eastAsia="Cambria Math" w:hAnsi="Cambria Math" w:cs="Cambria Math"/>
            <w:color w:val="000000"/>
            <w:sz w:val="22"/>
            <w:szCs w:val="22"/>
          </w:rPr>
          <m:t>IT</m:t>
        </m:r>
      </m:oMath>
      <w:r w:rsidRPr="0027124E">
        <w:rPr>
          <w:rFonts w:ascii="Palatino Linotype" w:eastAsia="Palatino Linotype" w:hAnsi="Palatino Linotype" w:cs="Palatino Linotype"/>
          <w:color w:val="000000"/>
          <w:sz w:val="22"/>
          <w:szCs w:val="22"/>
        </w:rPr>
        <w:t xml:space="preserve"> and </w:t>
      </w:r>
      <m:oMath>
        <m:r>
          <w:rPr>
            <w:rFonts w:ascii="Cambria Math" w:eastAsia="Cambria Math" w:hAnsi="Cambria Math" w:cs="Cambria Math"/>
            <w:color w:val="000000"/>
            <w:sz w:val="22"/>
            <w:szCs w:val="22"/>
          </w:rPr>
          <m:t>UT</m:t>
        </m:r>
      </m:oMath>
      <w:r w:rsidRPr="0027124E">
        <w:rPr>
          <w:rFonts w:ascii="Palatino Linotype" w:eastAsia="Palatino Linotype" w:hAnsi="Palatino Linotype" w:cs="Palatino Linotype"/>
          <w:color w:val="000000"/>
          <w:sz w:val="22"/>
          <w:szCs w:val="22"/>
        </w:rPr>
        <w:t xml:space="preserve"> symmetry which restores the spin degeneracy of the bulk and results in a compensated net spin polarization (Fig. </w:t>
      </w:r>
      <w:r w:rsidR="00B3717F" w:rsidRPr="0027124E">
        <w:rPr>
          <w:rFonts w:ascii="Palatino Linotype" w:eastAsia="Palatino Linotype" w:hAnsi="Palatino Linotype" w:cs="Palatino Linotype"/>
          <w:color w:val="000000"/>
          <w:sz w:val="22"/>
          <w:szCs w:val="22"/>
        </w:rPr>
        <w:t>S3</w:t>
      </w:r>
      <w:r w:rsidRPr="0027124E">
        <w:rPr>
          <w:rFonts w:ascii="Palatino Linotype" w:eastAsia="Palatino Linotype" w:hAnsi="Palatino Linotype" w:cs="Palatino Linotype"/>
          <w:color w:val="000000"/>
          <w:sz w:val="22"/>
          <w:szCs w:val="22"/>
        </w:rPr>
        <w:t>b). However, the corresponding spin polarization for the top two valence bands (V1</w:t>
      </w:r>
      <w:r w:rsidR="00D23605" w:rsidRPr="0027124E">
        <w:rPr>
          <w:rFonts w:ascii="Palatino Linotype" w:eastAsia="Palatino Linotype" w:hAnsi="Palatino Linotype" w:cs="Palatino Linotype"/>
          <w:color w:val="000000"/>
          <w:sz w:val="22"/>
          <w:szCs w:val="22"/>
        </w:rPr>
        <w:t xml:space="preserve"> and </w:t>
      </w:r>
      <w:r w:rsidRPr="0027124E">
        <w:rPr>
          <w:rFonts w:ascii="Palatino Linotype" w:eastAsia="Palatino Linotype" w:hAnsi="Palatino Linotype" w:cs="Palatino Linotype"/>
          <w:color w:val="000000"/>
          <w:sz w:val="22"/>
          <w:szCs w:val="22"/>
        </w:rPr>
        <w:t xml:space="preserve">V2) projected onto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(hidden spin polarization), shown in Fig. </w:t>
      </w:r>
      <w:r w:rsidR="00B3717F" w:rsidRPr="0027124E">
        <w:rPr>
          <w:rFonts w:ascii="Palatino Linotype" w:eastAsia="Palatino Linotype" w:hAnsi="Palatino Linotype" w:cs="Palatino Linotype"/>
          <w:color w:val="000000"/>
          <w:sz w:val="22"/>
          <w:szCs w:val="22"/>
        </w:rPr>
        <w:t>S3</w:t>
      </w:r>
      <w:r w:rsidRPr="0027124E">
        <w:rPr>
          <w:rFonts w:ascii="Palatino Linotype" w:eastAsia="Palatino Linotype" w:hAnsi="Palatino Linotype" w:cs="Palatino Linotype"/>
          <w:color w:val="000000"/>
          <w:sz w:val="22"/>
          <w:szCs w:val="22"/>
        </w:rPr>
        <w:t>c, are nonzero and compensate each other.</w:t>
      </w:r>
    </w:p>
    <w:p w14:paraId="48E2B4D8" w14:textId="6A802423" w:rsidR="00644E71" w:rsidRPr="0027124E" w:rsidRDefault="00B51316" w:rsidP="00644E71">
      <w:pPr>
        <w:spacing w:line="276" w:lineRule="auto"/>
        <w:jc w:val="both"/>
        <w:rPr>
          <w:rFonts w:ascii="Calibri" w:eastAsia="Calibri" w:hAnsi="Calibri" w:cs="Calibri"/>
        </w:rPr>
      </w:pPr>
      <w:r w:rsidRPr="0027124E">
        <w:rPr>
          <w:rFonts w:ascii="Calibri" w:eastAsia="Calibri" w:hAnsi="Calibri" w:cs="Calibri"/>
          <w:noProof/>
        </w:rPr>
        <w:drawing>
          <wp:inline distT="0" distB="0" distL="0" distR="0" wp14:anchorId="50F73EFC" wp14:editId="122F1C42">
            <wp:extent cx="5943600" cy="213804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138045"/>
                    </a:xfrm>
                    <a:prstGeom prst="rect">
                      <a:avLst/>
                    </a:prstGeom>
                  </pic:spPr>
                </pic:pic>
              </a:graphicData>
            </a:graphic>
          </wp:inline>
        </w:drawing>
      </w:r>
    </w:p>
    <w:p w14:paraId="3C4090FF" w14:textId="5361C5E0" w:rsidR="00644E71" w:rsidRPr="0027124E" w:rsidRDefault="00644E71" w:rsidP="00644E71">
      <w:pPr>
        <w:spacing w:line="276" w:lineRule="auto"/>
        <w:jc w:val="both"/>
        <w:rPr>
          <w:rFonts w:ascii="Palatino Linotype" w:eastAsia="Palatino Linotype" w:hAnsi="Palatino Linotype" w:cs="Palatino Linotype"/>
          <w:sz w:val="20"/>
          <w:szCs w:val="20"/>
        </w:rPr>
      </w:pPr>
      <w:r w:rsidRPr="0027124E">
        <w:rPr>
          <w:rFonts w:ascii="Palatino Linotype" w:eastAsia="Palatino Linotype" w:hAnsi="Palatino Linotype" w:cs="Palatino Linotype"/>
          <w:b/>
          <w:sz w:val="20"/>
          <w:szCs w:val="20"/>
        </w:rPr>
        <w:t xml:space="preserve">Figure </w:t>
      </w:r>
      <w:r w:rsidR="00B3717F" w:rsidRPr="0027124E">
        <w:rPr>
          <w:rFonts w:ascii="Palatino Linotype" w:eastAsia="Palatino Linotype" w:hAnsi="Palatino Linotype" w:cs="Palatino Linotype"/>
          <w:b/>
          <w:sz w:val="20"/>
          <w:szCs w:val="20"/>
        </w:rPr>
        <w:t>S3</w:t>
      </w:r>
      <w:r w:rsidRPr="0027124E">
        <w:rPr>
          <w:rFonts w:ascii="Palatino Linotype" w:eastAsia="Palatino Linotype" w:hAnsi="Palatino Linotype" w:cs="Palatino Linotype"/>
          <w:b/>
          <w:sz w:val="20"/>
          <w:szCs w:val="20"/>
        </w:rPr>
        <w:t>: Hidden spin polarization from individual antiferromagnetic sectors in b</w:t>
      </w:r>
      <w:r w:rsidRPr="0027124E">
        <w:rPr>
          <w:rFonts w:ascii="Palatino Linotype" w:eastAsia="Palatino Linotype" w:hAnsi="Palatino Linotype" w:cs="Palatino Linotype"/>
          <w:b/>
          <w:color w:val="000000"/>
          <w:sz w:val="20"/>
          <w:szCs w:val="20"/>
        </w:rPr>
        <w:t xml:space="preserve">ulk </w:t>
      </w:r>
      <w:r w:rsidRPr="0027124E">
        <w:rPr>
          <w:rFonts w:ascii="Palatino Linotype" w:eastAsia="Palatino Linotype" w:hAnsi="Palatino Linotype" w:cs="Palatino Linotype"/>
          <w:b/>
          <w:sz w:val="20"/>
          <w:szCs w:val="20"/>
        </w:rPr>
        <w:t>La</w:t>
      </w:r>
      <w:r w:rsidRPr="0027124E">
        <w:rPr>
          <w:rFonts w:ascii="Palatino Linotype" w:eastAsia="Palatino Linotype" w:hAnsi="Palatino Linotype" w:cs="Palatino Linotype"/>
          <w:b/>
          <w:sz w:val="20"/>
          <w:szCs w:val="20"/>
          <w:vertAlign w:val="subscript"/>
        </w:rPr>
        <w:t>2</w:t>
      </w:r>
      <w:r w:rsidRPr="0027124E">
        <w:rPr>
          <w:rFonts w:ascii="Palatino Linotype" w:eastAsia="Palatino Linotype" w:hAnsi="Palatino Linotype" w:cs="Palatino Linotype"/>
          <w:b/>
          <w:sz w:val="20"/>
          <w:szCs w:val="20"/>
        </w:rPr>
        <w:t>NiO</w:t>
      </w:r>
      <w:r w:rsidRPr="0027124E">
        <w:rPr>
          <w:rFonts w:ascii="Palatino Linotype" w:eastAsia="Palatino Linotype" w:hAnsi="Palatino Linotype" w:cs="Palatino Linotype"/>
          <w:b/>
          <w:sz w:val="20"/>
          <w:szCs w:val="20"/>
          <w:vertAlign w:val="subscript"/>
        </w:rPr>
        <w:t>4</w:t>
      </w:r>
      <w:r w:rsidRPr="0027124E">
        <w:rPr>
          <w:rFonts w:ascii="Palatino Linotype" w:eastAsia="Palatino Linotype" w:hAnsi="Palatino Linotype" w:cs="Palatino Linotype"/>
          <w:b/>
          <w:color w:val="000000"/>
          <w:sz w:val="20"/>
          <w:szCs w:val="20"/>
        </w:rPr>
        <w:t xml:space="preserve"> </w:t>
      </w:r>
      <w:r w:rsidRPr="0027124E">
        <w:rPr>
          <w:rFonts w:ascii="Palatino Linotype" w:eastAsia="Palatino Linotype" w:hAnsi="Palatino Linotype" w:cs="Palatino Linotype"/>
          <w:b/>
          <w:sz w:val="20"/>
          <w:szCs w:val="20"/>
        </w:rPr>
        <w:t>(bulk belonging to SST-2 class with sector belonging to SST-4 class)</w:t>
      </w:r>
      <w:r w:rsidRPr="0027124E">
        <w:rPr>
          <w:rFonts w:ascii="Palatino Linotype" w:eastAsia="Palatino Linotype" w:hAnsi="Palatino Linotype" w:cs="Palatino Linotype"/>
          <w:b/>
          <w:color w:val="000000"/>
          <w:sz w:val="20"/>
          <w:szCs w:val="20"/>
        </w:rPr>
        <w:t>.</w:t>
      </w:r>
      <w:r w:rsidRPr="0027124E">
        <w:rPr>
          <w:rFonts w:ascii="Palatino Linotype" w:eastAsia="Palatino Linotype" w:hAnsi="Palatino Linotype" w:cs="Palatino Linotype"/>
          <w:sz w:val="20"/>
          <w:szCs w:val="20"/>
        </w:rPr>
        <w:t xml:space="preserve"> </w:t>
      </w:r>
      <w:r w:rsidRPr="0027124E">
        <w:rPr>
          <w:rFonts w:ascii="Palatino Linotype" w:eastAsia="Palatino Linotype" w:hAnsi="Palatino Linotype" w:cs="Palatino Linotype"/>
          <w:b/>
          <w:bCs/>
          <w:sz w:val="20"/>
          <w:szCs w:val="20"/>
        </w:rPr>
        <w:t>a</w:t>
      </w:r>
      <w:r w:rsidRPr="0027124E">
        <w:rPr>
          <w:rFonts w:ascii="Palatino Linotype" w:eastAsia="Palatino Linotype" w:hAnsi="Palatino Linotype" w:cs="Palatino Linotype"/>
          <w:sz w:val="20"/>
          <w:szCs w:val="20"/>
        </w:rPr>
        <w:t xml:space="preserve"> crystal structure of antiferromagnetic </w:t>
      </w:r>
      <w:r w:rsidRPr="0027124E">
        <w:rPr>
          <w:rFonts w:ascii="Palatino Linotype" w:eastAsia="Palatino Linotype" w:hAnsi="Palatino Linotype" w:cs="Palatino Linotype"/>
          <w:sz w:val="20"/>
          <w:szCs w:val="20"/>
        </w:rPr>
        <w:lastRenderedPageBreak/>
        <w:t>La</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NiO</w:t>
      </w:r>
      <w:r w:rsidRPr="0027124E">
        <w:rPr>
          <w:rFonts w:ascii="Palatino Linotype" w:eastAsia="Palatino Linotype" w:hAnsi="Palatino Linotype" w:cs="Palatino Linotype"/>
          <w:sz w:val="20"/>
          <w:szCs w:val="20"/>
          <w:vertAlign w:val="subscript"/>
        </w:rPr>
        <w:t>4</w:t>
      </w:r>
      <w:r w:rsidRPr="0027124E">
        <w:rPr>
          <w:rFonts w:ascii="Palatino Linotype" w:eastAsia="Palatino Linotype" w:hAnsi="Palatino Linotype" w:cs="Palatino Linotype"/>
          <w:sz w:val="20"/>
          <w:szCs w:val="20"/>
        </w:rPr>
        <w:t xml:space="preserve"> composed of two antiferromagnetic sectors with opposite magnetic ordering (the magnetic ordering are indicated by red and blue polynomials) in the unit cell. The two layers are referred as sector-</w:t>
      </w:r>
      <m:oMath>
        <m:r>
          <w:rPr>
            <w:rFonts w:ascii="Cambria Math" w:hAnsi="Cambria Math"/>
          </w:rPr>
          <m:t>α</m:t>
        </m:r>
      </m:oMath>
      <w:r w:rsidRPr="0027124E">
        <w:rPr>
          <w:rFonts w:ascii="Palatino Linotype" w:eastAsia="Palatino Linotype" w:hAnsi="Palatino Linotype" w:cs="Palatino Linotype"/>
          <w:sz w:val="20"/>
          <w:szCs w:val="20"/>
        </w:rPr>
        <w:t xml:space="preserve"> and sector-</w:t>
      </w:r>
      <m:oMath>
        <m:r>
          <w:rPr>
            <w:rFonts w:ascii="Cambria Math" w:hAnsi="Cambria Math"/>
          </w:rPr>
          <m:t>β</m:t>
        </m:r>
      </m:oMath>
      <w:r w:rsidRPr="0027124E">
        <w:rPr>
          <w:rFonts w:ascii="Palatino Linotype" w:eastAsia="Palatino Linotype" w:hAnsi="Palatino Linotype" w:cs="Palatino Linotype"/>
          <w:sz w:val="20"/>
          <w:szCs w:val="20"/>
        </w:rPr>
        <w:t xml:space="preserve">, respectively; </w:t>
      </w:r>
      <w:r w:rsidRPr="0027124E">
        <w:rPr>
          <w:rFonts w:ascii="Palatino Linotype" w:eastAsia="Palatino Linotype" w:hAnsi="Palatino Linotype" w:cs="Palatino Linotype"/>
          <w:b/>
          <w:bCs/>
          <w:sz w:val="20"/>
          <w:szCs w:val="20"/>
        </w:rPr>
        <w:t>b</w:t>
      </w:r>
      <w:r w:rsidRPr="0027124E">
        <w:rPr>
          <w:rFonts w:ascii="Palatino Linotype" w:eastAsia="Palatino Linotype" w:hAnsi="Palatino Linotype" w:cs="Palatino Linotype"/>
          <w:sz w:val="20"/>
          <w:szCs w:val="20"/>
        </w:rPr>
        <w:t xml:space="preserve"> spin degenerate bands of La</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NiO</w:t>
      </w:r>
      <w:r w:rsidRPr="0027124E">
        <w:rPr>
          <w:rFonts w:ascii="Palatino Linotype" w:eastAsia="Palatino Linotype" w:hAnsi="Palatino Linotype" w:cs="Palatino Linotype"/>
          <w:sz w:val="20"/>
          <w:szCs w:val="20"/>
          <w:vertAlign w:val="subscript"/>
        </w:rPr>
        <w:t>4</w:t>
      </w:r>
      <w:r w:rsidRPr="0027124E">
        <w:rPr>
          <w:rFonts w:ascii="Palatino Linotype" w:eastAsia="Palatino Linotype" w:hAnsi="Palatino Linotype" w:cs="Palatino Linotype"/>
          <w:sz w:val="20"/>
          <w:szCs w:val="20"/>
        </w:rPr>
        <w:t xml:space="preserve">. </w:t>
      </w:r>
      <w:r w:rsidRPr="0027124E">
        <w:rPr>
          <w:rFonts w:ascii="Palatino Linotype" w:eastAsia="Palatino Linotype" w:hAnsi="Palatino Linotype" w:cs="Palatino Linotype"/>
          <w:b/>
          <w:bCs/>
          <w:sz w:val="20"/>
          <w:szCs w:val="20"/>
        </w:rPr>
        <w:t>c</w:t>
      </w:r>
      <w:r w:rsidRPr="0027124E">
        <w:rPr>
          <w:rFonts w:ascii="Palatino Linotype" w:eastAsia="Palatino Linotype" w:hAnsi="Palatino Linotype" w:cs="Palatino Linotype"/>
          <w:sz w:val="20"/>
          <w:szCs w:val="20"/>
        </w:rPr>
        <w:t xml:space="preserve"> Hidden spin polarization from each individual sector of the highest two valence bands (V1 and V2) on</w:t>
      </w:r>
      <w:r w:rsidRPr="0027124E">
        <w:rPr>
          <w:rFonts w:ascii="Palatino Linotype" w:eastAsia="Palatino Linotype" w:hAnsi="Palatino Linotype" w:cs="Palatino Linotype"/>
          <w:iCs/>
          <w:sz w:val="20"/>
          <w:szCs w:val="20"/>
        </w:rPr>
        <w:t xml:space="preserve"> </w:t>
      </w:r>
      <m:oMath>
        <m:r>
          <m:rPr>
            <m:sty m:val="p"/>
          </m:rPr>
          <w:rPr>
            <w:rFonts w:ascii="Cambria Math" w:eastAsia="Palatino Linotype" w:hAnsi="Cambria Math" w:cs="Palatino Linotype"/>
            <w:sz w:val="20"/>
            <w:szCs w:val="20"/>
          </w:rPr>
          <m:t>ΓYT</m:t>
        </m:r>
      </m:oMath>
      <w:r w:rsidRPr="0027124E">
        <w:rPr>
          <w:rFonts w:ascii="Palatino Linotype" w:eastAsia="Palatino Linotype" w:hAnsi="Palatino Linotype" w:cs="Palatino Linotype"/>
          <w:sz w:val="20"/>
          <w:szCs w:val="20"/>
        </w:rPr>
        <w:t xml:space="preserve"> k-plane. The up and down spins are mapped to the color from blue to red.</w:t>
      </w:r>
    </w:p>
    <w:p w14:paraId="140747E7" w14:textId="77777777" w:rsidR="00644E71" w:rsidRPr="0027124E" w:rsidRDefault="00644E71" w:rsidP="00644E71">
      <w:pPr>
        <w:spacing w:line="276" w:lineRule="auto"/>
        <w:jc w:val="both"/>
        <w:rPr>
          <w:rFonts w:ascii="Calibri" w:eastAsia="Calibri" w:hAnsi="Calibri" w:cs="Calibri"/>
          <w:b/>
        </w:rPr>
      </w:pPr>
    </w:p>
    <w:p w14:paraId="6D2A602A" w14:textId="386DF72A" w:rsidR="000D314C" w:rsidRPr="0027124E" w:rsidRDefault="00644E71" w:rsidP="00B51316">
      <w:pPr>
        <w:spacing w:line="276" w:lineRule="auto"/>
        <w:ind w:firstLine="240"/>
        <w:jc w:val="both"/>
        <w:rPr>
          <w:rFonts w:ascii="Palatino Linotype" w:eastAsia="Palatino Linotype" w:hAnsi="Palatino Linotype" w:cs="Palatino Linotype"/>
          <w:color w:val="000000"/>
          <w:sz w:val="22"/>
          <w:szCs w:val="22"/>
        </w:rPr>
      </w:pPr>
      <w:r w:rsidRPr="0027124E">
        <w:rPr>
          <w:rFonts w:ascii="Palatino Linotype" w:eastAsia="Palatino Linotype" w:hAnsi="Palatino Linotype" w:cs="Palatino Linotype"/>
          <w:color w:val="000000"/>
          <w:sz w:val="22"/>
          <w:szCs w:val="22"/>
        </w:rPr>
        <w:t xml:space="preserve">Figure </w:t>
      </w:r>
      <w:r w:rsidR="00B3717F" w:rsidRPr="0027124E">
        <w:rPr>
          <w:rFonts w:ascii="Palatino Linotype" w:eastAsia="Palatino Linotype" w:hAnsi="Palatino Linotype" w:cs="Palatino Linotype"/>
          <w:color w:val="000000"/>
          <w:sz w:val="22"/>
          <w:szCs w:val="22"/>
        </w:rPr>
        <w:t>S4</w:t>
      </w:r>
      <w:r w:rsidRPr="0027124E">
        <w:rPr>
          <w:rFonts w:ascii="Palatino Linotype" w:eastAsia="Palatino Linotype" w:hAnsi="Palatino Linotype" w:cs="Palatino Linotype"/>
          <w:color w:val="000000"/>
          <w:sz w:val="22"/>
          <w:szCs w:val="22"/>
        </w:rPr>
        <w:t xml:space="preserve"> illustrates the “hidden spin polarization” effect in MnS</w:t>
      </w:r>
      <w:r w:rsidRPr="0027124E">
        <w:rPr>
          <w:rFonts w:ascii="Palatino Linotype" w:eastAsia="Palatino Linotype" w:hAnsi="Palatino Linotype" w:cs="Palatino Linotype"/>
          <w:color w:val="000000"/>
          <w:sz w:val="22"/>
          <w:szCs w:val="22"/>
          <w:vertAlign w:val="subscript"/>
        </w:rPr>
        <w:t>2</w:t>
      </w:r>
      <w:r w:rsidRPr="0027124E">
        <w:rPr>
          <w:rFonts w:ascii="Palatino Linotype" w:eastAsia="Palatino Linotype" w:hAnsi="Palatino Linotype" w:cs="Palatino Linotype"/>
          <w:color w:val="000000"/>
          <w:sz w:val="22"/>
          <w:szCs w:val="22"/>
        </w:rPr>
        <w:t xml:space="preserve"> </w:t>
      </w:r>
      <w:r w:rsidRPr="0027124E">
        <w:rPr>
          <w:rFonts w:ascii="Palatino Linotype" w:eastAsia="Palatino Linotype" w:hAnsi="Palatino Linotype" w:cs="Palatino Linotype"/>
          <w:color w:val="000000"/>
          <w:sz w:val="22"/>
          <w:szCs w:val="22"/>
        </w:rPr>
        <w:fldChar w:fldCharType="begin"/>
      </w:r>
      <w:r w:rsidR="00457825" w:rsidRPr="0027124E">
        <w:rPr>
          <w:rFonts w:ascii="Palatino Linotype" w:eastAsia="Palatino Linotype" w:hAnsi="Palatino Linotype" w:cs="Palatino Linotype"/>
          <w:color w:val="000000"/>
          <w:sz w:val="22"/>
          <w:szCs w:val="22"/>
        </w:rPr>
        <w:instrText xml:space="preserve"> ADDIN EN.CITE &lt;EndNote&gt;&lt;Cite&gt;&lt;Author&gt;Corliss&lt;/Author&gt;&lt;Year&gt;1958&lt;/Year&gt;&lt;RecNum&gt;923&lt;/RecNum&gt;&lt;DisplayText&gt;&lt;style face="superscript"&gt;4&lt;/style&gt;&lt;/DisplayText&gt;&lt;record&gt;&lt;rec-number&gt;923&lt;/rec-number&gt;&lt;foreign-keys&gt;&lt;key app="EN" db-id="5ww02vf0zz0s5uez9dop52zwwsd2tssxwsvr" timestamp="1654022352"&gt;923&lt;/key&gt;&lt;/foreign-keys&gt;&lt;ref-type name="Journal Article"&gt;17&lt;/ref-type&gt;&lt;contributors&gt;&lt;authors&gt;&lt;author&gt;Corliss, L. M.&lt;/author&gt;&lt;author&gt;Elliott, N.&lt;/author&gt;&lt;author&gt;Hastings, J. M.&lt;/author&gt;&lt;/authors&gt;&lt;/contributors&gt;&lt;titles&gt;&lt;title&gt;Antiferromagnetic Structures of MnS2, MnSe2, and MnTe2&lt;/title&gt;&lt;secondary-title&gt;Journal of Applied Physics&lt;/secondary-title&gt;&lt;/titles&gt;&lt;periodical&gt;&lt;full-title&gt;Journal of applied physics&lt;/full-title&gt;&lt;/periodical&gt;&lt;pages&gt;391-392&lt;/pages&gt;&lt;volume&gt;29&lt;/volume&gt;&lt;number&gt;3&lt;/number&gt;&lt;dates&gt;&lt;year&gt;1958&lt;/year&gt;&lt;pub-dates&gt;&lt;date&gt;1958/03/01&lt;/date&gt;&lt;/pub-dates&gt;&lt;/dates&gt;&lt;publisher&gt;American Institute of Physics&lt;/publisher&gt;&lt;isbn&gt;0021-8979&lt;/isbn&gt;&lt;urls&gt;&lt;related-urls&gt;&lt;url&gt;https://doi.org/10.1063/1.1723149&lt;/url&gt;&lt;/related-urls&gt;&lt;/urls&gt;&lt;electronic-resource-num&gt;10.1063/1.1723149&lt;/electronic-resource-num&gt;&lt;access-date&gt;2022/05/31&lt;/access-date&gt;&lt;/record&gt;&lt;/Cite&gt;&lt;/EndNote&gt;</w:instrText>
      </w:r>
      <w:r w:rsidRPr="0027124E">
        <w:rPr>
          <w:rFonts w:ascii="Palatino Linotype" w:eastAsia="Palatino Linotype" w:hAnsi="Palatino Linotype" w:cs="Palatino Linotype"/>
          <w:color w:val="000000"/>
          <w:sz w:val="22"/>
          <w:szCs w:val="22"/>
        </w:rPr>
        <w:fldChar w:fldCharType="separate"/>
      </w:r>
      <w:r w:rsidR="00457825" w:rsidRPr="0027124E">
        <w:rPr>
          <w:rFonts w:ascii="Palatino Linotype" w:eastAsia="Palatino Linotype" w:hAnsi="Palatino Linotype" w:cs="Palatino Linotype"/>
          <w:noProof/>
          <w:color w:val="000000"/>
          <w:sz w:val="22"/>
          <w:szCs w:val="22"/>
          <w:vertAlign w:val="superscript"/>
        </w:rPr>
        <w:t>4</w:t>
      </w:r>
      <w:r w:rsidRPr="0027124E">
        <w:rPr>
          <w:rFonts w:ascii="Palatino Linotype" w:eastAsia="Palatino Linotype" w:hAnsi="Palatino Linotype" w:cs="Palatino Linotype"/>
          <w:color w:val="000000"/>
          <w:sz w:val="22"/>
          <w:szCs w:val="22"/>
        </w:rPr>
        <w:fldChar w:fldCharType="end"/>
      </w:r>
      <w:r w:rsidRPr="0027124E">
        <w:rPr>
          <w:rFonts w:ascii="Palatino Linotype" w:eastAsia="Palatino Linotype" w:hAnsi="Palatino Linotype" w:cs="Palatino Linotype"/>
          <w:color w:val="000000"/>
          <w:sz w:val="22"/>
          <w:szCs w:val="22"/>
        </w:rPr>
        <w:t xml:space="preserve"> being bulk SST-3 class (MSG: P</w:t>
      </w:r>
      <w:r w:rsidRPr="0027124E">
        <w:rPr>
          <w:rFonts w:ascii="Palatino Linotype" w:eastAsia="Palatino Linotype" w:hAnsi="Palatino Linotype" w:cs="Palatino Linotype"/>
          <w:color w:val="000000"/>
          <w:sz w:val="22"/>
          <w:szCs w:val="22"/>
          <w:vertAlign w:val="subscript"/>
        </w:rPr>
        <w:t>C</w:t>
      </w:r>
      <w:r w:rsidRPr="0027124E">
        <w:rPr>
          <w:rFonts w:ascii="Palatino Linotype" w:eastAsia="Palatino Linotype" w:hAnsi="Palatino Linotype" w:cs="Palatino Linotype"/>
          <w:color w:val="000000"/>
          <w:sz w:val="22"/>
          <w:szCs w:val="22"/>
        </w:rPr>
        <w:t>mna) but made of SST-4 class antiferromagnetic MnS</w:t>
      </w:r>
      <w:r w:rsidRPr="0027124E">
        <w:rPr>
          <w:rFonts w:ascii="Palatino Linotype" w:eastAsia="Palatino Linotype" w:hAnsi="Palatino Linotype" w:cs="Palatino Linotype"/>
          <w:color w:val="000000"/>
          <w:sz w:val="22"/>
          <w:szCs w:val="22"/>
          <w:vertAlign w:val="subscript"/>
        </w:rPr>
        <w:t>6</w:t>
      </w:r>
      <w:r w:rsidRPr="0027124E">
        <w:rPr>
          <w:rFonts w:ascii="Palatino Linotype" w:eastAsia="Palatino Linotype" w:hAnsi="Palatino Linotype" w:cs="Palatino Linotype"/>
          <w:color w:val="000000"/>
          <w:sz w:val="22"/>
          <w:szCs w:val="22"/>
        </w:rPr>
        <w:t xml:space="preserve"> layers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in Fig. </w:t>
      </w:r>
      <w:r w:rsidR="00B3717F" w:rsidRPr="0027124E">
        <w:rPr>
          <w:rFonts w:ascii="Palatino Linotype" w:eastAsia="Palatino Linotype" w:hAnsi="Palatino Linotype" w:cs="Palatino Linotype"/>
          <w:color w:val="000000"/>
          <w:sz w:val="22"/>
          <w:szCs w:val="22"/>
        </w:rPr>
        <w:t>S4</w:t>
      </w:r>
      <w:r w:rsidRPr="0027124E">
        <w:rPr>
          <w:rFonts w:ascii="Palatino Linotype" w:eastAsia="Palatino Linotype" w:hAnsi="Palatino Linotype" w:cs="Palatino Linotype"/>
          <w:color w:val="000000"/>
          <w:sz w:val="22"/>
          <w:szCs w:val="22"/>
        </w:rPr>
        <w:t>a). The crystal is antiferromagnetically ordered with its magnetic moments collinearly align</w:t>
      </w:r>
      <w:r w:rsidR="000D314C" w:rsidRPr="0027124E">
        <w:rPr>
          <w:rFonts w:ascii="Palatino Linotype" w:eastAsia="Palatino Linotype" w:hAnsi="Palatino Linotype" w:cs="Palatino Linotype"/>
          <w:color w:val="000000"/>
          <w:sz w:val="22"/>
          <w:szCs w:val="22"/>
        </w:rPr>
        <w:t>ed</w:t>
      </w:r>
      <w:r w:rsidRPr="0027124E">
        <w:rPr>
          <w:rFonts w:ascii="Palatino Linotype" w:eastAsia="Palatino Linotype" w:hAnsi="Palatino Linotype" w:cs="Palatino Linotype"/>
          <w:color w:val="000000"/>
          <w:sz w:val="22"/>
          <w:szCs w:val="22"/>
        </w:rPr>
        <w:t xml:space="preserve"> in (010) direction. The two ferromagnetically ordered Ru</w:t>
      </w:r>
      <w:r w:rsidRPr="0027124E">
        <w:rPr>
          <w:rFonts w:ascii="Palatino Linotype" w:eastAsia="Palatino Linotype" w:hAnsi="Palatino Linotype" w:cs="Palatino Linotype"/>
          <w:color w:val="000000"/>
          <w:sz w:val="22"/>
          <w:szCs w:val="22"/>
          <w:vertAlign w:val="subscript"/>
        </w:rPr>
        <w:t>2</w:t>
      </w:r>
      <w:r w:rsidRPr="0027124E">
        <w:rPr>
          <w:rFonts w:ascii="Palatino Linotype" w:eastAsia="Palatino Linotype" w:hAnsi="Palatino Linotype" w:cs="Palatino Linotype"/>
          <w:color w:val="000000"/>
          <w:sz w:val="22"/>
          <w:szCs w:val="22"/>
        </w:rPr>
        <w:t>O</w:t>
      </w:r>
      <w:r w:rsidRPr="0027124E">
        <w:rPr>
          <w:rFonts w:ascii="Palatino Linotype" w:eastAsia="Palatino Linotype" w:hAnsi="Palatino Linotype" w:cs="Palatino Linotype"/>
          <w:color w:val="000000"/>
          <w:sz w:val="22"/>
          <w:szCs w:val="22"/>
          <w:vertAlign w:val="subscript"/>
        </w:rPr>
        <w:t>7</w:t>
      </w:r>
      <w:r w:rsidRPr="0027124E">
        <w:rPr>
          <w:rFonts w:ascii="Palatino Linotype" w:eastAsia="Palatino Linotype" w:hAnsi="Palatino Linotype" w:cs="Palatino Linotype"/>
          <w:color w:val="000000"/>
          <w:sz w:val="22"/>
          <w:szCs w:val="22"/>
        </w:rPr>
        <w:t xml:space="preserve"> sectors are connected by the </w:t>
      </w:r>
      <m:oMath>
        <m:r>
          <w:rPr>
            <w:rFonts w:ascii="Cambria Math" w:eastAsia="Cambria Math" w:hAnsi="Cambria Math" w:cs="Cambria Math"/>
            <w:color w:val="000000"/>
            <w:sz w:val="22"/>
            <w:szCs w:val="22"/>
          </w:rPr>
          <m:t>UT</m:t>
        </m:r>
      </m:oMath>
      <w:r w:rsidRPr="0027124E">
        <w:rPr>
          <w:rFonts w:ascii="Palatino Linotype" w:eastAsia="Palatino Linotype" w:hAnsi="Palatino Linotype" w:cs="Palatino Linotype"/>
          <w:color w:val="000000"/>
          <w:sz w:val="22"/>
          <w:szCs w:val="22"/>
        </w:rPr>
        <w:t xml:space="preserve"> symmetry which restores the spin degeneracy of the bulk and results in a compensated net spin polarization (Fig. </w:t>
      </w:r>
      <w:r w:rsidR="00B3717F" w:rsidRPr="0027124E">
        <w:rPr>
          <w:rFonts w:ascii="Palatino Linotype" w:eastAsia="Palatino Linotype" w:hAnsi="Palatino Linotype" w:cs="Palatino Linotype"/>
          <w:color w:val="000000"/>
          <w:sz w:val="22"/>
          <w:szCs w:val="22"/>
        </w:rPr>
        <w:t>S4</w:t>
      </w:r>
      <w:r w:rsidRPr="0027124E">
        <w:rPr>
          <w:rFonts w:ascii="Palatino Linotype" w:eastAsia="Palatino Linotype" w:hAnsi="Palatino Linotype" w:cs="Palatino Linotype"/>
          <w:color w:val="000000"/>
          <w:sz w:val="22"/>
          <w:szCs w:val="22"/>
        </w:rPr>
        <w:t>b). However, the corresponding spin polarization for the top two valence bands (V1</w:t>
      </w:r>
      <w:r w:rsidR="00D23605" w:rsidRPr="0027124E">
        <w:rPr>
          <w:rFonts w:ascii="Palatino Linotype" w:eastAsia="Palatino Linotype" w:hAnsi="Palatino Linotype" w:cs="Palatino Linotype"/>
          <w:color w:val="000000"/>
          <w:sz w:val="22"/>
          <w:szCs w:val="22"/>
        </w:rPr>
        <w:t xml:space="preserve"> and </w:t>
      </w:r>
      <w:r w:rsidRPr="0027124E">
        <w:rPr>
          <w:rFonts w:ascii="Palatino Linotype" w:eastAsia="Palatino Linotype" w:hAnsi="Palatino Linotype" w:cs="Palatino Linotype"/>
          <w:color w:val="000000"/>
          <w:sz w:val="22"/>
          <w:szCs w:val="22"/>
        </w:rPr>
        <w:t xml:space="preserve">V2) projected onto </w:t>
      </w:r>
      <m:oMath>
        <m:r>
          <w:rPr>
            <w:rFonts w:ascii="Cambria Math" w:hAnsi="Cambria Math"/>
          </w:rPr>
          <m:t>α</m:t>
        </m:r>
      </m:oMath>
      <w:r w:rsidRPr="0027124E">
        <w:rPr>
          <w:rFonts w:ascii="Palatino Linotype" w:eastAsia="Palatino Linotype" w:hAnsi="Palatino Linotype" w:cs="Palatino Linotype"/>
          <w:color w:val="000000"/>
          <w:sz w:val="22"/>
          <w:szCs w:val="22"/>
        </w:rPr>
        <w:t xml:space="preserve">-sector and </w:t>
      </w:r>
      <m:oMath>
        <m:r>
          <w:rPr>
            <w:rFonts w:ascii="Cambria Math" w:hAnsi="Cambria Math"/>
          </w:rPr>
          <m:t>β</m:t>
        </m:r>
      </m:oMath>
      <w:r w:rsidRPr="0027124E">
        <w:rPr>
          <w:rFonts w:ascii="Palatino Linotype" w:eastAsia="Palatino Linotype" w:hAnsi="Palatino Linotype" w:cs="Palatino Linotype"/>
          <w:color w:val="000000"/>
          <w:sz w:val="22"/>
          <w:szCs w:val="22"/>
        </w:rPr>
        <w:t xml:space="preserve">-sector (hidden spin polarization), shown in Fig. </w:t>
      </w:r>
      <w:r w:rsidR="00B3717F" w:rsidRPr="0027124E">
        <w:rPr>
          <w:rFonts w:ascii="Palatino Linotype" w:eastAsia="Palatino Linotype" w:hAnsi="Palatino Linotype" w:cs="Palatino Linotype"/>
          <w:color w:val="000000"/>
          <w:sz w:val="22"/>
          <w:szCs w:val="22"/>
        </w:rPr>
        <w:t>S4</w:t>
      </w:r>
      <w:r w:rsidRPr="0027124E">
        <w:rPr>
          <w:rFonts w:ascii="Palatino Linotype" w:eastAsia="Palatino Linotype" w:hAnsi="Palatino Linotype" w:cs="Palatino Linotype"/>
          <w:color w:val="000000"/>
          <w:sz w:val="22"/>
          <w:szCs w:val="22"/>
        </w:rPr>
        <w:t xml:space="preserve">c, are nonzero and </w:t>
      </w:r>
      <w:r w:rsidRPr="0027124E">
        <w:rPr>
          <w:rFonts w:ascii="Palatino Linotype" w:eastAsia="Palatino Linotype" w:hAnsi="Palatino Linotype" w:cs="Palatino Linotype"/>
          <w:sz w:val="22"/>
          <w:szCs w:val="22"/>
        </w:rPr>
        <w:t>compensate each</w:t>
      </w:r>
      <w:r w:rsidRPr="0027124E">
        <w:rPr>
          <w:rFonts w:ascii="Palatino Linotype" w:eastAsia="Palatino Linotype" w:hAnsi="Palatino Linotype" w:cs="Palatino Linotype"/>
          <w:color w:val="000000"/>
          <w:sz w:val="22"/>
          <w:szCs w:val="22"/>
        </w:rPr>
        <w:t xml:space="preserve"> other.</w:t>
      </w:r>
    </w:p>
    <w:p w14:paraId="14A7B287" w14:textId="77777777" w:rsidR="00644E71" w:rsidRPr="0027124E" w:rsidRDefault="00644E71" w:rsidP="00644E71">
      <w:pPr>
        <w:spacing w:line="276" w:lineRule="auto"/>
        <w:rPr>
          <w:rFonts w:ascii="Calibri" w:eastAsia="Calibri" w:hAnsi="Calibri" w:cs="Calibri"/>
          <w:b/>
          <w:strike/>
        </w:rPr>
      </w:pPr>
    </w:p>
    <w:p w14:paraId="0078AB8E" w14:textId="2A153629" w:rsidR="00644E71" w:rsidRPr="0027124E" w:rsidRDefault="00B51316" w:rsidP="00644E71">
      <w:pPr>
        <w:spacing w:line="276" w:lineRule="auto"/>
        <w:rPr>
          <w:rFonts w:ascii="Calibri" w:eastAsia="Calibri" w:hAnsi="Calibri" w:cs="Calibri"/>
        </w:rPr>
      </w:pPr>
      <w:r w:rsidRPr="0027124E">
        <w:rPr>
          <w:rFonts w:ascii="Calibri" w:eastAsia="Calibri" w:hAnsi="Calibri" w:cs="Calibri"/>
          <w:noProof/>
        </w:rPr>
        <w:drawing>
          <wp:inline distT="0" distB="0" distL="0" distR="0" wp14:anchorId="0ACB8E47" wp14:editId="2105B424">
            <wp:extent cx="5943600" cy="2290445"/>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2290445"/>
                    </a:xfrm>
                    <a:prstGeom prst="rect">
                      <a:avLst/>
                    </a:prstGeom>
                  </pic:spPr>
                </pic:pic>
              </a:graphicData>
            </a:graphic>
          </wp:inline>
        </w:drawing>
      </w:r>
    </w:p>
    <w:p w14:paraId="305A1724" w14:textId="07DBE8E6" w:rsidR="00644E71" w:rsidRPr="0027124E" w:rsidRDefault="00644E71" w:rsidP="00644E71">
      <w:pPr>
        <w:spacing w:line="276" w:lineRule="auto"/>
        <w:jc w:val="both"/>
        <w:rPr>
          <w:rFonts w:ascii="Palatino Linotype" w:eastAsia="Palatino Linotype" w:hAnsi="Palatino Linotype" w:cs="Palatino Linotype"/>
          <w:color w:val="000000"/>
          <w:sz w:val="20"/>
          <w:szCs w:val="20"/>
        </w:rPr>
      </w:pPr>
      <w:r w:rsidRPr="0027124E">
        <w:rPr>
          <w:rFonts w:ascii="Palatino Linotype" w:eastAsia="Palatino Linotype" w:hAnsi="Palatino Linotype" w:cs="Palatino Linotype"/>
          <w:b/>
          <w:color w:val="000000"/>
          <w:sz w:val="20"/>
          <w:szCs w:val="20"/>
        </w:rPr>
        <w:t xml:space="preserve">Figure </w:t>
      </w:r>
      <w:r w:rsidR="00B3717F" w:rsidRPr="0027124E">
        <w:rPr>
          <w:rFonts w:ascii="Palatino Linotype" w:eastAsia="Palatino Linotype" w:hAnsi="Palatino Linotype" w:cs="Palatino Linotype"/>
          <w:b/>
          <w:color w:val="000000"/>
          <w:sz w:val="20"/>
          <w:szCs w:val="20"/>
        </w:rPr>
        <w:t>S4</w:t>
      </w:r>
      <w:r w:rsidRPr="0027124E">
        <w:rPr>
          <w:rFonts w:ascii="Palatino Linotype" w:eastAsia="Palatino Linotype" w:hAnsi="Palatino Linotype" w:cs="Palatino Linotype"/>
          <w:b/>
          <w:color w:val="000000"/>
          <w:sz w:val="20"/>
          <w:szCs w:val="20"/>
        </w:rPr>
        <w:t xml:space="preserve">: Hidden spin polarization </w:t>
      </w:r>
      <w:r w:rsidRPr="0027124E">
        <w:rPr>
          <w:rFonts w:ascii="Palatino Linotype" w:eastAsia="Palatino Linotype" w:hAnsi="Palatino Linotype" w:cs="Palatino Linotype"/>
          <w:b/>
          <w:sz w:val="20"/>
          <w:szCs w:val="20"/>
        </w:rPr>
        <w:t>from individual antiferromagnetic sectors</w:t>
      </w:r>
      <w:r w:rsidRPr="0027124E">
        <w:rPr>
          <w:rFonts w:ascii="Palatino Linotype" w:eastAsia="Palatino Linotype" w:hAnsi="Palatino Linotype" w:cs="Palatino Linotype"/>
          <w:b/>
          <w:color w:val="000000"/>
          <w:sz w:val="20"/>
          <w:szCs w:val="20"/>
        </w:rPr>
        <w:t xml:space="preserve"> in bulk MnS</w:t>
      </w:r>
      <w:r w:rsidRPr="0027124E">
        <w:rPr>
          <w:rFonts w:ascii="Palatino Linotype" w:eastAsia="Palatino Linotype" w:hAnsi="Palatino Linotype" w:cs="Palatino Linotype"/>
          <w:b/>
          <w:color w:val="000000"/>
          <w:sz w:val="20"/>
          <w:szCs w:val="20"/>
          <w:vertAlign w:val="subscript"/>
        </w:rPr>
        <w:t>2</w:t>
      </w:r>
      <w:r w:rsidRPr="0027124E">
        <w:rPr>
          <w:rFonts w:ascii="Palatino Linotype" w:eastAsia="Palatino Linotype" w:hAnsi="Palatino Linotype" w:cs="Palatino Linotype"/>
          <w:b/>
          <w:color w:val="000000"/>
          <w:sz w:val="20"/>
          <w:szCs w:val="20"/>
        </w:rPr>
        <w:t xml:space="preserve"> </w:t>
      </w:r>
      <w:r w:rsidRPr="0027124E">
        <w:rPr>
          <w:rFonts w:ascii="Palatino Linotype" w:eastAsia="Palatino Linotype" w:hAnsi="Palatino Linotype" w:cs="Palatino Linotype"/>
          <w:b/>
          <w:sz w:val="20"/>
          <w:szCs w:val="20"/>
        </w:rPr>
        <w:t>(</w:t>
      </w:r>
      <w:r w:rsidRPr="0027124E">
        <w:rPr>
          <w:rFonts w:ascii="Palatino Linotype" w:eastAsia="Palatino Linotype" w:hAnsi="Palatino Linotype" w:cs="Palatino Linotype"/>
          <w:b/>
          <w:color w:val="000000"/>
          <w:sz w:val="20"/>
          <w:szCs w:val="20"/>
        </w:rPr>
        <w:t xml:space="preserve">bulk belonging to SST-3 class with </w:t>
      </w:r>
      <w:r w:rsidRPr="0027124E">
        <w:rPr>
          <w:rFonts w:ascii="Palatino Linotype" w:eastAsia="Palatino Linotype" w:hAnsi="Palatino Linotype" w:cs="Palatino Linotype"/>
          <w:b/>
          <w:sz w:val="20"/>
          <w:szCs w:val="20"/>
        </w:rPr>
        <w:t>sector belonging to S</w:t>
      </w:r>
      <w:r w:rsidRPr="0027124E">
        <w:rPr>
          <w:rFonts w:ascii="Palatino Linotype" w:eastAsia="Palatino Linotype" w:hAnsi="Palatino Linotype" w:cs="Palatino Linotype"/>
          <w:b/>
          <w:color w:val="000000"/>
          <w:sz w:val="20"/>
          <w:szCs w:val="20"/>
        </w:rPr>
        <w:t>ST-</w:t>
      </w:r>
      <w:r w:rsidRPr="0027124E">
        <w:rPr>
          <w:rFonts w:ascii="Palatino Linotype" w:eastAsia="Palatino Linotype" w:hAnsi="Palatino Linotype" w:cs="Palatino Linotype"/>
          <w:b/>
          <w:sz w:val="20"/>
          <w:szCs w:val="20"/>
        </w:rPr>
        <w:t>4 class)</w:t>
      </w:r>
      <w:r w:rsidRPr="0027124E">
        <w:rPr>
          <w:rFonts w:ascii="Palatino Linotype" w:eastAsia="Palatino Linotype" w:hAnsi="Palatino Linotype" w:cs="Palatino Linotype"/>
          <w:b/>
          <w:color w:val="000000"/>
          <w:sz w:val="20"/>
          <w:szCs w:val="20"/>
        </w:rPr>
        <w:t xml:space="preserve">. </w:t>
      </w:r>
      <w:r w:rsidRPr="0027124E">
        <w:rPr>
          <w:rFonts w:ascii="Palatino Linotype" w:eastAsia="Palatino Linotype" w:hAnsi="Palatino Linotype" w:cs="Palatino Linotype"/>
          <w:b/>
          <w:bCs/>
          <w:sz w:val="20"/>
          <w:szCs w:val="20"/>
        </w:rPr>
        <w:t>a</w:t>
      </w:r>
      <w:r w:rsidRPr="0027124E">
        <w:rPr>
          <w:rFonts w:ascii="Palatino Linotype" w:eastAsia="Palatino Linotype" w:hAnsi="Palatino Linotype" w:cs="Palatino Linotype"/>
          <w:sz w:val="20"/>
          <w:szCs w:val="20"/>
        </w:rPr>
        <w:t xml:space="preserve"> crystal structure of antiferromagnetic MnS</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 xml:space="preserve"> composed of two antiferromagnetic sectors with opposite magnetic ordering (the magnetic ordering are indicated by red and blue polynomials) in the unit cell. The two layers are referred as sector-</w:t>
      </w:r>
      <m:oMath>
        <m:r>
          <w:rPr>
            <w:rFonts w:ascii="Cambria Math" w:hAnsi="Cambria Math"/>
          </w:rPr>
          <m:t>α</m:t>
        </m:r>
      </m:oMath>
      <w:r w:rsidRPr="0027124E">
        <w:rPr>
          <w:rFonts w:ascii="Palatino Linotype" w:eastAsia="Palatino Linotype" w:hAnsi="Palatino Linotype" w:cs="Palatino Linotype"/>
          <w:sz w:val="20"/>
          <w:szCs w:val="20"/>
        </w:rPr>
        <w:t xml:space="preserve"> and sector-</w:t>
      </w:r>
      <m:oMath>
        <m:r>
          <w:rPr>
            <w:rFonts w:ascii="Cambria Math" w:hAnsi="Cambria Math"/>
          </w:rPr>
          <m:t>β</m:t>
        </m:r>
      </m:oMath>
      <w:r w:rsidRPr="0027124E">
        <w:rPr>
          <w:rFonts w:ascii="Palatino Linotype" w:eastAsia="Palatino Linotype" w:hAnsi="Palatino Linotype" w:cs="Palatino Linotype"/>
          <w:sz w:val="20"/>
          <w:szCs w:val="20"/>
        </w:rPr>
        <w:t xml:space="preserve">, respectively; </w:t>
      </w:r>
      <w:r w:rsidRPr="0027124E">
        <w:rPr>
          <w:rFonts w:ascii="Palatino Linotype" w:eastAsia="Palatino Linotype" w:hAnsi="Palatino Linotype" w:cs="Palatino Linotype"/>
          <w:b/>
          <w:bCs/>
          <w:sz w:val="20"/>
          <w:szCs w:val="20"/>
        </w:rPr>
        <w:t>b</w:t>
      </w:r>
      <w:r w:rsidRPr="0027124E">
        <w:rPr>
          <w:rFonts w:ascii="Palatino Linotype" w:eastAsia="Palatino Linotype" w:hAnsi="Palatino Linotype" w:cs="Palatino Linotype"/>
          <w:sz w:val="20"/>
          <w:szCs w:val="20"/>
        </w:rPr>
        <w:t xml:space="preserve"> spin degenerate bands of MnS</w:t>
      </w:r>
      <w:r w:rsidRPr="0027124E">
        <w:rPr>
          <w:rFonts w:ascii="Palatino Linotype" w:eastAsia="Palatino Linotype" w:hAnsi="Palatino Linotype" w:cs="Palatino Linotype"/>
          <w:sz w:val="20"/>
          <w:szCs w:val="20"/>
          <w:vertAlign w:val="subscript"/>
        </w:rPr>
        <w:t>2</w:t>
      </w:r>
      <w:r w:rsidRPr="0027124E">
        <w:rPr>
          <w:rFonts w:ascii="Palatino Linotype" w:eastAsia="Palatino Linotype" w:hAnsi="Palatino Linotype" w:cs="Palatino Linotype"/>
          <w:sz w:val="20"/>
          <w:szCs w:val="20"/>
        </w:rPr>
        <w:t xml:space="preserve">. </w:t>
      </w:r>
      <w:r w:rsidRPr="0027124E">
        <w:rPr>
          <w:rFonts w:ascii="Palatino Linotype" w:eastAsia="Palatino Linotype" w:hAnsi="Palatino Linotype" w:cs="Palatino Linotype"/>
          <w:b/>
          <w:bCs/>
          <w:sz w:val="20"/>
          <w:szCs w:val="20"/>
        </w:rPr>
        <w:t>c</w:t>
      </w:r>
      <w:r w:rsidRPr="0027124E">
        <w:rPr>
          <w:rFonts w:ascii="Palatino Linotype" w:eastAsia="Palatino Linotype" w:hAnsi="Palatino Linotype" w:cs="Palatino Linotype"/>
          <w:sz w:val="20"/>
          <w:szCs w:val="20"/>
        </w:rPr>
        <w:t xml:space="preserve"> Hidden spin polarization from each individual sector of the highest two valence bands (V1 and V2) on </w:t>
      </w:r>
      <m:oMath>
        <m:r>
          <m:rPr>
            <m:sty m:val="p"/>
          </m:rPr>
          <w:rPr>
            <w:rFonts w:ascii="Cambria Math" w:eastAsia="Palatino Linotype" w:hAnsi="Cambria Math" w:cs="Palatino Linotype"/>
            <w:sz w:val="20"/>
            <w:szCs w:val="20"/>
          </w:rPr>
          <m:t>ΓXS</m:t>
        </m:r>
      </m:oMath>
      <w:r w:rsidRPr="0027124E">
        <w:rPr>
          <w:rFonts w:ascii="Palatino Linotype" w:eastAsia="Palatino Linotype" w:hAnsi="Palatino Linotype" w:cs="Palatino Linotype"/>
          <w:sz w:val="20"/>
          <w:szCs w:val="20"/>
        </w:rPr>
        <w:t xml:space="preserve"> k-plane. The up and down spins are mapped to the color from blue to red.</w:t>
      </w:r>
    </w:p>
    <w:p w14:paraId="0B368E88" w14:textId="77777777" w:rsidR="00644E71" w:rsidRPr="0027124E" w:rsidRDefault="00644E71" w:rsidP="00644E71">
      <w:pPr>
        <w:spacing w:line="276" w:lineRule="auto"/>
        <w:jc w:val="both"/>
        <w:rPr>
          <w:rFonts w:ascii="Calibri" w:eastAsia="Calibri" w:hAnsi="Calibri" w:cs="Calibri"/>
          <w:b/>
          <w:color w:val="0000FF"/>
          <w:sz w:val="28"/>
          <w:szCs w:val="28"/>
        </w:rPr>
      </w:pPr>
    </w:p>
    <w:p w14:paraId="4706BD34" w14:textId="77777777" w:rsidR="00644E71" w:rsidRPr="0027124E" w:rsidRDefault="00644E71" w:rsidP="00644E71">
      <w:pPr>
        <w:spacing w:line="276" w:lineRule="auto"/>
        <w:jc w:val="both"/>
        <w:rPr>
          <w:rFonts w:ascii="Calibri" w:eastAsia="Calibri" w:hAnsi="Calibri" w:cs="Calibri"/>
          <w:b/>
          <w:color w:val="0000FF"/>
          <w:sz w:val="28"/>
          <w:szCs w:val="28"/>
        </w:rPr>
      </w:pPr>
    </w:p>
    <w:p w14:paraId="68954227" w14:textId="187FE08D" w:rsidR="00644E71" w:rsidRPr="0027124E" w:rsidRDefault="00644E71" w:rsidP="000D314C">
      <w:pPr>
        <w:numPr>
          <w:ilvl w:val="0"/>
          <w:numId w:val="1"/>
        </w:numPr>
        <w:pBdr>
          <w:top w:val="nil"/>
          <w:left w:val="nil"/>
          <w:bottom w:val="nil"/>
          <w:right w:val="nil"/>
          <w:between w:val="nil"/>
        </w:pBdr>
        <w:spacing w:line="276" w:lineRule="auto"/>
        <w:jc w:val="both"/>
        <w:rPr>
          <w:rFonts w:ascii="Calibri" w:eastAsia="Calibri" w:hAnsi="Calibri" w:cs="Calibri"/>
          <w:b/>
          <w:color w:val="000000"/>
        </w:rPr>
      </w:pPr>
      <w:r w:rsidRPr="0027124E">
        <w:rPr>
          <w:rFonts w:ascii="Calibri" w:eastAsia="Calibri" w:hAnsi="Calibri" w:cs="Calibri"/>
          <w:b/>
          <w:color w:val="000000"/>
        </w:rPr>
        <w:t xml:space="preserve">Effect of external electric field on FeSe </w:t>
      </w:r>
      <w:r w:rsidR="000D314C" w:rsidRPr="0027124E">
        <w:rPr>
          <w:rFonts w:ascii="Calibri" w:eastAsia="Calibri" w:hAnsi="Calibri" w:cs="Calibri"/>
          <w:b/>
          <w:color w:val="000000"/>
        </w:rPr>
        <w:t>–</w:t>
      </w:r>
      <w:r w:rsidRPr="0027124E">
        <w:rPr>
          <w:rFonts w:ascii="Calibri" w:eastAsia="Calibri" w:hAnsi="Calibri" w:cs="Calibri"/>
          <w:b/>
          <w:color w:val="000000"/>
        </w:rPr>
        <w:t xml:space="preserve"> a </w:t>
      </w:r>
      <w:r w:rsidR="00921C2F" w:rsidRPr="0027124E">
        <w:rPr>
          <w:rFonts w:ascii="Calibri" w:eastAsia="Calibri" w:hAnsi="Calibri" w:cs="Calibri"/>
          <w:b/>
          <w:color w:val="000000"/>
        </w:rPr>
        <w:t xml:space="preserve">SOC-independent </w:t>
      </w:r>
      <w:r w:rsidRPr="0027124E">
        <w:rPr>
          <w:rFonts w:ascii="Calibri" w:eastAsia="Calibri" w:hAnsi="Calibri" w:cs="Calibri"/>
          <w:b/>
          <w:color w:val="000000"/>
        </w:rPr>
        <w:t>hidden spin polarized antiferromagnetic material constructed from 2D layered magnets</w:t>
      </w:r>
    </w:p>
    <w:p w14:paraId="4117B4A0" w14:textId="77777777" w:rsidR="00644E71" w:rsidRPr="0027124E" w:rsidRDefault="00644E71" w:rsidP="00644E71">
      <w:pPr>
        <w:spacing w:line="276" w:lineRule="auto"/>
        <w:jc w:val="both"/>
        <w:rPr>
          <w:rFonts w:ascii="Palatino Linotype" w:eastAsia="Palatino Linotype" w:hAnsi="Palatino Linotype" w:cs="Palatino Linotype"/>
          <w:color w:val="000000"/>
          <w:sz w:val="22"/>
          <w:szCs w:val="22"/>
        </w:rPr>
      </w:pPr>
    </w:p>
    <w:p w14:paraId="45792B87" w14:textId="11A5AE1D" w:rsidR="00644E71" w:rsidRPr="0027124E" w:rsidRDefault="00644E71" w:rsidP="00644E71">
      <w:pPr>
        <w:spacing w:line="276" w:lineRule="auto"/>
        <w:jc w:val="both"/>
        <w:rPr>
          <w:rFonts w:ascii="Palatino Linotype" w:eastAsia="Palatino Linotype" w:hAnsi="Palatino Linotype" w:cs="Palatino Linotype"/>
          <w:color w:val="000000"/>
          <w:sz w:val="22"/>
          <w:szCs w:val="22"/>
        </w:rPr>
      </w:pPr>
      <w:r w:rsidRPr="0027124E">
        <w:rPr>
          <w:rFonts w:ascii="Palatino Linotype" w:eastAsia="Palatino Linotype" w:hAnsi="Palatino Linotype" w:cs="Palatino Linotype"/>
          <w:color w:val="000000"/>
          <w:sz w:val="22"/>
          <w:szCs w:val="22"/>
        </w:rPr>
        <w:t xml:space="preserve"> </w:t>
      </w:r>
      <w:r w:rsidRPr="0027124E">
        <w:rPr>
          <w:rFonts w:ascii="Palatino Linotype" w:eastAsia="Palatino Linotype" w:hAnsi="Palatino Linotype" w:cs="Palatino Linotype"/>
          <w:sz w:val="22"/>
          <w:szCs w:val="22"/>
        </w:rPr>
        <w:t xml:space="preserve"> </w:t>
      </w:r>
    </w:p>
    <w:p w14:paraId="5B10A883" w14:textId="77777777" w:rsidR="00D23605" w:rsidRPr="0027124E" w:rsidRDefault="00D23605" w:rsidP="00644E71">
      <w:pPr>
        <w:spacing w:line="276" w:lineRule="auto"/>
        <w:jc w:val="both"/>
        <w:rPr>
          <w:rFonts w:ascii="Palatino Linotype" w:eastAsia="Palatino Linotype" w:hAnsi="Palatino Linotype" w:cs="Palatino Linotype"/>
          <w:color w:val="000000"/>
          <w:sz w:val="22"/>
          <w:szCs w:val="22"/>
        </w:rPr>
      </w:pPr>
    </w:p>
    <w:p w14:paraId="5487A5DF" w14:textId="77777777" w:rsidR="00644E71" w:rsidRPr="0027124E" w:rsidRDefault="00644E71" w:rsidP="00644E71">
      <w:pPr>
        <w:spacing w:line="276" w:lineRule="auto"/>
        <w:jc w:val="center"/>
        <w:rPr>
          <w:rFonts w:ascii="Calibri" w:eastAsia="Calibri" w:hAnsi="Calibri" w:cs="Calibri"/>
          <w:sz w:val="20"/>
          <w:szCs w:val="20"/>
        </w:rPr>
      </w:pPr>
      <w:r w:rsidRPr="0027124E">
        <w:rPr>
          <w:rFonts w:ascii="Calibri" w:eastAsia="Calibri" w:hAnsi="Calibri" w:cs="Calibri"/>
          <w:noProof/>
          <w:sz w:val="20"/>
          <w:szCs w:val="20"/>
        </w:rPr>
        <w:drawing>
          <wp:inline distT="114300" distB="114300" distL="114300" distR="114300" wp14:anchorId="23FA9392" wp14:editId="5EFC0375">
            <wp:extent cx="4625997" cy="5053013"/>
            <wp:effectExtent l="0" t="0" r="0" b="0"/>
            <wp:docPr id="32" name="image3.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10;&#10;Description automatically generated"/>
                    <pic:cNvPicPr preferRelativeResize="0"/>
                  </pic:nvPicPr>
                  <pic:blipFill>
                    <a:blip r:embed="rId9"/>
                    <a:srcRect/>
                    <a:stretch>
                      <a:fillRect/>
                    </a:stretch>
                  </pic:blipFill>
                  <pic:spPr>
                    <a:xfrm>
                      <a:off x="0" y="0"/>
                      <a:ext cx="4625997" cy="5053013"/>
                    </a:xfrm>
                    <a:prstGeom prst="rect">
                      <a:avLst/>
                    </a:prstGeom>
                    <a:ln/>
                  </pic:spPr>
                </pic:pic>
              </a:graphicData>
            </a:graphic>
          </wp:inline>
        </w:drawing>
      </w:r>
    </w:p>
    <w:p w14:paraId="72F32EF4" w14:textId="77777777" w:rsidR="00644E71" w:rsidRPr="0027124E" w:rsidRDefault="00644E71" w:rsidP="00644E71">
      <w:pPr>
        <w:spacing w:line="276" w:lineRule="auto"/>
        <w:jc w:val="both"/>
        <w:rPr>
          <w:rFonts w:ascii="Calibri" w:eastAsia="Calibri" w:hAnsi="Calibri" w:cs="Calibri"/>
          <w:sz w:val="20"/>
          <w:szCs w:val="20"/>
        </w:rPr>
      </w:pPr>
    </w:p>
    <w:p w14:paraId="765D49C3" w14:textId="1CD3ADE2" w:rsidR="00644E71" w:rsidRPr="0027124E" w:rsidRDefault="00644E71" w:rsidP="00644E71">
      <w:pPr>
        <w:spacing w:line="276" w:lineRule="auto"/>
        <w:jc w:val="both"/>
        <w:rPr>
          <w:rFonts w:ascii="Palatino Linotype" w:eastAsia="Palatino Linotype" w:hAnsi="Palatino Linotype" w:cs="Palatino Linotype"/>
          <w:sz w:val="16"/>
          <w:szCs w:val="16"/>
        </w:rPr>
      </w:pPr>
      <w:r w:rsidRPr="0027124E">
        <w:rPr>
          <w:rFonts w:ascii="Palatino Linotype" w:eastAsia="Palatino Linotype" w:hAnsi="Palatino Linotype" w:cs="Palatino Linotype"/>
          <w:b/>
          <w:sz w:val="20"/>
          <w:szCs w:val="20"/>
        </w:rPr>
        <w:t xml:space="preserve">Figure </w:t>
      </w:r>
      <w:r w:rsidR="00B3717F" w:rsidRPr="0027124E">
        <w:rPr>
          <w:rFonts w:ascii="Palatino Linotype" w:eastAsia="Palatino Linotype" w:hAnsi="Palatino Linotype" w:cs="Palatino Linotype"/>
          <w:b/>
          <w:sz w:val="20"/>
          <w:szCs w:val="20"/>
        </w:rPr>
        <w:t>S5:</w:t>
      </w:r>
      <w:r w:rsidRPr="0027124E">
        <w:rPr>
          <w:rFonts w:ascii="Palatino Linotype" w:eastAsia="Palatino Linotype" w:hAnsi="Palatino Linotype" w:cs="Palatino Linotype"/>
          <w:b/>
          <w:sz w:val="20"/>
          <w:szCs w:val="20"/>
        </w:rPr>
        <w:t xml:space="preserve"> Geometry and DFT band structure calculation for an illustrative example of compensation between SST-4 2D monolayers forming a SST-1 2D bilayer. </w:t>
      </w:r>
      <w:r w:rsidRPr="0027124E">
        <w:rPr>
          <w:rFonts w:ascii="Palatino Linotype" w:eastAsia="Palatino Linotype" w:hAnsi="Palatino Linotype" w:cs="Palatino Linotype"/>
          <w:b/>
          <w:bCs/>
          <w:sz w:val="20"/>
          <w:szCs w:val="20"/>
        </w:rPr>
        <w:t>a</w:t>
      </w:r>
      <w:r w:rsidRPr="0027124E">
        <w:rPr>
          <w:rFonts w:ascii="Palatino Linotype" w:eastAsia="Palatino Linotype" w:hAnsi="Palatino Linotype" w:cs="Palatino Linotype"/>
          <w:sz w:val="20"/>
          <w:szCs w:val="20"/>
        </w:rPr>
        <w:t xml:space="preserve"> SST-4 FeSe monolayer with SS of about 5 meV near the Fermi energy</w:t>
      </w:r>
      <w:r w:rsidR="00B3717F" w:rsidRPr="0027124E">
        <w:rPr>
          <w:rFonts w:ascii="Palatino Linotype" w:eastAsia="Palatino Linotype" w:hAnsi="Palatino Linotype" w:cs="Palatino Linotype"/>
          <w:sz w:val="20"/>
          <w:szCs w:val="20"/>
        </w:rPr>
        <w:t>;</w:t>
      </w:r>
      <w:r w:rsidRPr="0027124E">
        <w:rPr>
          <w:rFonts w:ascii="Palatino Linotype" w:eastAsia="Palatino Linotype" w:hAnsi="Palatino Linotype" w:cs="Palatino Linotype"/>
          <w:sz w:val="20"/>
          <w:szCs w:val="20"/>
        </w:rPr>
        <w:t xml:space="preserve"> </w:t>
      </w:r>
      <w:r w:rsidRPr="0027124E">
        <w:rPr>
          <w:rFonts w:ascii="Palatino Linotype" w:eastAsia="Palatino Linotype" w:hAnsi="Palatino Linotype" w:cs="Palatino Linotype"/>
          <w:b/>
          <w:bCs/>
          <w:sz w:val="20"/>
          <w:szCs w:val="20"/>
        </w:rPr>
        <w:t>b</w:t>
      </w:r>
      <w:r w:rsidRPr="0027124E">
        <w:rPr>
          <w:rFonts w:ascii="Palatino Linotype" w:eastAsia="Palatino Linotype" w:hAnsi="Palatino Linotype" w:cs="Palatino Linotype"/>
          <w:sz w:val="20"/>
          <w:szCs w:val="20"/>
        </w:rPr>
        <w:t xml:space="preserve"> SST-1 FeSe bilayer with no SS, and </w:t>
      </w:r>
      <w:r w:rsidRPr="0027124E">
        <w:rPr>
          <w:rFonts w:ascii="Palatino Linotype" w:eastAsia="Palatino Linotype" w:hAnsi="Palatino Linotype" w:cs="Palatino Linotype"/>
          <w:b/>
          <w:bCs/>
          <w:sz w:val="20"/>
          <w:szCs w:val="20"/>
        </w:rPr>
        <w:t>c</w:t>
      </w:r>
      <w:r w:rsidRPr="0027124E">
        <w:rPr>
          <w:rFonts w:ascii="Palatino Linotype" w:eastAsia="Palatino Linotype" w:hAnsi="Palatino Linotype" w:cs="Palatino Linotype"/>
          <w:sz w:val="20"/>
          <w:szCs w:val="20"/>
        </w:rPr>
        <w:t xml:space="preserve"> SST-1 FeSe bilayer with an external electric field of 0.3 eV/Ang. All DFT+U calculations are performed in the absence of SOC and considering only collinear local magnetic moments. While the SS vanishes when the two SST-4 are connected by the </w:t>
      </w:r>
      <m:oMath>
        <m:r>
          <w:rPr>
            <w:rFonts w:ascii="Palatino Linotype" w:eastAsia="Palatino Linotype" w:hAnsi="Palatino Linotype" w:cs="Palatino Linotype"/>
            <w:sz w:val="20"/>
            <w:szCs w:val="20"/>
          </w:rPr>
          <m:t>ΘIT</m:t>
        </m:r>
      </m:oMath>
      <w:r w:rsidRPr="0027124E">
        <w:rPr>
          <w:rFonts w:ascii="Palatino Linotype" w:eastAsia="Palatino Linotype" w:hAnsi="Palatino Linotype" w:cs="Palatino Linotype"/>
          <w:sz w:val="20"/>
          <w:szCs w:val="20"/>
        </w:rPr>
        <w:t xml:space="preserve"> symmetry in the bilayer, the external effective field breaks the inversion symmetry, and hence, the </w:t>
      </w:r>
      <m:oMath>
        <m:r>
          <w:rPr>
            <w:rFonts w:ascii="Palatino Linotype" w:eastAsia="Palatino Linotype" w:hAnsi="Palatino Linotype" w:cs="Palatino Linotype"/>
            <w:sz w:val="20"/>
            <w:szCs w:val="20"/>
          </w:rPr>
          <m:t>ΘIT</m:t>
        </m:r>
      </m:oMath>
      <w:r w:rsidRPr="0027124E">
        <w:rPr>
          <w:rFonts w:ascii="Palatino Linotype" w:eastAsia="Palatino Linotype" w:hAnsi="Palatino Linotype" w:cs="Palatino Linotype"/>
          <w:sz w:val="20"/>
          <w:szCs w:val="20"/>
        </w:rPr>
        <w:t xml:space="preserve"> symmetry. Even in the absence of SOC, the electric field induced a non-zero SS along all symmetry paths in the Brillouin zone. Red and blue lines stand for bands with up and down spin, respectively. </w:t>
      </w:r>
    </w:p>
    <w:p w14:paraId="73E3B93E" w14:textId="1C1538DF" w:rsidR="00644E71" w:rsidRPr="0027124E" w:rsidRDefault="00644E71" w:rsidP="00644E71">
      <w:pPr>
        <w:spacing w:line="276" w:lineRule="auto"/>
        <w:jc w:val="both"/>
        <w:rPr>
          <w:rFonts w:ascii="Palatino Linotype" w:eastAsia="Palatino Linotype" w:hAnsi="Palatino Linotype" w:cs="Palatino Linotype"/>
          <w:color w:val="000000"/>
          <w:sz w:val="22"/>
          <w:szCs w:val="22"/>
        </w:rPr>
      </w:pPr>
    </w:p>
    <w:p w14:paraId="75338E89" w14:textId="55F02191" w:rsidR="00B51316" w:rsidRPr="0027124E" w:rsidRDefault="00B51316" w:rsidP="00644E71">
      <w:pPr>
        <w:spacing w:line="276" w:lineRule="auto"/>
        <w:jc w:val="both"/>
        <w:rPr>
          <w:rFonts w:ascii="Palatino Linotype" w:eastAsia="Palatino Linotype" w:hAnsi="Palatino Linotype" w:cs="Palatino Linotype"/>
          <w:color w:val="000000"/>
          <w:sz w:val="22"/>
          <w:szCs w:val="22"/>
        </w:rPr>
      </w:pPr>
      <w:r w:rsidRPr="0027124E">
        <w:rPr>
          <w:rFonts w:ascii="Palatino Linotype" w:eastAsia="Palatino Linotype" w:hAnsi="Palatino Linotype" w:cs="Palatino Linotype"/>
          <w:color w:val="000000"/>
          <w:sz w:val="22"/>
          <w:szCs w:val="22"/>
        </w:rPr>
        <w:t xml:space="preserve">Figure S5 illustrates how SST-4 class monolayers (with SS) are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-asymmetric subsets forming an SST-1 class bilayer that is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-symmetric (without SS), i.e., spin polarization at different SST-4 class sectors is mutually compensated by means of the stacking of layers that restores the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 symmetry. The DFT band structure calculations for the SST-4 class FeSe monolayer reveals a spin </w:t>
      </w:r>
      <w:r w:rsidRPr="0027124E">
        <w:rPr>
          <w:rFonts w:ascii="Palatino Linotype" w:eastAsia="Palatino Linotype" w:hAnsi="Palatino Linotype" w:cs="Palatino Linotype"/>
          <w:color w:val="000000"/>
          <w:sz w:val="22"/>
          <w:szCs w:val="22"/>
        </w:rPr>
        <w:lastRenderedPageBreak/>
        <w:t xml:space="preserve">splitting of about 5 meV near the Fermi energy (Fig. S5a). This spin splitting is the result of the antiferromagnetic configuration with two different local environments in the unit cell (dotted line) breaking the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 and </w:t>
      </w:r>
      <m:oMath>
        <m:r>
          <w:rPr>
            <w:rFonts w:ascii="Cambria Math" w:eastAsia="Cambria Math" w:hAnsi="Cambria Math" w:cs="Cambria Math"/>
            <w:color w:val="000000"/>
            <w:sz w:val="22"/>
            <w:szCs w:val="22"/>
          </w:rPr>
          <m:t>UT</m:t>
        </m:r>
      </m:oMath>
      <w:r w:rsidRPr="0027124E">
        <w:rPr>
          <w:rFonts w:ascii="Palatino Linotype" w:eastAsia="Palatino Linotype" w:hAnsi="Palatino Linotype" w:cs="Palatino Linotype"/>
          <w:color w:val="000000"/>
          <w:sz w:val="22"/>
          <w:szCs w:val="22"/>
        </w:rPr>
        <w:t xml:space="preserve"> symmetrie</w:t>
      </w:r>
      <w:r w:rsidRPr="0027124E">
        <w:rPr>
          <w:rFonts w:ascii="Palatino Linotype" w:eastAsia="Palatino Linotype" w:hAnsi="Palatino Linotype" w:cs="Palatino Linotype"/>
          <w:sz w:val="22"/>
          <w:szCs w:val="22"/>
        </w:rPr>
        <w:t>s</w:t>
      </w:r>
      <w:r w:rsidRPr="0027124E">
        <w:rPr>
          <w:rFonts w:ascii="Palatino Linotype" w:eastAsia="Palatino Linotype" w:hAnsi="Palatino Linotype" w:cs="Palatino Linotype"/>
          <w:color w:val="000000"/>
          <w:sz w:val="22"/>
          <w:szCs w:val="22"/>
        </w:rPr>
        <w:t xml:space="preserve">. When FeSe monolayers interact via the Van der Waals potential to form a bilayer with layer exactly equivalent (i.e., connected through the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 symmetry), the FeSe bilayer belongs to the SST-1 class. As a consequence, the band structure is completely spin degenerated (Fig. S5b). The compensation between FeSe layers in the bilayer system explicitly demonstrates the concept of the hidden AFM-SS. Remarkable, the bands in the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-symmetric bilayer have hidden spin-polarization, where spin bands are formed by orbitals spatially localized at different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-asymmetric subsets (Fig. S5b). As expected, an external electric field breaks the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 xml:space="preserve"> symmetry, leading then to manifestation of the hidden spin polarization in a bilayer with </w:t>
      </w:r>
      <m:oMath>
        <m:r>
          <w:rPr>
            <w:rFonts w:ascii="Cambria Math" w:eastAsia="Cambria Math" w:hAnsi="Cambria Math" w:cs="Cambria Math"/>
            <w:color w:val="000000"/>
            <w:sz w:val="22"/>
            <w:szCs w:val="22"/>
          </w:rPr>
          <m:t>ΘIT</m:t>
        </m:r>
      </m:oMath>
      <w:r w:rsidRPr="0027124E">
        <w:rPr>
          <w:rFonts w:ascii="Palatino Linotype" w:eastAsia="Palatino Linotype" w:hAnsi="Palatino Linotype" w:cs="Palatino Linotype"/>
          <w:color w:val="000000"/>
          <w:sz w:val="22"/>
          <w:szCs w:val="22"/>
        </w:rPr>
        <w:t>-asymmetric subsets that compensate each other. The SS magnitude depends on the intensity of the external electric field. Different from the relativistic Rashba and Dresselhaus SS that require the SOC, the electric field induces in the SST-1 FeSe bilayer a non-zero SS even in the absence of SOC (Fig. S5c).</w:t>
      </w:r>
    </w:p>
    <w:p w14:paraId="4DA4585C" w14:textId="77777777" w:rsidR="00B3717F" w:rsidRPr="0027124E" w:rsidRDefault="00B3717F" w:rsidP="00644E71">
      <w:pPr>
        <w:spacing w:line="276" w:lineRule="auto"/>
        <w:jc w:val="both"/>
        <w:rPr>
          <w:rFonts w:ascii="Calibri" w:eastAsia="Calibri" w:hAnsi="Calibri" w:cs="Calibri"/>
          <w:sz w:val="20"/>
          <w:szCs w:val="20"/>
        </w:rPr>
      </w:pPr>
    </w:p>
    <w:p w14:paraId="76F5DC28" w14:textId="7A77455C" w:rsidR="00644E71" w:rsidRPr="0027124E" w:rsidRDefault="00644E71" w:rsidP="00644E71">
      <w:pPr>
        <w:pBdr>
          <w:top w:val="nil"/>
          <w:left w:val="nil"/>
          <w:bottom w:val="nil"/>
          <w:right w:val="nil"/>
          <w:between w:val="nil"/>
        </w:pBd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b/>
          <w:bCs/>
          <w:color w:val="000000" w:themeColor="text1"/>
          <w:sz w:val="20"/>
          <w:szCs w:val="20"/>
        </w:rPr>
        <w:t xml:space="preserve">Table </w:t>
      </w:r>
      <w:r w:rsidR="00006B3B" w:rsidRPr="0027124E">
        <w:rPr>
          <w:rFonts w:ascii="Palatino Linotype" w:eastAsia="Palatino Linotype" w:hAnsi="Palatino Linotype" w:cs="Palatino Linotype"/>
          <w:b/>
          <w:bCs/>
          <w:color w:val="000000" w:themeColor="text1"/>
          <w:sz w:val="20"/>
          <w:szCs w:val="20"/>
        </w:rPr>
        <w:t>S</w:t>
      </w:r>
      <w:r w:rsidRPr="0027124E">
        <w:rPr>
          <w:rFonts w:ascii="Palatino Linotype" w:eastAsia="Palatino Linotype" w:hAnsi="Palatino Linotype" w:cs="Palatino Linotype"/>
          <w:b/>
          <w:bCs/>
          <w:color w:val="000000" w:themeColor="text1"/>
          <w:sz w:val="20"/>
          <w:szCs w:val="20"/>
        </w:rPr>
        <w:t>I. Easily exfoliable 2D magnetic compounds with AFM configuration belonging to SST-4 class</w:t>
      </w:r>
      <w:r w:rsidRPr="0027124E">
        <w:rPr>
          <w:rFonts w:ascii="Palatino Linotype" w:eastAsia="Palatino Linotype" w:hAnsi="Palatino Linotype" w:cs="Palatino Linotype"/>
          <w:color w:val="000000" w:themeColor="text1"/>
          <w:sz w:val="20"/>
          <w:szCs w:val="20"/>
        </w:rPr>
        <w:t xml:space="preserve"> </w:t>
      </w:r>
      <w:r w:rsidRPr="0027124E">
        <w:rPr>
          <w:rFonts w:ascii="Palatino Linotype" w:eastAsia="Palatino Linotype" w:hAnsi="Palatino Linotype" w:cs="Palatino Linotype"/>
          <w:color w:val="000000" w:themeColor="text1"/>
          <w:sz w:val="20"/>
          <w:szCs w:val="20"/>
        </w:rPr>
        <w:fldChar w:fldCharType="begin"/>
      </w:r>
      <w:r w:rsidR="00457825" w:rsidRPr="0027124E">
        <w:rPr>
          <w:rFonts w:ascii="Palatino Linotype" w:eastAsia="Palatino Linotype" w:hAnsi="Palatino Linotype" w:cs="Palatino Linotype"/>
          <w:color w:val="000000" w:themeColor="text1"/>
          <w:sz w:val="20"/>
          <w:szCs w:val="20"/>
        </w:rPr>
        <w:instrText xml:space="preserve"> ADDIN EN.CITE &lt;EndNote&gt;&lt;Cite&gt;&lt;Author&gt;Yuan&lt;/Author&gt;&lt;Year&gt;2021&lt;/Year&gt;&lt;RecNum&gt;750&lt;/RecNum&gt;&lt;DisplayText&gt;&lt;style face="superscript"&gt;5&lt;/style&gt;&lt;/DisplayText&gt;&lt;record&gt;&lt;rec-number&gt;750&lt;/rec-number&gt;&lt;foreign-keys&gt;&lt;key app="EN" db-id="5ww02vf0zz0s5uez9dop52zwwsd2tssxwsvr" timestamp="1611129917" guid="0cf4e45a-50ad-4b13-b85e-de05d19d366b"&gt;750&lt;/key&gt;&lt;/foreign-keys&gt;&lt;ref-type name="Journal Article"&gt;17&lt;/ref-type&gt;&lt;contributors&gt;&lt;authors&gt;&lt;author&gt;Yuan, Lin-Ding&lt;/author&gt;&lt;author&gt;Wang, Zhi&lt;/author&gt;&lt;author&gt;Luo, Jun-Wei&lt;/author&gt;&lt;author&gt;Zunger, Alex&lt;/author&gt;&lt;/authors&gt;&lt;/contributors&gt;&lt;titles&gt;&lt;title&gt;Prediction of low-Z collinear and noncollinear antiferromagnetic compounds having momentum-dependent spin splitting even without spin-orbit coupling&lt;/title&gt;&lt;secondary-title&gt;Physical Review Materials&lt;/secondary-title&gt;&lt;/titles&gt;&lt;periodical&gt;&lt;full-title&gt;Physical Review Materials&lt;/full-title&gt;&lt;/periodical&gt;&lt;pages&gt;014409&lt;/pages&gt;&lt;volume&gt;5&lt;/volume&gt;&lt;number&gt;1&lt;/number&gt;&lt;dates&gt;&lt;year&gt;2021&lt;/year&gt;&lt;pub-dates&gt;&lt;date&gt;01/19/&lt;/date&gt;&lt;/pub-dates&gt;&lt;/dates&gt;&lt;publisher&gt;American Physical Society&lt;/publisher&gt;&lt;urls&gt;&lt;related-urls&gt;&lt;url&gt;https://link.aps.org/doi/10.1103/PhysRevMaterials.5.014409&lt;/url&gt;&lt;/related-urls&gt;&lt;/urls&gt;&lt;electronic-resource-num&gt;https://doi.org/10.1103/PhysRevMaterials.5.014409&lt;/electronic-resource-num&gt;&lt;/record&gt;&lt;/Cite&gt;&lt;/EndNote&gt;</w:instrText>
      </w:r>
      <w:r w:rsidRPr="0027124E">
        <w:rPr>
          <w:rFonts w:ascii="Palatino Linotype" w:eastAsia="Palatino Linotype" w:hAnsi="Palatino Linotype" w:cs="Palatino Linotype"/>
          <w:color w:val="000000" w:themeColor="text1"/>
          <w:sz w:val="20"/>
          <w:szCs w:val="20"/>
        </w:rPr>
        <w:fldChar w:fldCharType="separate"/>
      </w:r>
      <w:r w:rsidR="00457825" w:rsidRPr="0027124E">
        <w:rPr>
          <w:rFonts w:ascii="Palatino Linotype" w:eastAsia="Palatino Linotype" w:hAnsi="Palatino Linotype" w:cs="Palatino Linotype"/>
          <w:noProof/>
          <w:color w:val="000000" w:themeColor="text1"/>
          <w:sz w:val="20"/>
          <w:szCs w:val="20"/>
          <w:vertAlign w:val="superscript"/>
        </w:rPr>
        <w:t>5</w:t>
      </w:r>
      <w:r w:rsidRPr="0027124E">
        <w:rPr>
          <w:rFonts w:ascii="Palatino Linotype" w:eastAsia="Palatino Linotype" w:hAnsi="Palatino Linotype" w:cs="Palatino Linotype"/>
          <w:color w:val="000000" w:themeColor="text1"/>
          <w:sz w:val="20"/>
          <w:szCs w:val="20"/>
        </w:rPr>
        <w:fldChar w:fldCharType="end"/>
      </w:r>
      <w:r w:rsidRPr="0027124E">
        <w:rPr>
          <w:rFonts w:ascii="Palatino Linotype" w:eastAsia="Palatino Linotype" w:hAnsi="Palatino Linotype" w:cs="Palatino Linotype"/>
          <w:color w:val="000000" w:themeColor="text1"/>
          <w:sz w:val="20"/>
          <w:szCs w:val="20"/>
        </w:rPr>
        <w:t>. The formula, space group, 2D structure prototype, DFT-PBE calculated bandgap (E</w:t>
      </w:r>
      <w:r w:rsidRPr="0027124E">
        <w:rPr>
          <w:rFonts w:ascii="Palatino Linotype" w:eastAsia="Palatino Linotype" w:hAnsi="Palatino Linotype" w:cs="Palatino Linotype"/>
          <w:color w:val="000000" w:themeColor="text1"/>
          <w:sz w:val="20"/>
          <w:szCs w:val="20"/>
          <w:vertAlign w:val="subscript"/>
        </w:rPr>
        <w:t>g</w:t>
      </w:r>
      <w:r w:rsidRPr="0027124E">
        <w:rPr>
          <w:rFonts w:ascii="Palatino Linotype" w:eastAsia="Palatino Linotype" w:hAnsi="Palatino Linotype" w:cs="Palatino Linotype"/>
          <w:color w:val="000000" w:themeColor="text1"/>
          <w:sz w:val="20"/>
          <w:szCs w:val="20"/>
        </w:rPr>
        <w:t>), and binding energy (E</w:t>
      </w:r>
      <w:r w:rsidRPr="0027124E">
        <w:rPr>
          <w:rFonts w:ascii="Palatino Linotype" w:eastAsia="Palatino Linotype" w:hAnsi="Palatino Linotype" w:cs="Palatino Linotype"/>
          <w:color w:val="000000" w:themeColor="text1"/>
          <w:sz w:val="20"/>
          <w:szCs w:val="20"/>
          <w:vertAlign w:val="subscript"/>
        </w:rPr>
        <w:t>b</w:t>
      </w:r>
      <w:r w:rsidRPr="0027124E">
        <w:rPr>
          <w:rFonts w:ascii="Palatino Linotype" w:eastAsia="Palatino Linotype" w:hAnsi="Palatino Linotype" w:cs="Palatino Linotype"/>
          <w:color w:val="000000" w:themeColor="text1"/>
          <w:sz w:val="20"/>
          <w:szCs w:val="20"/>
        </w:rPr>
        <w:t xml:space="preserve">) are indicated. The last three columns describe for the experimental parent structure: the 3D space group (3D SG), source database (SDB) </w:t>
      </w:r>
      <w:r w:rsidRPr="0027124E">
        <w:rPr>
          <w:rFonts w:ascii="Palatino Linotype" w:eastAsia="Palatino Linotype" w:hAnsi="Palatino Linotype" w:cs="Palatino Linotype"/>
          <w:color w:val="000000" w:themeColor="text1"/>
          <w:sz w:val="20"/>
          <w:szCs w:val="20"/>
        </w:rPr>
        <w:fldChar w:fldCharType="begin"/>
      </w:r>
      <w:r w:rsidR="00457825" w:rsidRPr="0027124E">
        <w:rPr>
          <w:rFonts w:ascii="Palatino Linotype" w:eastAsia="Palatino Linotype" w:hAnsi="Palatino Linotype" w:cs="Palatino Linotype"/>
          <w:color w:val="000000" w:themeColor="text1"/>
          <w:sz w:val="20"/>
          <w:szCs w:val="20"/>
        </w:rPr>
        <w:instrText xml:space="preserve"> ADDIN EN.CITE &lt;EndNote&gt;&lt;Cite&gt;&lt;Author&gt;Mounet&lt;/Author&gt;&lt;Year&gt;2018&lt;/Year&gt;&lt;RecNum&gt;853&lt;/RecNum&gt;&lt;DisplayText&gt;&lt;style face="superscript"&gt;6&lt;/style&gt;&lt;/DisplayText&gt;&lt;record&gt;&lt;rec-number&gt;853&lt;/rec-number&gt;&lt;foreign-keys&gt;&lt;key app="EN" db-id="5ww02vf0zz0s5uez9dop52zwwsd2tssxwsvr" timestamp="1648260161"&gt;853&lt;/key&gt;&lt;/foreign-keys&gt;&lt;ref-type name="Journal Article"&gt;17&lt;/ref-type&gt;&lt;contributors&gt;&lt;authors&gt;&lt;author&gt;Mounet, Nicolas&lt;/author&gt;&lt;author&gt;Gibertini, Marco&lt;/author&gt;&lt;author&gt;Schwaller, Philippe&lt;/author&gt;&lt;author&gt;Campi, Davide&lt;/author&gt;&lt;author&gt;Merkys, Andrius&lt;/author&gt;&lt;author&gt;Marrazzo, Antimo&lt;/author&gt;&lt;author&gt;Sohier, Thibault&lt;/author&gt;&lt;author&gt;Castelli, Ivano Eligio&lt;/author&gt;&lt;author&gt;Cepellotti, Andrea&lt;/author&gt;&lt;author&gt;Pizzi, Giovanni&lt;/author&gt;&lt;author&gt;Marzari, Nicola&lt;/author&gt;&lt;/authors&gt;&lt;/contributors&gt;&lt;titles&gt;&lt;title&gt;Two-dimensional materials from high-throughput computational exfoliation of experimentally known compounds&lt;/title&gt;&lt;secondary-title&gt;Nature Nanotechnology&lt;/secondary-title&gt;&lt;/titles&gt;&lt;periodical&gt;&lt;full-title&gt;Nature nanotechnology&lt;/full-title&gt;&lt;/periodical&gt;&lt;pages&gt;246-252&lt;/pages&gt;&lt;volume&gt;13&lt;/volume&gt;&lt;number&gt;3&lt;/number&gt;&lt;dates&gt;&lt;year&gt;2018&lt;/year&gt;&lt;pub-dates&gt;&lt;date&gt;2018/03/01&lt;/date&gt;&lt;/pub-dates&gt;&lt;/dates&gt;&lt;isbn&gt;1748-3395&lt;/isbn&gt;&lt;urls&gt;&lt;related-urls&gt;&lt;url&gt;https://doi.org/10.1038/s41565-017-0035-5&lt;/url&gt;&lt;/related-urls&gt;&lt;/urls&gt;&lt;electronic-resource-num&gt;10.1038/s41565-017-0035-5&lt;/electronic-resource-num&gt;&lt;/record&gt;&lt;/Cite&gt;&lt;/EndNote&gt;</w:instrText>
      </w:r>
      <w:r w:rsidRPr="0027124E">
        <w:rPr>
          <w:rFonts w:ascii="Palatino Linotype" w:eastAsia="Palatino Linotype" w:hAnsi="Palatino Linotype" w:cs="Palatino Linotype"/>
          <w:color w:val="000000" w:themeColor="text1"/>
          <w:sz w:val="20"/>
          <w:szCs w:val="20"/>
        </w:rPr>
        <w:fldChar w:fldCharType="separate"/>
      </w:r>
      <w:r w:rsidR="00457825" w:rsidRPr="0027124E">
        <w:rPr>
          <w:rFonts w:ascii="Palatino Linotype" w:eastAsia="Palatino Linotype" w:hAnsi="Palatino Linotype" w:cs="Palatino Linotype"/>
          <w:noProof/>
          <w:color w:val="000000" w:themeColor="text1"/>
          <w:sz w:val="20"/>
          <w:szCs w:val="20"/>
          <w:vertAlign w:val="superscript"/>
        </w:rPr>
        <w:t>6</w:t>
      </w:r>
      <w:r w:rsidRPr="0027124E">
        <w:rPr>
          <w:rFonts w:ascii="Palatino Linotype" w:eastAsia="Palatino Linotype" w:hAnsi="Palatino Linotype" w:cs="Palatino Linotype"/>
          <w:color w:val="000000" w:themeColor="text1"/>
          <w:sz w:val="20"/>
          <w:szCs w:val="20"/>
        </w:rPr>
        <w:fldChar w:fldCharType="end"/>
      </w:r>
      <w:r w:rsidRPr="0027124E">
        <w:rPr>
          <w:rFonts w:ascii="Palatino Linotype" w:eastAsia="Palatino Linotype" w:hAnsi="Palatino Linotype" w:cs="Palatino Linotype"/>
          <w:color w:val="000000" w:themeColor="text1"/>
          <w:sz w:val="20"/>
          <w:szCs w:val="20"/>
        </w:rPr>
        <w:t xml:space="preserve">, and the ID in the source database (ID SDB). </w:t>
      </w:r>
    </w:p>
    <w:tbl>
      <w:tblPr>
        <w:tblStyle w:val="TableGrid"/>
        <w:tblW w:w="0" w:type="auto"/>
        <w:tblLook w:val="04A0" w:firstRow="1" w:lastRow="0" w:firstColumn="1" w:lastColumn="0" w:noHBand="0" w:noVBand="1"/>
      </w:tblPr>
      <w:tblGrid>
        <w:gridCol w:w="1155"/>
        <w:gridCol w:w="1155"/>
        <w:gridCol w:w="1155"/>
        <w:gridCol w:w="1038"/>
        <w:gridCol w:w="1375"/>
        <w:gridCol w:w="1052"/>
        <w:gridCol w:w="1156"/>
        <w:gridCol w:w="1156"/>
      </w:tblGrid>
      <w:tr w:rsidR="00644E71" w:rsidRPr="0027124E" w14:paraId="4667A91F" w14:textId="77777777" w:rsidTr="00D80D26">
        <w:tc>
          <w:tcPr>
            <w:tcW w:w="1155" w:type="dxa"/>
          </w:tcPr>
          <w:p w14:paraId="510BDF0B"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Formula</w:t>
            </w:r>
          </w:p>
        </w:tc>
        <w:tc>
          <w:tcPr>
            <w:tcW w:w="1155" w:type="dxa"/>
          </w:tcPr>
          <w:p w14:paraId="4F789438"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SG</w:t>
            </w:r>
          </w:p>
        </w:tc>
        <w:tc>
          <w:tcPr>
            <w:tcW w:w="1155" w:type="dxa"/>
          </w:tcPr>
          <w:p w14:paraId="5FDAFF69"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Structure Prototype</w:t>
            </w:r>
          </w:p>
        </w:tc>
        <w:tc>
          <w:tcPr>
            <w:tcW w:w="1038" w:type="dxa"/>
          </w:tcPr>
          <w:p w14:paraId="6F853B87"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E</w:t>
            </w:r>
            <w:r w:rsidRPr="0027124E">
              <w:rPr>
                <w:rFonts w:ascii="Palatino Linotype" w:eastAsia="Palatino Linotype" w:hAnsi="Palatino Linotype" w:cs="Palatino Linotype"/>
                <w:b/>
                <w:bCs/>
                <w:color w:val="000000" w:themeColor="text1"/>
                <w:sz w:val="20"/>
                <w:szCs w:val="20"/>
                <w:vertAlign w:val="subscript"/>
              </w:rPr>
              <w:t>g</w:t>
            </w:r>
            <w:r w:rsidRPr="0027124E">
              <w:rPr>
                <w:rFonts w:ascii="Palatino Linotype" w:eastAsia="Palatino Linotype" w:hAnsi="Palatino Linotype" w:cs="Palatino Linotype"/>
                <w:b/>
                <w:bCs/>
                <w:color w:val="000000" w:themeColor="text1"/>
                <w:sz w:val="20"/>
                <w:szCs w:val="20"/>
              </w:rPr>
              <w:t xml:space="preserve"> (eV)</w:t>
            </w:r>
          </w:p>
        </w:tc>
        <w:tc>
          <w:tcPr>
            <w:tcW w:w="1375" w:type="dxa"/>
          </w:tcPr>
          <w:p w14:paraId="6549A8D2"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E</w:t>
            </w:r>
            <w:r w:rsidRPr="0027124E">
              <w:rPr>
                <w:rFonts w:ascii="Palatino Linotype" w:eastAsia="Palatino Linotype" w:hAnsi="Palatino Linotype" w:cs="Palatino Linotype"/>
                <w:b/>
                <w:bCs/>
                <w:color w:val="000000" w:themeColor="text1"/>
                <w:sz w:val="20"/>
                <w:szCs w:val="20"/>
                <w:vertAlign w:val="subscript"/>
              </w:rPr>
              <w:t>b</w:t>
            </w:r>
            <w:r w:rsidRPr="0027124E">
              <w:rPr>
                <w:rFonts w:ascii="Palatino Linotype" w:eastAsia="Palatino Linotype" w:hAnsi="Palatino Linotype" w:cs="Palatino Linotype"/>
                <w:b/>
                <w:bCs/>
                <w:color w:val="000000" w:themeColor="text1"/>
                <w:sz w:val="20"/>
                <w:szCs w:val="20"/>
              </w:rPr>
              <w:t xml:space="preserve"> (meV/Å2)</w:t>
            </w:r>
          </w:p>
        </w:tc>
        <w:tc>
          <w:tcPr>
            <w:tcW w:w="1052" w:type="dxa"/>
          </w:tcPr>
          <w:p w14:paraId="55DE6704"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 xml:space="preserve">3D SG </w:t>
            </w:r>
          </w:p>
        </w:tc>
        <w:tc>
          <w:tcPr>
            <w:tcW w:w="1156" w:type="dxa"/>
          </w:tcPr>
          <w:p w14:paraId="5022DF6A"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SDB of 3D</w:t>
            </w:r>
          </w:p>
        </w:tc>
        <w:tc>
          <w:tcPr>
            <w:tcW w:w="1156" w:type="dxa"/>
          </w:tcPr>
          <w:p w14:paraId="64E1D2FA"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ID SDB</w:t>
            </w:r>
          </w:p>
        </w:tc>
      </w:tr>
      <w:tr w:rsidR="00644E71" w:rsidRPr="0027124E" w14:paraId="28AD5B99" w14:textId="77777777" w:rsidTr="00D80D26">
        <w:tc>
          <w:tcPr>
            <w:tcW w:w="1155" w:type="dxa"/>
          </w:tcPr>
          <w:p w14:paraId="11CFDE1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FeSe</w:t>
            </w:r>
          </w:p>
        </w:tc>
        <w:tc>
          <w:tcPr>
            <w:tcW w:w="1155" w:type="dxa"/>
          </w:tcPr>
          <w:p w14:paraId="6E88957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155" w:type="dxa"/>
          </w:tcPr>
          <w:p w14:paraId="08DAC00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 xml:space="preserve">FeSe </w:t>
            </w:r>
          </w:p>
        </w:tc>
        <w:tc>
          <w:tcPr>
            <w:tcW w:w="1038" w:type="dxa"/>
          </w:tcPr>
          <w:p w14:paraId="4B05EFF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75" w:type="dxa"/>
          </w:tcPr>
          <w:p w14:paraId="3DD3904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22.6</w:t>
            </w:r>
          </w:p>
        </w:tc>
        <w:tc>
          <w:tcPr>
            <w:tcW w:w="1052" w:type="dxa"/>
          </w:tcPr>
          <w:p w14:paraId="7852BA7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Cmme</w:t>
            </w:r>
          </w:p>
        </w:tc>
        <w:tc>
          <w:tcPr>
            <w:tcW w:w="1156" w:type="dxa"/>
          </w:tcPr>
          <w:p w14:paraId="18C7B2A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56" w:type="dxa"/>
          </w:tcPr>
          <w:p w14:paraId="401CB73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290411</w:t>
            </w:r>
          </w:p>
        </w:tc>
      </w:tr>
      <w:tr w:rsidR="00644E71" w:rsidRPr="0027124E" w14:paraId="0CCCEAB6" w14:textId="77777777" w:rsidTr="00D80D26">
        <w:tc>
          <w:tcPr>
            <w:tcW w:w="1155" w:type="dxa"/>
          </w:tcPr>
          <w:p w14:paraId="1D9FD34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LaBr</w:t>
            </w:r>
          </w:p>
        </w:tc>
        <w:tc>
          <w:tcPr>
            <w:tcW w:w="1155" w:type="dxa"/>
          </w:tcPr>
          <w:p w14:paraId="1779045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55" w:type="dxa"/>
          </w:tcPr>
          <w:p w14:paraId="18A8444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ZrCl</w:t>
            </w:r>
          </w:p>
        </w:tc>
        <w:tc>
          <w:tcPr>
            <w:tcW w:w="1038" w:type="dxa"/>
          </w:tcPr>
          <w:p w14:paraId="0A4FA33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0.6</w:t>
            </w:r>
          </w:p>
        </w:tc>
        <w:tc>
          <w:tcPr>
            <w:tcW w:w="1375" w:type="dxa"/>
          </w:tcPr>
          <w:p w14:paraId="2C347B6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11.7</w:t>
            </w:r>
          </w:p>
        </w:tc>
        <w:tc>
          <w:tcPr>
            <w:tcW w:w="1052" w:type="dxa"/>
          </w:tcPr>
          <w:p w14:paraId="746DCCE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156" w:type="dxa"/>
          </w:tcPr>
          <w:p w14:paraId="335B324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56" w:type="dxa"/>
          </w:tcPr>
          <w:p w14:paraId="4CA5B99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23354</w:t>
            </w:r>
          </w:p>
        </w:tc>
      </w:tr>
      <w:tr w:rsidR="00644E71" w:rsidRPr="0027124E" w14:paraId="42C9F0BC" w14:textId="77777777" w:rsidTr="00D80D26">
        <w:tc>
          <w:tcPr>
            <w:tcW w:w="1155" w:type="dxa"/>
          </w:tcPr>
          <w:p w14:paraId="2C55055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w:t>
            </w:r>
            <w:r w:rsidRPr="0027124E">
              <w:rPr>
                <w:rFonts w:ascii="Palatino Linotype" w:eastAsia="Palatino Linotype" w:hAnsi="Palatino Linotype" w:cs="Palatino Linotype"/>
                <w:color w:val="000000" w:themeColor="text1"/>
                <w:sz w:val="20"/>
                <w:szCs w:val="20"/>
                <w:vertAlign w:val="subscript"/>
              </w:rPr>
              <w:t>2</w:t>
            </w:r>
          </w:p>
        </w:tc>
        <w:tc>
          <w:tcPr>
            <w:tcW w:w="1155" w:type="dxa"/>
          </w:tcPr>
          <w:p w14:paraId="54BA771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Pmmm</w:t>
            </w:r>
          </w:p>
        </w:tc>
        <w:tc>
          <w:tcPr>
            <w:tcW w:w="1155" w:type="dxa"/>
          </w:tcPr>
          <w:p w14:paraId="1077150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FeO2</w:t>
            </w:r>
          </w:p>
        </w:tc>
        <w:tc>
          <w:tcPr>
            <w:tcW w:w="1038" w:type="dxa"/>
          </w:tcPr>
          <w:p w14:paraId="436D9FE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75" w:type="dxa"/>
          </w:tcPr>
          <w:p w14:paraId="5F9D3BC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16.3</w:t>
            </w:r>
          </w:p>
        </w:tc>
        <w:tc>
          <w:tcPr>
            <w:tcW w:w="1052" w:type="dxa"/>
          </w:tcPr>
          <w:p w14:paraId="2E0A7A9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Cmcm</w:t>
            </w:r>
          </w:p>
        </w:tc>
        <w:tc>
          <w:tcPr>
            <w:tcW w:w="1156" w:type="dxa"/>
          </w:tcPr>
          <w:p w14:paraId="630CAE2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56" w:type="dxa"/>
          </w:tcPr>
          <w:p w14:paraId="788288E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9015156</w:t>
            </w:r>
          </w:p>
        </w:tc>
      </w:tr>
      <w:tr w:rsidR="00644E71" w:rsidRPr="0027124E" w14:paraId="319A4640" w14:textId="77777777" w:rsidTr="00D80D26">
        <w:tc>
          <w:tcPr>
            <w:tcW w:w="1155" w:type="dxa"/>
          </w:tcPr>
          <w:p w14:paraId="582543C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PrOI</w:t>
            </w:r>
          </w:p>
        </w:tc>
        <w:tc>
          <w:tcPr>
            <w:tcW w:w="1155" w:type="dxa"/>
          </w:tcPr>
          <w:p w14:paraId="28A5D6D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P4mm</w:t>
            </w:r>
          </w:p>
        </w:tc>
        <w:tc>
          <w:tcPr>
            <w:tcW w:w="1155" w:type="dxa"/>
          </w:tcPr>
          <w:p w14:paraId="7D302D7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1038" w:type="dxa"/>
          </w:tcPr>
          <w:p w14:paraId="3C4CA73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75" w:type="dxa"/>
          </w:tcPr>
          <w:p w14:paraId="63B6B39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14.9</w:t>
            </w:r>
          </w:p>
        </w:tc>
        <w:tc>
          <w:tcPr>
            <w:tcW w:w="1052" w:type="dxa"/>
          </w:tcPr>
          <w:p w14:paraId="7314181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156" w:type="dxa"/>
          </w:tcPr>
          <w:p w14:paraId="64EE318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56" w:type="dxa"/>
          </w:tcPr>
          <w:p w14:paraId="20EFFBC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1530611</w:t>
            </w:r>
          </w:p>
        </w:tc>
      </w:tr>
      <w:tr w:rsidR="00644E71" w:rsidRPr="0027124E" w14:paraId="5BCC4F82" w14:textId="77777777" w:rsidTr="00D80D26">
        <w:tc>
          <w:tcPr>
            <w:tcW w:w="1155" w:type="dxa"/>
          </w:tcPr>
          <w:p w14:paraId="0685D9F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1155" w:type="dxa"/>
          </w:tcPr>
          <w:p w14:paraId="5808CFD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55" w:type="dxa"/>
          </w:tcPr>
          <w:p w14:paraId="6519905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PeOCl</w:t>
            </w:r>
          </w:p>
        </w:tc>
        <w:tc>
          <w:tcPr>
            <w:tcW w:w="1038" w:type="dxa"/>
          </w:tcPr>
          <w:p w14:paraId="20C4414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75" w:type="dxa"/>
          </w:tcPr>
          <w:p w14:paraId="24087C6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14.2</w:t>
            </w:r>
          </w:p>
        </w:tc>
        <w:tc>
          <w:tcPr>
            <w:tcW w:w="1052" w:type="dxa"/>
          </w:tcPr>
          <w:p w14:paraId="74989BA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56" w:type="dxa"/>
          </w:tcPr>
          <w:p w14:paraId="1D9876F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56" w:type="dxa"/>
          </w:tcPr>
          <w:p w14:paraId="7D19A49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1010645</w:t>
            </w:r>
          </w:p>
        </w:tc>
      </w:tr>
      <w:tr w:rsidR="00644E71" w:rsidRPr="0027124E" w14:paraId="1F9B6906" w14:textId="77777777" w:rsidTr="00D80D26">
        <w:tc>
          <w:tcPr>
            <w:tcW w:w="1155" w:type="dxa"/>
          </w:tcPr>
          <w:p w14:paraId="4813047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VOBr</w:t>
            </w:r>
          </w:p>
        </w:tc>
        <w:tc>
          <w:tcPr>
            <w:tcW w:w="1155" w:type="dxa"/>
          </w:tcPr>
          <w:p w14:paraId="1C9F4C0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55" w:type="dxa"/>
          </w:tcPr>
          <w:p w14:paraId="2635947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1038" w:type="dxa"/>
          </w:tcPr>
          <w:p w14:paraId="708DA23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75" w:type="dxa"/>
          </w:tcPr>
          <w:p w14:paraId="049459D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14.7</w:t>
            </w:r>
          </w:p>
        </w:tc>
        <w:tc>
          <w:tcPr>
            <w:tcW w:w="1052" w:type="dxa"/>
          </w:tcPr>
          <w:p w14:paraId="4A485D4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56" w:type="dxa"/>
          </w:tcPr>
          <w:p w14:paraId="55307A5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56" w:type="dxa"/>
          </w:tcPr>
          <w:p w14:paraId="3FD3136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27010</w:t>
            </w:r>
          </w:p>
        </w:tc>
      </w:tr>
    </w:tbl>
    <w:p w14:paraId="2818DD87" w14:textId="77777777" w:rsidR="00644E71" w:rsidRPr="0027124E" w:rsidRDefault="00644E71" w:rsidP="00644E71">
      <w:pPr>
        <w:pBdr>
          <w:top w:val="nil"/>
          <w:left w:val="nil"/>
          <w:bottom w:val="nil"/>
          <w:right w:val="nil"/>
          <w:between w:val="nil"/>
        </w:pBdr>
        <w:spacing w:line="276" w:lineRule="auto"/>
        <w:jc w:val="both"/>
        <w:rPr>
          <w:rFonts w:ascii="Palatino Linotype" w:eastAsia="Palatino Linotype" w:hAnsi="Palatino Linotype" w:cs="Palatino Linotype"/>
          <w:color w:val="000000" w:themeColor="text1"/>
          <w:sz w:val="22"/>
          <w:szCs w:val="22"/>
        </w:rPr>
      </w:pPr>
    </w:p>
    <w:p w14:paraId="5CF74F6B" w14:textId="6E673C66" w:rsidR="00644E71" w:rsidRPr="0027124E" w:rsidRDefault="00644E71" w:rsidP="00644E71">
      <w:pPr>
        <w:pBdr>
          <w:top w:val="nil"/>
          <w:left w:val="nil"/>
          <w:bottom w:val="nil"/>
          <w:right w:val="nil"/>
          <w:between w:val="nil"/>
        </w:pBd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b/>
          <w:bCs/>
          <w:color w:val="000000" w:themeColor="text1"/>
          <w:sz w:val="20"/>
          <w:szCs w:val="20"/>
        </w:rPr>
        <w:t xml:space="preserve">Table </w:t>
      </w:r>
      <w:r w:rsidR="00006B3B" w:rsidRPr="0027124E">
        <w:rPr>
          <w:rFonts w:ascii="Palatino Linotype" w:eastAsia="Palatino Linotype" w:hAnsi="Palatino Linotype" w:cs="Palatino Linotype"/>
          <w:b/>
          <w:bCs/>
          <w:color w:val="000000" w:themeColor="text1"/>
          <w:sz w:val="20"/>
          <w:szCs w:val="20"/>
        </w:rPr>
        <w:t>S</w:t>
      </w:r>
      <w:r w:rsidRPr="0027124E">
        <w:rPr>
          <w:rFonts w:ascii="Palatino Linotype" w:eastAsia="Palatino Linotype" w:hAnsi="Palatino Linotype" w:cs="Palatino Linotype"/>
          <w:b/>
          <w:bCs/>
          <w:color w:val="000000" w:themeColor="text1"/>
          <w:sz w:val="20"/>
          <w:szCs w:val="20"/>
        </w:rPr>
        <w:t>II. Easily exfoliable 2D magnetic compounds with FM configuration belonging to SST-5 class</w:t>
      </w:r>
      <w:r w:rsidRPr="0027124E">
        <w:rPr>
          <w:rFonts w:ascii="Palatino Linotype" w:eastAsia="Palatino Linotype" w:hAnsi="Palatino Linotype" w:cs="Palatino Linotype"/>
          <w:color w:val="000000" w:themeColor="text1"/>
          <w:sz w:val="20"/>
          <w:szCs w:val="20"/>
        </w:rPr>
        <w:t xml:space="preserve"> </w:t>
      </w:r>
      <w:r w:rsidRPr="0027124E">
        <w:rPr>
          <w:rFonts w:ascii="Palatino Linotype" w:eastAsia="Palatino Linotype" w:hAnsi="Palatino Linotype" w:cs="Palatino Linotype"/>
          <w:color w:val="000000" w:themeColor="text1"/>
          <w:sz w:val="20"/>
          <w:szCs w:val="20"/>
        </w:rPr>
        <w:fldChar w:fldCharType="begin"/>
      </w:r>
      <w:r w:rsidR="00457825" w:rsidRPr="0027124E">
        <w:rPr>
          <w:rFonts w:ascii="Palatino Linotype" w:eastAsia="Palatino Linotype" w:hAnsi="Palatino Linotype" w:cs="Palatino Linotype"/>
          <w:color w:val="000000" w:themeColor="text1"/>
          <w:sz w:val="20"/>
          <w:szCs w:val="20"/>
        </w:rPr>
        <w:instrText xml:space="preserve"> ADDIN EN.CITE &lt;EndNote&gt;&lt;Cite&gt;&lt;Author&gt;Yuan&lt;/Author&gt;&lt;Year&gt;2021&lt;/Year&gt;&lt;RecNum&gt;750&lt;/RecNum&gt;&lt;DisplayText&gt;&lt;style face="superscript"&gt;5&lt;/style&gt;&lt;/DisplayText&gt;&lt;record&gt;&lt;rec-number&gt;750&lt;/rec-number&gt;&lt;foreign-keys&gt;&lt;key app="EN" db-id="5ww02vf0zz0s5uez9dop52zwwsd2tssxwsvr" timestamp="1611129917" guid="0cf4e45a-50ad-4b13-b85e-de05d19d366b"&gt;750&lt;/key&gt;&lt;/foreign-keys&gt;&lt;ref-type name="Journal Article"&gt;17&lt;/ref-type&gt;&lt;contributors&gt;&lt;authors&gt;&lt;author&gt;Yuan, Lin-Ding&lt;/author&gt;&lt;author&gt;Wang, Zhi&lt;/author&gt;&lt;author&gt;Luo, Jun-Wei&lt;/author&gt;&lt;author&gt;Zunger, Alex&lt;/author&gt;&lt;/authors&gt;&lt;/contributors&gt;&lt;titles&gt;&lt;title&gt;Prediction of low-Z collinear and noncollinear antiferromagnetic compounds having momentum-dependent spin splitting even without spin-orbit coupling&lt;/title&gt;&lt;secondary-title&gt;Physical Review Materials&lt;/secondary-title&gt;&lt;/titles&gt;&lt;periodical&gt;&lt;full-title&gt;Physical Review Materials&lt;/full-title&gt;&lt;/periodical&gt;&lt;pages&gt;014409&lt;/pages&gt;&lt;volume&gt;5&lt;/volume&gt;&lt;number&gt;1&lt;/number&gt;&lt;dates&gt;&lt;year&gt;2021&lt;/year&gt;&lt;pub-dates&gt;&lt;date&gt;01/19/&lt;/date&gt;&lt;/pub-dates&gt;&lt;/dates&gt;&lt;publisher&gt;American Physical Society&lt;/publisher&gt;&lt;urls&gt;&lt;related-urls&gt;&lt;url&gt;https://link.aps.org/doi/10.1103/PhysRevMaterials.5.014409&lt;/url&gt;&lt;/related-urls&gt;&lt;/urls&gt;&lt;electronic-resource-num&gt;https://doi.org/10.1103/PhysRevMaterials.5.014409&lt;/electronic-resource-num&gt;&lt;/record&gt;&lt;/Cite&gt;&lt;/EndNote&gt;</w:instrText>
      </w:r>
      <w:r w:rsidRPr="0027124E">
        <w:rPr>
          <w:rFonts w:ascii="Palatino Linotype" w:eastAsia="Palatino Linotype" w:hAnsi="Palatino Linotype" w:cs="Palatino Linotype"/>
          <w:color w:val="000000" w:themeColor="text1"/>
          <w:sz w:val="20"/>
          <w:szCs w:val="20"/>
        </w:rPr>
        <w:fldChar w:fldCharType="separate"/>
      </w:r>
      <w:r w:rsidR="00457825" w:rsidRPr="0027124E">
        <w:rPr>
          <w:rFonts w:ascii="Palatino Linotype" w:eastAsia="Palatino Linotype" w:hAnsi="Palatino Linotype" w:cs="Palatino Linotype"/>
          <w:noProof/>
          <w:color w:val="000000" w:themeColor="text1"/>
          <w:sz w:val="20"/>
          <w:szCs w:val="20"/>
          <w:vertAlign w:val="superscript"/>
        </w:rPr>
        <w:t>5</w:t>
      </w:r>
      <w:r w:rsidRPr="0027124E">
        <w:rPr>
          <w:rFonts w:ascii="Palatino Linotype" w:eastAsia="Palatino Linotype" w:hAnsi="Palatino Linotype" w:cs="Palatino Linotype"/>
          <w:color w:val="000000" w:themeColor="text1"/>
          <w:sz w:val="20"/>
          <w:szCs w:val="20"/>
        </w:rPr>
        <w:fldChar w:fldCharType="end"/>
      </w:r>
      <w:r w:rsidRPr="0027124E">
        <w:rPr>
          <w:rFonts w:ascii="Palatino Linotype" w:eastAsia="Palatino Linotype" w:hAnsi="Palatino Linotype" w:cs="Palatino Linotype"/>
          <w:color w:val="000000" w:themeColor="text1"/>
          <w:sz w:val="20"/>
          <w:szCs w:val="20"/>
        </w:rPr>
        <w:t>. The formula, space group, 2D structure prototype, DFT-PBE calculated bandgap (E</w:t>
      </w:r>
      <w:r w:rsidRPr="0027124E">
        <w:rPr>
          <w:rFonts w:ascii="Palatino Linotype" w:eastAsia="Palatino Linotype" w:hAnsi="Palatino Linotype" w:cs="Palatino Linotype"/>
          <w:color w:val="000000" w:themeColor="text1"/>
          <w:sz w:val="20"/>
          <w:szCs w:val="20"/>
          <w:vertAlign w:val="subscript"/>
        </w:rPr>
        <w:t>g</w:t>
      </w:r>
      <w:r w:rsidRPr="0027124E">
        <w:rPr>
          <w:rFonts w:ascii="Palatino Linotype" w:eastAsia="Palatino Linotype" w:hAnsi="Palatino Linotype" w:cs="Palatino Linotype"/>
          <w:color w:val="000000" w:themeColor="text1"/>
          <w:sz w:val="20"/>
          <w:szCs w:val="20"/>
        </w:rPr>
        <w:t>), and binding energy (E</w:t>
      </w:r>
      <w:r w:rsidRPr="0027124E">
        <w:rPr>
          <w:rFonts w:ascii="Palatino Linotype" w:eastAsia="Palatino Linotype" w:hAnsi="Palatino Linotype" w:cs="Palatino Linotype"/>
          <w:color w:val="000000" w:themeColor="text1"/>
          <w:sz w:val="20"/>
          <w:szCs w:val="20"/>
          <w:vertAlign w:val="subscript"/>
        </w:rPr>
        <w:t>b</w:t>
      </w:r>
      <w:r w:rsidRPr="0027124E">
        <w:rPr>
          <w:rFonts w:ascii="Palatino Linotype" w:eastAsia="Palatino Linotype" w:hAnsi="Palatino Linotype" w:cs="Palatino Linotype"/>
          <w:color w:val="000000" w:themeColor="text1"/>
          <w:sz w:val="20"/>
          <w:szCs w:val="20"/>
        </w:rPr>
        <w:t xml:space="preserve">) are indicated. The last three columns describe for the experimental parent structure: the 3D space group (3D SG), source database (SDB) </w:t>
      </w:r>
      <w:r w:rsidRPr="0027124E">
        <w:rPr>
          <w:rFonts w:ascii="Palatino Linotype" w:eastAsia="Palatino Linotype" w:hAnsi="Palatino Linotype" w:cs="Palatino Linotype"/>
          <w:color w:val="000000" w:themeColor="text1"/>
          <w:sz w:val="20"/>
          <w:szCs w:val="20"/>
        </w:rPr>
        <w:fldChar w:fldCharType="begin"/>
      </w:r>
      <w:r w:rsidR="00457825" w:rsidRPr="0027124E">
        <w:rPr>
          <w:rFonts w:ascii="Palatino Linotype" w:eastAsia="Palatino Linotype" w:hAnsi="Palatino Linotype" w:cs="Palatino Linotype"/>
          <w:color w:val="000000" w:themeColor="text1"/>
          <w:sz w:val="20"/>
          <w:szCs w:val="20"/>
        </w:rPr>
        <w:instrText xml:space="preserve"> ADDIN EN.CITE &lt;EndNote&gt;&lt;Cite&gt;&lt;Author&gt;Mounet&lt;/Author&gt;&lt;Year&gt;2018&lt;/Year&gt;&lt;RecNum&gt;853&lt;/RecNum&gt;&lt;DisplayText&gt;&lt;style face="superscript"&gt;6&lt;/style&gt;&lt;/DisplayText&gt;&lt;record&gt;&lt;rec-number&gt;853&lt;/rec-number&gt;&lt;foreign-keys&gt;&lt;key app="EN" db-id="5ww02vf0zz0s5uez9dop52zwwsd2tssxwsvr" timestamp="1648260161"&gt;853&lt;/key&gt;&lt;/foreign-keys&gt;&lt;ref-type name="Journal Article"&gt;17&lt;/ref-type&gt;&lt;contributors&gt;&lt;authors&gt;&lt;author&gt;Mounet, Nicolas&lt;/author&gt;&lt;author&gt;Gibertini, Marco&lt;/author&gt;&lt;author&gt;Schwaller, Philippe&lt;/author&gt;&lt;author&gt;Campi, Davide&lt;/author&gt;&lt;author&gt;Merkys, Andrius&lt;/author&gt;&lt;author&gt;Marrazzo, Antimo&lt;/author&gt;&lt;author&gt;Sohier, Thibault&lt;/author&gt;&lt;author&gt;Castelli, Ivano Eligio&lt;/author&gt;&lt;author&gt;Cepellotti, Andrea&lt;/author&gt;&lt;author&gt;Pizzi, Giovanni&lt;/author&gt;&lt;author&gt;Marzari, Nicola&lt;/author&gt;&lt;/authors&gt;&lt;/contributors&gt;&lt;titles&gt;&lt;title&gt;Two-dimensional materials from high-throughput computational exfoliation of experimentally known compounds&lt;/title&gt;&lt;secondary-title&gt;Nature Nanotechnology&lt;/secondary-title&gt;&lt;/titles&gt;&lt;periodical&gt;&lt;full-title&gt;Nature nanotechnology&lt;/full-title&gt;&lt;/periodical&gt;&lt;pages&gt;246-252&lt;/pages&gt;&lt;volume&gt;13&lt;/volume&gt;&lt;number&gt;3&lt;/number&gt;&lt;dates&gt;&lt;year&gt;2018&lt;/year&gt;&lt;pub-dates&gt;&lt;date&gt;2018/03/01&lt;/date&gt;&lt;/pub-dates&gt;&lt;/dates&gt;&lt;isbn&gt;1748-3395&lt;/isbn&gt;&lt;urls&gt;&lt;related-urls&gt;&lt;url&gt;https://doi.org/10.1038/s41565-017-0035-5&lt;/url&gt;&lt;/related-urls&gt;&lt;/urls&gt;&lt;electronic-resource-num&gt;10.1038/s41565-017-0035-5&lt;/electronic-resource-num&gt;&lt;/record&gt;&lt;/Cite&gt;&lt;/EndNote&gt;</w:instrText>
      </w:r>
      <w:r w:rsidRPr="0027124E">
        <w:rPr>
          <w:rFonts w:ascii="Palatino Linotype" w:eastAsia="Palatino Linotype" w:hAnsi="Palatino Linotype" w:cs="Palatino Linotype"/>
          <w:color w:val="000000" w:themeColor="text1"/>
          <w:sz w:val="20"/>
          <w:szCs w:val="20"/>
        </w:rPr>
        <w:fldChar w:fldCharType="separate"/>
      </w:r>
      <w:r w:rsidR="00457825" w:rsidRPr="0027124E">
        <w:rPr>
          <w:rFonts w:ascii="Palatino Linotype" w:eastAsia="Palatino Linotype" w:hAnsi="Palatino Linotype" w:cs="Palatino Linotype"/>
          <w:noProof/>
          <w:color w:val="000000" w:themeColor="text1"/>
          <w:sz w:val="20"/>
          <w:szCs w:val="20"/>
          <w:vertAlign w:val="superscript"/>
        </w:rPr>
        <w:t>6</w:t>
      </w:r>
      <w:r w:rsidRPr="0027124E">
        <w:rPr>
          <w:rFonts w:ascii="Palatino Linotype" w:eastAsia="Palatino Linotype" w:hAnsi="Palatino Linotype" w:cs="Palatino Linotype"/>
          <w:color w:val="000000" w:themeColor="text1"/>
          <w:sz w:val="20"/>
          <w:szCs w:val="20"/>
        </w:rPr>
        <w:fldChar w:fldCharType="end"/>
      </w:r>
      <w:r w:rsidRPr="0027124E">
        <w:rPr>
          <w:rFonts w:ascii="Palatino Linotype" w:eastAsia="Palatino Linotype" w:hAnsi="Palatino Linotype" w:cs="Palatino Linotype"/>
          <w:color w:val="000000" w:themeColor="text1"/>
          <w:sz w:val="20"/>
          <w:szCs w:val="20"/>
        </w:rPr>
        <w:t xml:space="preserve">, and the ID in the source database (ID SDB). </w:t>
      </w:r>
    </w:p>
    <w:tbl>
      <w:tblPr>
        <w:tblStyle w:val="TableGrid"/>
        <w:tblW w:w="0" w:type="auto"/>
        <w:tblLook w:val="04A0" w:firstRow="1" w:lastRow="0" w:firstColumn="1" w:lastColumn="0" w:noHBand="0" w:noVBand="1"/>
      </w:tblPr>
      <w:tblGrid>
        <w:gridCol w:w="1135"/>
        <w:gridCol w:w="1133"/>
        <w:gridCol w:w="1194"/>
        <w:gridCol w:w="845"/>
        <w:gridCol w:w="1368"/>
        <w:gridCol w:w="1149"/>
        <w:gridCol w:w="1070"/>
        <w:gridCol w:w="1122"/>
      </w:tblGrid>
      <w:tr w:rsidR="00644E71" w:rsidRPr="0027124E" w14:paraId="3172847A" w14:textId="77777777" w:rsidTr="00D80D26">
        <w:tc>
          <w:tcPr>
            <w:tcW w:w="1135" w:type="dxa"/>
          </w:tcPr>
          <w:p w14:paraId="16AEB1BC"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Formula</w:t>
            </w:r>
          </w:p>
        </w:tc>
        <w:tc>
          <w:tcPr>
            <w:tcW w:w="1133" w:type="dxa"/>
          </w:tcPr>
          <w:p w14:paraId="46E5486C"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SG</w:t>
            </w:r>
          </w:p>
        </w:tc>
        <w:tc>
          <w:tcPr>
            <w:tcW w:w="1194" w:type="dxa"/>
          </w:tcPr>
          <w:p w14:paraId="651829E1"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Structure Prototype</w:t>
            </w:r>
          </w:p>
        </w:tc>
        <w:tc>
          <w:tcPr>
            <w:tcW w:w="845" w:type="dxa"/>
          </w:tcPr>
          <w:p w14:paraId="6B0B83FD"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E</w:t>
            </w:r>
            <w:r w:rsidRPr="0027124E">
              <w:rPr>
                <w:rFonts w:ascii="Palatino Linotype" w:eastAsia="Palatino Linotype" w:hAnsi="Palatino Linotype" w:cs="Palatino Linotype"/>
                <w:b/>
                <w:bCs/>
                <w:color w:val="000000" w:themeColor="text1"/>
                <w:sz w:val="20"/>
                <w:szCs w:val="20"/>
                <w:vertAlign w:val="subscript"/>
              </w:rPr>
              <w:t>g</w:t>
            </w:r>
            <w:r w:rsidRPr="0027124E">
              <w:rPr>
                <w:rFonts w:ascii="Palatino Linotype" w:eastAsia="Palatino Linotype" w:hAnsi="Palatino Linotype" w:cs="Palatino Linotype"/>
                <w:b/>
                <w:bCs/>
                <w:color w:val="000000" w:themeColor="text1"/>
                <w:sz w:val="20"/>
                <w:szCs w:val="20"/>
              </w:rPr>
              <w:t xml:space="preserve"> (eV)</w:t>
            </w:r>
          </w:p>
        </w:tc>
        <w:tc>
          <w:tcPr>
            <w:tcW w:w="1368" w:type="dxa"/>
          </w:tcPr>
          <w:p w14:paraId="33D3664A"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E</w:t>
            </w:r>
            <w:r w:rsidRPr="0027124E">
              <w:rPr>
                <w:rFonts w:ascii="Palatino Linotype" w:eastAsia="Palatino Linotype" w:hAnsi="Palatino Linotype" w:cs="Palatino Linotype"/>
                <w:b/>
                <w:bCs/>
                <w:color w:val="000000" w:themeColor="text1"/>
                <w:sz w:val="20"/>
                <w:szCs w:val="20"/>
                <w:vertAlign w:val="subscript"/>
              </w:rPr>
              <w:t>b</w:t>
            </w:r>
            <w:r w:rsidRPr="0027124E">
              <w:rPr>
                <w:rFonts w:ascii="Palatino Linotype" w:eastAsia="Palatino Linotype" w:hAnsi="Palatino Linotype" w:cs="Palatino Linotype"/>
                <w:b/>
                <w:bCs/>
                <w:color w:val="000000" w:themeColor="text1"/>
                <w:sz w:val="20"/>
                <w:szCs w:val="20"/>
              </w:rPr>
              <w:t xml:space="preserve"> (meV/Å2)</w:t>
            </w:r>
          </w:p>
        </w:tc>
        <w:tc>
          <w:tcPr>
            <w:tcW w:w="1149" w:type="dxa"/>
          </w:tcPr>
          <w:p w14:paraId="5007F594"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 xml:space="preserve">3D SG </w:t>
            </w:r>
          </w:p>
        </w:tc>
        <w:tc>
          <w:tcPr>
            <w:tcW w:w="1070" w:type="dxa"/>
          </w:tcPr>
          <w:p w14:paraId="5C6520A8"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SDB of 3D</w:t>
            </w:r>
          </w:p>
        </w:tc>
        <w:tc>
          <w:tcPr>
            <w:tcW w:w="1122" w:type="dxa"/>
          </w:tcPr>
          <w:p w14:paraId="2EA2AA78" w14:textId="77777777" w:rsidR="00644E71" w:rsidRPr="0027124E" w:rsidRDefault="00644E71" w:rsidP="00D80D26">
            <w:pPr>
              <w:spacing w:line="276" w:lineRule="auto"/>
              <w:jc w:val="both"/>
              <w:rPr>
                <w:rFonts w:ascii="Palatino Linotype" w:eastAsia="Palatino Linotype" w:hAnsi="Palatino Linotype" w:cs="Palatino Linotype"/>
                <w:b/>
                <w:bCs/>
                <w:color w:val="000000" w:themeColor="text1"/>
                <w:sz w:val="20"/>
                <w:szCs w:val="20"/>
              </w:rPr>
            </w:pPr>
            <w:r w:rsidRPr="0027124E">
              <w:rPr>
                <w:rFonts w:ascii="Palatino Linotype" w:eastAsia="Palatino Linotype" w:hAnsi="Palatino Linotype" w:cs="Palatino Linotype"/>
                <w:b/>
                <w:bCs/>
                <w:color w:val="000000" w:themeColor="text1"/>
                <w:sz w:val="20"/>
                <w:szCs w:val="20"/>
              </w:rPr>
              <w:t>ID SDB</w:t>
            </w:r>
          </w:p>
        </w:tc>
      </w:tr>
      <w:tr w:rsidR="00644E71" w:rsidRPr="0027124E" w14:paraId="012E5C82" w14:textId="77777777" w:rsidTr="00D80D26">
        <w:tc>
          <w:tcPr>
            <w:tcW w:w="1135" w:type="dxa"/>
          </w:tcPr>
          <w:p w14:paraId="11510FB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CoBr</w:t>
            </w:r>
            <w:r w:rsidRPr="0027124E">
              <w:rPr>
                <w:rFonts w:ascii="Palatino Linotype" w:eastAsia="Palatino Linotype" w:hAnsi="Palatino Linotype" w:cs="Palatino Linotype"/>
                <w:color w:val="000000" w:themeColor="text1"/>
                <w:sz w:val="20"/>
                <w:szCs w:val="20"/>
                <w:vertAlign w:val="subscript"/>
              </w:rPr>
              <w:t>2</w:t>
            </w:r>
            <w:r w:rsidRPr="0027124E">
              <w:rPr>
                <w:rFonts w:ascii="Palatino Linotype" w:eastAsia="Palatino Linotype" w:hAnsi="Palatino Linotype" w:cs="Palatino Linotype"/>
                <w:color w:val="000000" w:themeColor="text1"/>
                <w:sz w:val="20"/>
                <w:szCs w:val="20"/>
              </w:rPr>
              <w:t xml:space="preserve"> </w:t>
            </w:r>
          </w:p>
        </w:tc>
        <w:tc>
          <w:tcPr>
            <w:tcW w:w="1133" w:type="dxa"/>
          </w:tcPr>
          <w:p w14:paraId="6DD4BFB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15CAA57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1A3AC10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0.2</w:t>
            </w:r>
          </w:p>
        </w:tc>
        <w:tc>
          <w:tcPr>
            <w:tcW w:w="1368" w:type="dxa"/>
          </w:tcPr>
          <w:p w14:paraId="5B0C6B4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16.8</w:t>
            </w:r>
          </w:p>
        </w:tc>
        <w:tc>
          <w:tcPr>
            <w:tcW w:w="1149" w:type="dxa"/>
          </w:tcPr>
          <w:p w14:paraId="067D84E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1860452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404A65C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9016149</w:t>
            </w:r>
          </w:p>
        </w:tc>
      </w:tr>
      <w:tr w:rsidR="00644E71" w:rsidRPr="0027124E" w14:paraId="0B839786" w14:textId="77777777" w:rsidTr="00D80D26">
        <w:tc>
          <w:tcPr>
            <w:tcW w:w="1135" w:type="dxa"/>
          </w:tcPr>
          <w:p w14:paraId="6A9F8DF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CoCl</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0616130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17E5A24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5F8E6AD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0.2</w:t>
            </w:r>
          </w:p>
        </w:tc>
        <w:tc>
          <w:tcPr>
            <w:tcW w:w="1368" w:type="dxa"/>
          </w:tcPr>
          <w:p w14:paraId="75A64C3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10.7</w:t>
            </w:r>
          </w:p>
        </w:tc>
        <w:tc>
          <w:tcPr>
            <w:tcW w:w="1149" w:type="dxa"/>
          </w:tcPr>
          <w:p w14:paraId="07C5DE9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4CF8811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747D71C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9014719</w:t>
            </w:r>
          </w:p>
        </w:tc>
      </w:tr>
      <w:tr w:rsidR="00644E71" w:rsidRPr="0027124E" w14:paraId="1F7C7319" w14:textId="77777777" w:rsidTr="00D80D26">
        <w:tc>
          <w:tcPr>
            <w:tcW w:w="1135" w:type="dxa"/>
          </w:tcPr>
          <w:p w14:paraId="52589F4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CoO</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2CE28DE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0A6BACF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5FD760D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64AADB2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22.6</w:t>
            </w:r>
          </w:p>
        </w:tc>
        <w:tc>
          <w:tcPr>
            <w:tcW w:w="1149" w:type="dxa"/>
          </w:tcPr>
          <w:p w14:paraId="09A6C9E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5E9C6F1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325FC7B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1522027</w:t>
            </w:r>
          </w:p>
        </w:tc>
      </w:tr>
      <w:tr w:rsidR="00644E71" w:rsidRPr="0027124E" w14:paraId="7F217A1C" w14:textId="77777777" w:rsidTr="00D80D26">
        <w:tc>
          <w:tcPr>
            <w:tcW w:w="1135" w:type="dxa"/>
          </w:tcPr>
          <w:p w14:paraId="0458367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FeBr</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472F19E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75025BA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76823B1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7D21576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15.5</w:t>
            </w:r>
          </w:p>
        </w:tc>
        <w:tc>
          <w:tcPr>
            <w:tcW w:w="1149" w:type="dxa"/>
          </w:tcPr>
          <w:p w14:paraId="03226B2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5A765AB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0982EF4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9009102</w:t>
            </w:r>
          </w:p>
        </w:tc>
      </w:tr>
      <w:tr w:rsidR="00644E71" w:rsidRPr="0027124E" w14:paraId="68278B6A" w14:textId="77777777" w:rsidTr="00D80D26">
        <w:tc>
          <w:tcPr>
            <w:tcW w:w="1135" w:type="dxa"/>
          </w:tcPr>
          <w:p w14:paraId="42567AC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FeI</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0AB1392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4BEB4A1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1C87216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0719A20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16.9</w:t>
            </w:r>
          </w:p>
        </w:tc>
        <w:tc>
          <w:tcPr>
            <w:tcW w:w="1149" w:type="dxa"/>
          </w:tcPr>
          <w:p w14:paraId="7D6A653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75BA24C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0120F36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9009103</w:t>
            </w:r>
          </w:p>
        </w:tc>
      </w:tr>
      <w:tr w:rsidR="00644E71" w:rsidRPr="0027124E" w14:paraId="674BA7B6" w14:textId="77777777" w:rsidTr="00D80D26">
        <w:tc>
          <w:tcPr>
            <w:tcW w:w="1135" w:type="dxa"/>
          </w:tcPr>
          <w:p w14:paraId="501C542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lastRenderedPageBreak/>
              <w:t>NiBr</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69D517A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2EF990C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3733E8B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0.8</w:t>
            </w:r>
          </w:p>
        </w:tc>
        <w:tc>
          <w:tcPr>
            <w:tcW w:w="1368" w:type="dxa"/>
          </w:tcPr>
          <w:p w14:paraId="5D73F78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18.1</w:t>
            </w:r>
          </w:p>
        </w:tc>
        <w:tc>
          <w:tcPr>
            <w:tcW w:w="1149" w:type="dxa"/>
          </w:tcPr>
          <w:p w14:paraId="44EB7BE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18FC93C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2CBCEFE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9008013</w:t>
            </w:r>
          </w:p>
        </w:tc>
      </w:tr>
      <w:tr w:rsidR="00644E71" w:rsidRPr="0027124E" w14:paraId="184DFAE9" w14:textId="77777777" w:rsidTr="00D80D26">
        <w:tc>
          <w:tcPr>
            <w:tcW w:w="1135" w:type="dxa"/>
          </w:tcPr>
          <w:p w14:paraId="5C6DDF8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NiCl</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7E26671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224E882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39CAC22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w:t>
            </w:r>
          </w:p>
        </w:tc>
        <w:tc>
          <w:tcPr>
            <w:tcW w:w="1368" w:type="dxa"/>
          </w:tcPr>
          <w:p w14:paraId="3286EE3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16.3</w:t>
            </w:r>
          </w:p>
        </w:tc>
        <w:tc>
          <w:tcPr>
            <w:tcW w:w="1149" w:type="dxa"/>
          </w:tcPr>
          <w:p w14:paraId="7D6CA51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4C0654A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29EA305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9009132</w:t>
            </w:r>
          </w:p>
        </w:tc>
      </w:tr>
      <w:tr w:rsidR="00644E71" w:rsidRPr="0027124E" w14:paraId="65662A3C" w14:textId="77777777" w:rsidTr="00D80D26">
        <w:tc>
          <w:tcPr>
            <w:tcW w:w="1135" w:type="dxa"/>
          </w:tcPr>
          <w:p w14:paraId="029F8D0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NiI</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3DF2B50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2317220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4980A97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0.3</w:t>
            </w:r>
          </w:p>
        </w:tc>
        <w:tc>
          <w:tcPr>
            <w:tcW w:w="1368" w:type="dxa"/>
          </w:tcPr>
          <w:p w14:paraId="67F285B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21.5</w:t>
            </w:r>
          </w:p>
        </w:tc>
        <w:tc>
          <w:tcPr>
            <w:tcW w:w="1149" w:type="dxa"/>
          </w:tcPr>
          <w:p w14:paraId="5E01640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7667152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6BA2F38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9009133</w:t>
            </w:r>
          </w:p>
        </w:tc>
      </w:tr>
      <w:tr w:rsidR="00644E71" w:rsidRPr="0027124E" w14:paraId="684AFD1A" w14:textId="77777777" w:rsidTr="00D80D26">
        <w:tc>
          <w:tcPr>
            <w:tcW w:w="1135" w:type="dxa"/>
          </w:tcPr>
          <w:p w14:paraId="1B6F1AB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VS</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105F921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3D73CF5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1EE576A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640498F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27.7</w:t>
            </w:r>
          </w:p>
        </w:tc>
        <w:tc>
          <w:tcPr>
            <w:tcW w:w="1149" w:type="dxa"/>
          </w:tcPr>
          <w:p w14:paraId="1F6C0D9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0F527B5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6A5209B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651361</w:t>
            </w:r>
          </w:p>
        </w:tc>
      </w:tr>
      <w:tr w:rsidR="00644E71" w:rsidRPr="0027124E" w14:paraId="66F29332" w14:textId="77777777" w:rsidTr="00D80D26">
        <w:tc>
          <w:tcPr>
            <w:tcW w:w="1135" w:type="dxa"/>
          </w:tcPr>
          <w:p w14:paraId="1FDCCFE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VSe</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752165C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1D4A635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49D2487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2331DB3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25.4</w:t>
            </w:r>
          </w:p>
        </w:tc>
        <w:tc>
          <w:tcPr>
            <w:tcW w:w="1149" w:type="dxa"/>
          </w:tcPr>
          <w:p w14:paraId="4AB471E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0781797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0D1E857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86520</w:t>
            </w:r>
          </w:p>
        </w:tc>
      </w:tr>
      <w:tr w:rsidR="00644E71" w:rsidRPr="0027124E" w14:paraId="1730BAF9" w14:textId="77777777" w:rsidTr="00D80D26">
        <w:tc>
          <w:tcPr>
            <w:tcW w:w="1135" w:type="dxa"/>
          </w:tcPr>
          <w:p w14:paraId="0305E02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VTe</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1373E1E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5FAD155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0E184F4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55A4F6E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27.1</w:t>
            </w:r>
          </w:p>
        </w:tc>
        <w:tc>
          <w:tcPr>
            <w:tcW w:w="1149" w:type="dxa"/>
          </w:tcPr>
          <w:p w14:paraId="34A1060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207071D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14CCFDC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603582</w:t>
            </w:r>
          </w:p>
        </w:tc>
      </w:tr>
      <w:tr w:rsidR="00644E71" w:rsidRPr="0027124E" w14:paraId="69EFB25B" w14:textId="77777777" w:rsidTr="00D80D26">
        <w:tc>
          <w:tcPr>
            <w:tcW w:w="1135" w:type="dxa"/>
          </w:tcPr>
          <w:p w14:paraId="4381A9B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TmI</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6058A15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4332EBA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CdI</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138796C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53B0F93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10.5</w:t>
            </w:r>
          </w:p>
        </w:tc>
        <w:tc>
          <w:tcPr>
            <w:tcW w:w="1149" w:type="dxa"/>
          </w:tcPr>
          <w:p w14:paraId="4756469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53DE055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07808EB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43731</w:t>
            </w:r>
          </w:p>
        </w:tc>
      </w:tr>
      <w:tr w:rsidR="00644E71" w:rsidRPr="0027124E" w14:paraId="17B82ACB" w14:textId="77777777" w:rsidTr="00D80D26">
        <w:tc>
          <w:tcPr>
            <w:tcW w:w="1135" w:type="dxa"/>
          </w:tcPr>
          <w:p w14:paraId="2B9A4FE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LaBr</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59F7707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P6m2</w:t>
            </w:r>
          </w:p>
        </w:tc>
        <w:tc>
          <w:tcPr>
            <w:tcW w:w="1194" w:type="dxa"/>
          </w:tcPr>
          <w:p w14:paraId="04A327A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MoS</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02350D0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0.6</w:t>
            </w:r>
          </w:p>
        </w:tc>
        <w:tc>
          <w:tcPr>
            <w:tcW w:w="1368" w:type="dxa"/>
          </w:tcPr>
          <w:p w14:paraId="4840C95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11.2</w:t>
            </w:r>
          </w:p>
        </w:tc>
        <w:tc>
          <w:tcPr>
            <w:tcW w:w="1149" w:type="dxa"/>
          </w:tcPr>
          <w:p w14:paraId="7877D5C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P6</w:t>
            </w:r>
            <w:r w:rsidRPr="0027124E">
              <w:rPr>
                <w:rFonts w:ascii="Palatino Linotype" w:eastAsia="Palatino Linotype" w:hAnsi="Palatino Linotype" w:cs="Palatino Linotype"/>
                <w:color w:val="000000" w:themeColor="text1"/>
                <w:sz w:val="20"/>
                <w:szCs w:val="20"/>
                <w:vertAlign w:val="subscript"/>
              </w:rPr>
              <w:t>3</w:t>
            </w:r>
            <w:r w:rsidRPr="0027124E">
              <w:rPr>
                <w:rFonts w:ascii="Palatino Linotype" w:eastAsia="Palatino Linotype" w:hAnsi="Palatino Linotype" w:cs="Palatino Linotype"/>
                <w:color w:val="000000" w:themeColor="text1"/>
                <w:sz w:val="20"/>
                <w:szCs w:val="20"/>
              </w:rPr>
              <w:t>/mmc</w:t>
            </w:r>
          </w:p>
        </w:tc>
        <w:tc>
          <w:tcPr>
            <w:tcW w:w="1070" w:type="dxa"/>
          </w:tcPr>
          <w:p w14:paraId="2850603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2E874D9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65481</w:t>
            </w:r>
          </w:p>
        </w:tc>
      </w:tr>
      <w:tr w:rsidR="00644E71" w:rsidRPr="0027124E" w14:paraId="0A55C9CF" w14:textId="77777777" w:rsidTr="00D80D26">
        <w:tc>
          <w:tcPr>
            <w:tcW w:w="1135" w:type="dxa"/>
          </w:tcPr>
          <w:p w14:paraId="0F4E632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FeTe</w:t>
            </w:r>
          </w:p>
        </w:tc>
        <w:tc>
          <w:tcPr>
            <w:tcW w:w="1133" w:type="dxa"/>
          </w:tcPr>
          <w:p w14:paraId="4D3F560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194" w:type="dxa"/>
          </w:tcPr>
          <w:p w14:paraId="11D3B8C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FeSe</w:t>
            </w:r>
          </w:p>
        </w:tc>
        <w:tc>
          <w:tcPr>
            <w:tcW w:w="845" w:type="dxa"/>
          </w:tcPr>
          <w:p w14:paraId="0264CEF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70657CD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26.6</w:t>
            </w:r>
          </w:p>
        </w:tc>
        <w:tc>
          <w:tcPr>
            <w:tcW w:w="1149" w:type="dxa"/>
          </w:tcPr>
          <w:p w14:paraId="00729E5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483171E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2BEBA64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169974</w:t>
            </w:r>
          </w:p>
        </w:tc>
      </w:tr>
      <w:tr w:rsidR="00644E71" w:rsidRPr="0027124E" w14:paraId="5EB831A0" w14:textId="77777777" w:rsidTr="00D80D26">
        <w:tc>
          <w:tcPr>
            <w:tcW w:w="1135" w:type="dxa"/>
          </w:tcPr>
          <w:p w14:paraId="182BB48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LaCl</w:t>
            </w:r>
          </w:p>
        </w:tc>
        <w:tc>
          <w:tcPr>
            <w:tcW w:w="1133" w:type="dxa"/>
          </w:tcPr>
          <w:p w14:paraId="5FB9B74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72B9BC0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ZrCl</w:t>
            </w:r>
          </w:p>
        </w:tc>
        <w:tc>
          <w:tcPr>
            <w:tcW w:w="845" w:type="dxa"/>
          </w:tcPr>
          <w:p w14:paraId="5A6FDF3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10D4211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11.0</w:t>
            </w:r>
          </w:p>
        </w:tc>
        <w:tc>
          <w:tcPr>
            <w:tcW w:w="1149" w:type="dxa"/>
          </w:tcPr>
          <w:p w14:paraId="3505775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2DBF5F1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21AF576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24410</w:t>
            </w:r>
          </w:p>
        </w:tc>
      </w:tr>
      <w:tr w:rsidR="00644E71" w:rsidRPr="0027124E" w14:paraId="7FFB6BED" w14:textId="77777777" w:rsidTr="00D80D26">
        <w:tc>
          <w:tcPr>
            <w:tcW w:w="1135" w:type="dxa"/>
          </w:tcPr>
          <w:p w14:paraId="5B54BDF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ScCl</w:t>
            </w:r>
          </w:p>
        </w:tc>
        <w:tc>
          <w:tcPr>
            <w:tcW w:w="1133" w:type="dxa"/>
          </w:tcPr>
          <w:p w14:paraId="5D08635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25D85D7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ZrCl</w:t>
            </w:r>
          </w:p>
        </w:tc>
        <w:tc>
          <w:tcPr>
            <w:tcW w:w="845" w:type="dxa"/>
          </w:tcPr>
          <w:p w14:paraId="788796E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04B4AD2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13.8</w:t>
            </w:r>
          </w:p>
        </w:tc>
        <w:tc>
          <w:tcPr>
            <w:tcW w:w="1149" w:type="dxa"/>
          </w:tcPr>
          <w:p w14:paraId="2263829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5E96ABE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554CD7B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4343683</w:t>
            </w:r>
          </w:p>
        </w:tc>
      </w:tr>
      <w:tr w:rsidR="00644E71" w:rsidRPr="0027124E" w14:paraId="7D6C1DD2" w14:textId="77777777" w:rsidTr="00D80D26">
        <w:tc>
          <w:tcPr>
            <w:tcW w:w="1135" w:type="dxa"/>
          </w:tcPr>
          <w:p w14:paraId="6B68600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TbBr</w:t>
            </w:r>
          </w:p>
        </w:tc>
        <w:tc>
          <w:tcPr>
            <w:tcW w:w="1133" w:type="dxa"/>
          </w:tcPr>
          <w:p w14:paraId="1E37D86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5F760A1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ZrCl</w:t>
            </w:r>
          </w:p>
        </w:tc>
        <w:tc>
          <w:tcPr>
            <w:tcW w:w="845" w:type="dxa"/>
          </w:tcPr>
          <w:p w14:paraId="4E6DD4F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668F116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12.2</w:t>
            </w:r>
          </w:p>
        </w:tc>
        <w:tc>
          <w:tcPr>
            <w:tcW w:w="1149" w:type="dxa"/>
          </w:tcPr>
          <w:p w14:paraId="199C16F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142A5E3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386E602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23353</w:t>
            </w:r>
          </w:p>
        </w:tc>
      </w:tr>
      <w:tr w:rsidR="00644E71" w:rsidRPr="0027124E" w14:paraId="5A2FD618" w14:textId="77777777" w:rsidTr="00D80D26">
        <w:tc>
          <w:tcPr>
            <w:tcW w:w="1135" w:type="dxa"/>
          </w:tcPr>
          <w:p w14:paraId="37C0F71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YCl</w:t>
            </w:r>
          </w:p>
        </w:tc>
        <w:tc>
          <w:tcPr>
            <w:tcW w:w="1133" w:type="dxa"/>
          </w:tcPr>
          <w:p w14:paraId="00D3826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4D3F400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ZrCl</w:t>
            </w:r>
          </w:p>
        </w:tc>
        <w:tc>
          <w:tcPr>
            <w:tcW w:w="845" w:type="dxa"/>
          </w:tcPr>
          <w:p w14:paraId="0E8726E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71EB53B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17.6</w:t>
            </w:r>
          </w:p>
        </w:tc>
        <w:tc>
          <w:tcPr>
            <w:tcW w:w="1149" w:type="dxa"/>
          </w:tcPr>
          <w:p w14:paraId="6BF856D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3129815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2054398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30708</w:t>
            </w:r>
          </w:p>
        </w:tc>
      </w:tr>
      <w:tr w:rsidR="00644E71" w:rsidRPr="0027124E" w14:paraId="547B49AB" w14:textId="77777777" w:rsidTr="00D80D26">
        <w:tc>
          <w:tcPr>
            <w:tcW w:w="1135" w:type="dxa"/>
          </w:tcPr>
          <w:p w14:paraId="78353FB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CuCl</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2DD9558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C2/m</w:t>
            </w:r>
          </w:p>
        </w:tc>
        <w:tc>
          <w:tcPr>
            <w:tcW w:w="1194" w:type="dxa"/>
          </w:tcPr>
          <w:p w14:paraId="05B1CE1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NbTe</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113B2F5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0.2</w:t>
            </w:r>
          </w:p>
        </w:tc>
        <w:tc>
          <w:tcPr>
            <w:tcW w:w="1368" w:type="dxa"/>
          </w:tcPr>
          <w:p w14:paraId="26946CF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13.4</w:t>
            </w:r>
          </w:p>
        </w:tc>
        <w:tc>
          <w:tcPr>
            <w:tcW w:w="1149" w:type="dxa"/>
          </w:tcPr>
          <w:p w14:paraId="2725B87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C2/m</w:t>
            </w:r>
          </w:p>
        </w:tc>
        <w:tc>
          <w:tcPr>
            <w:tcW w:w="1070" w:type="dxa"/>
          </w:tcPr>
          <w:p w14:paraId="6D23956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0927BC9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9001506</w:t>
            </w:r>
          </w:p>
        </w:tc>
      </w:tr>
      <w:tr w:rsidR="00644E71" w:rsidRPr="0027124E" w14:paraId="0E9590B2" w14:textId="77777777" w:rsidTr="00D80D26">
        <w:tc>
          <w:tcPr>
            <w:tcW w:w="1135" w:type="dxa"/>
          </w:tcPr>
          <w:p w14:paraId="18C60A4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EuOBr</w:t>
            </w:r>
          </w:p>
        </w:tc>
        <w:tc>
          <w:tcPr>
            <w:tcW w:w="1133" w:type="dxa"/>
          </w:tcPr>
          <w:p w14:paraId="0085018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194" w:type="dxa"/>
          </w:tcPr>
          <w:p w14:paraId="0997CF8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845" w:type="dxa"/>
          </w:tcPr>
          <w:p w14:paraId="2000B50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562D83C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17.4</w:t>
            </w:r>
          </w:p>
        </w:tc>
        <w:tc>
          <w:tcPr>
            <w:tcW w:w="1149" w:type="dxa"/>
          </w:tcPr>
          <w:p w14:paraId="2B2459C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2C94A3D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5D5E880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28531</w:t>
            </w:r>
          </w:p>
        </w:tc>
      </w:tr>
      <w:tr w:rsidR="00644E71" w:rsidRPr="0027124E" w14:paraId="40AC7F32" w14:textId="77777777" w:rsidTr="00D80D26">
        <w:tc>
          <w:tcPr>
            <w:tcW w:w="1135" w:type="dxa"/>
          </w:tcPr>
          <w:p w14:paraId="1ADCC4D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EuOI</w:t>
            </w:r>
          </w:p>
        </w:tc>
        <w:tc>
          <w:tcPr>
            <w:tcW w:w="1133" w:type="dxa"/>
          </w:tcPr>
          <w:p w14:paraId="2277830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194" w:type="dxa"/>
          </w:tcPr>
          <w:p w14:paraId="5DEB96F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845" w:type="dxa"/>
          </w:tcPr>
          <w:p w14:paraId="320B444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7546C9E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14.8</w:t>
            </w:r>
          </w:p>
        </w:tc>
        <w:tc>
          <w:tcPr>
            <w:tcW w:w="1149" w:type="dxa"/>
          </w:tcPr>
          <w:p w14:paraId="37BD988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7F90A68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6B51EAE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27666</w:t>
            </w:r>
          </w:p>
        </w:tc>
      </w:tr>
      <w:tr w:rsidR="00644E71" w:rsidRPr="0027124E" w14:paraId="24C4A286" w14:textId="77777777" w:rsidTr="00D80D26">
        <w:tc>
          <w:tcPr>
            <w:tcW w:w="1135" w:type="dxa"/>
          </w:tcPr>
          <w:p w14:paraId="349889B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PrOBr</w:t>
            </w:r>
          </w:p>
        </w:tc>
        <w:tc>
          <w:tcPr>
            <w:tcW w:w="1133" w:type="dxa"/>
          </w:tcPr>
          <w:p w14:paraId="5AE70DB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194" w:type="dxa"/>
          </w:tcPr>
          <w:p w14:paraId="6D04F03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845" w:type="dxa"/>
          </w:tcPr>
          <w:p w14:paraId="7180D25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761305D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24.1</w:t>
            </w:r>
          </w:p>
        </w:tc>
        <w:tc>
          <w:tcPr>
            <w:tcW w:w="1149" w:type="dxa"/>
          </w:tcPr>
          <w:p w14:paraId="52D3CAA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2212D99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4831422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2232654</w:t>
            </w:r>
          </w:p>
        </w:tc>
      </w:tr>
      <w:tr w:rsidR="00644E71" w:rsidRPr="0027124E" w14:paraId="6C6B9F83" w14:textId="77777777" w:rsidTr="00D80D26">
        <w:tc>
          <w:tcPr>
            <w:tcW w:w="1135" w:type="dxa"/>
          </w:tcPr>
          <w:p w14:paraId="269BB0E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NdOBr</w:t>
            </w:r>
          </w:p>
        </w:tc>
        <w:tc>
          <w:tcPr>
            <w:tcW w:w="1133" w:type="dxa"/>
          </w:tcPr>
          <w:p w14:paraId="3DDEF0B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C2/m</w:t>
            </w:r>
          </w:p>
        </w:tc>
        <w:tc>
          <w:tcPr>
            <w:tcW w:w="1194" w:type="dxa"/>
          </w:tcPr>
          <w:p w14:paraId="2CC5E2B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845" w:type="dxa"/>
          </w:tcPr>
          <w:p w14:paraId="3E985E5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0.2</w:t>
            </w:r>
          </w:p>
        </w:tc>
        <w:tc>
          <w:tcPr>
            <w:tcW w:w="1368" w:type="dxa"/>
          </w:tcPr>
          <w:p w14:paraId="7667850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21.8</w:t>
            </w:r>
          </w:p>
        </w:tc>
        <w:tc>
          <w:tcPr>
            <w:tcW w:w="1149" w:type="dxa"/>
          </w:tcPr>
          <w:p w14:paraId="7C67F09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3A863CA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4AD1C47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9009172</w:t>
            </w:r>
          </w:p>
        </w:tc>
      </w:tr>
      <w:tr w:rsidR="00644E71" w:rsidRPr="0027124E" w14:paraId="2B06D8A8" w14:textId="77777777" w:rsidTr="00D80D26">
        <w:tc>
          <w:tcPr>
            <w:tcW w:w="1135" w:type="dxa"/>
          </w:tcPr>
          <w:p w14:paraId="77D355F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SmOBr</w:t>
            </w:r>
          </w:p>
        </w:tc>
        <w:tc>
          <w:tcPr>
            <w:tcW w:w="1133" w:type="dxa"/>
          </w:tcPr>
          <w:p w14:paraId="01956B1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C2/m</w:t>
            </w:r>
          </w:p>
        </w:tc>
        <w:tc>
          <w:tcPr>
            <w:tcW w:w="1194" w:type="dxa"/>
          </w:tcPr>
          <w:p w14:paraId="5C3A88D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845" w:type="dxa"/>
          </w:tcPr>
          <w:p w14:paraId="4CA10D2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0.2</w:t>
            </w:r>
          </w:p>
        </w:tc>
        <w:tc>
          <w:tcPr>
            <w:tcW w:w="1368" w:type="dxa"/>
          </w:tcPr>
          <w:p w14:paraId="598377E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18.4</w:t>
            </w:r>
          </w:p>
        </w:tc>
        <w:tc>
          <w:tcPr>
            <w:tcW w:w="1149" w:type="dxa"/>
          </w:tcPr>
          <w:p w14:paraId="239C8D4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47E3950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00D94A5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1530050</w:t>
            </w:r>
          </w:p>
        </w:tc>
      </w:tr>
      <w:tr w:rsidR="00644E71" w:rsidRPr="0027124E" w14:paraId="1185FB38" w14:textId="77777777" w:rsidTr="00D80D26">
        <w:tc>
          <w:tcPr>
            <w:tcW w:w="1135" w:type="dxa"/>
          </w:tcPr>
          <w:p w14:paraId="40B27D1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TmOI</w:t>
            </w:r>
          </w:p>
        </w:tc>
        <w:tc>
          <w:tcPr>
            <w:tcW w:w="1133" w:type="dxa"/>
          </w:tcPr>
          <w:p w14:paraId="1A75114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C2/m</w:t>
            </w:r>
          </w:p>
        </w:tc>
        <w:tc>
          <w:tcPr>
            <w:tcW w:w="1194" w:type="dxa"/>
          </w:tcPr>
          <w:p w14:paraId="18251BB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845" w:type="dxa"/>
          </w:tcPr>
          <w:p w14:paraId="62A4775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0.2</w:t>
            </w:r>
          </w:p>
        </w:tc>
        <w:tc>
          <w:tcPr>
            <w:tcW w:w="1368" w:type="dxa"/>
          </w:tcPr>
          <w:p w14:paraId="5A844D1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15.0</w:t>
            </w:r>
          </w:p>
        </w:tc>
        <w:tc>
          <w:tcPr>
            <w:tcW w:w="1149" w:type="dxa"/>
          </w:tcPr>
          <w:p w14:paraId="208DE2B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7E404AC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038146C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2310429</w:t>
            </w:r>
          </w:p>
        </w:tc>
      </w:tr>
      <w:tr w:rsidR="00644E71" w:rsidRPr="0027124E" w14:paraId="5C6D62A6" w14:textId="77777777" w:rsidTr="00D80D26">
        <w:tc>
          <w:tcPr>
            <w:tcW w:w="1135" w:type="dxa"/>
          </w:tcPr>
          <w:p w14:paraId="5C03578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TbOBr</w:t>
            </w:r>
          </w:p>
        </w:tc>
        <w:tc>
          <w:tcPr>
            <w:tcW w:w="1133" w:type="dxa"/>
          </w:tcPr>
          <w:p w14:paraId="0741BB2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Cmme</w:t>
            </w:r>
          </w:p>
        </w:tc>
        <w:tc>
          <w:tcPr>
            <w:tcW w:w="1194" w:type="dxa"/>
          </w:tcPr>
          <w:p w14:paraId="7FB46F5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PbClF</w:t>
            </w:r>
          </w:p>
        </w:tc>
        <w:tc>
          <w:tcPr>
            <w:tcW w:w="845" w:type="dxa"/>
          </w:tcPr>
          <w:p w14:paraId="48218AE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49DB398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15.2</w:t>
            </w:r>
          </w:p>
        </w:tc>
        <w:tc>
          <w:tcPr>
            <w:tcW w:w="1149" w:type="dxa"/>
          </w:tcPr>
          <w:p w14:paraId="7A39E56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P4/nmm</w:t>
            </w:r>
          </w:p>
        </w:tc>
        <w:tc>
          <w:tcPr>
            <w:tcW w:w="1070" w:type="dxa"/>
          </w:tcPr>
          <w:p w14:paraId="1A235F1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5A03BCC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28532</w:t>
            </w:r>
          </w:p>
        </w:tc>
      </w:tr>
      <w:tr w:rsidR="00644E71" w:rsidRPr="0027124E" w14:paraId="04EFB416" w14:textId="77777777" w:rsidTr="00D80D26">
        <w:tc>
          <w:tcPr>
            <w:tcW w:w="1135" w:type="dxa"/>
          </w:tcPr>
          <w:p w14:paraId="6B6E640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CrOBr</w:t>
            </w:r>
          </w:p>
        </w:tc>
        <w:tc>
          <w:tcPr>
            <w:tcW w:w="1133" w:type="dxa"/>
          </w:tcPr>
          <w:p w14:paraId="050045B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94" w:type="dxa"/>
          </w:tcPr>
          <w:p w14:paraId="767E9FE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845" w:type="dxa"/>
          </w:tcPr>
          <w:p w14:paraId="72C8F30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0.5</w:t>
            </w:r>
          </w:p>
        </w:tc>
        <w:tc>
          <w:tcPr>
            <w:tcW w:w="1368" w:type="dxa"/>
          </w:tcPr>
          <w:p w14:paraId="2221121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14.8</w:t>
            </w:r>
          </w:p>
        </w:tc>
        <w:tc>
          <w:tcPr>
            <w:tcW w:w="1149" w:type="dxa"/>
          </w:tcPr>
          <w:p w14:paraId="69BECFA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070" w:type="dxa"/>
          </w:tcPr>
          <w:p w14:paraId="5830D2F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641B433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27092</w:t>
            </w:r>
          </w:p>
        </w:tc>
      </w:tr>
      <w:tr w:rsidR="00644E71" w:rsidRPr="0027124E" w14:paraId="1E27D098" w14:textId="77777777" w:rsidTr="00D80D26">
        <w:tc>
          <w:tcPr>
            <w:tcW w:w="1135" w:type="dxa"/>
          </w:tcPr>
          <w:p w14:paraId="7ADC6E8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CrOCl</w:t>
            </w:r>
          </w:p>
        </w:tc>
        <w:tc>
          <w:tcPr>
            <w:tcW w:w="1133" w:type="dxa"/>
          </w:tcPr>
          <w:p w14:paraId="758A311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94" w:type="dxa"/>
          </w:tcPr>
          <w:p w14:paraId="518B760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845" w:type="dxa"/>
          </w:tcPr>
          <w:p w14:paraId="6E3D0AC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0.6</w:t>
            </w:r>
          </w:p>
        </w:tc>
        <w:tc>
          <w:tcPr>
            <w:tcW w:w="1368" w:type="dxa"/>
          </w:tcPr>
          <w:p w14:paraId="36D301E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13.8</w:t>
            </w:r>
          </w:p>
        </w:tc>
        <w:tc>
          <w:tcPr>
            <w:tcW w:w="1149" w:type="dxa"/>
          </w:tcPr>
          <w:p w14:paraId="57FDE3B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070" w:type="dxa"/>
          </w:tcPr>
          <w:p w14:paraId="4215148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3DC087D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4086</w:t>
            </w:r>
          </w:p>
        </w:tc>
      </w:tr>
      <w:tr w:rsidR="00644E71" w:rsidRPr="0027124E" w14:paraId="3F2D762A" w14:textId="77777777" w:rsidTr="00D80D26">
        <w:tc>
          <w:tcPr>
            <w:tcW w:w="1135" w:type="dxa"/>
          </w:tcPr>
          <w:p w14:paraId="787A255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CrSBr</w:t>
            </w:r>
          </w:p>
        </w:tc>
        <w:tc>
          <w:tcPr>
            <w:tcW w:w="1133" w:type="dxa"/>
          </w:tcPr>
          <w:p w14:paraId="00F8724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94" w:type="dxa"/>
          </w:tcPr>
          <w:p w14:paraId="56459DD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845" w:type="dxa"/>
          </w:tcPr>
          <w:p w14:paraId="47C5C90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0.4</w:t>
            </w:r>
          </w:p>
        </w:tc>
        <w:tc>
          <w:tcPr>
            <w:tcW w:w="1368" w:type="dxa"/>
          </w:tcPr>
          <w:p w14:paraId="09BD06A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19.5</w:t>
            </w:r>
          </w:p>
        </w:tc>
        <w:tc>
          <w:tcPr>
            <w:tcW w:w="1149" w:type="dxa"/>
          </w:tcPr>
          <w:p w14:paraId="33B40B1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070" w:type="dxa"/>
          </w:tcPr>
          <w:p w14:paraId="1D1AE2A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2B74E97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69659</w:t>
            </w:r>
          </w:p>
        </w:tc>
      </w:tr>
      <w:tr w:rsidR="00644E71" w:rsidRPr="0027124E" w14:paraId="2B6CE842" w14:textId="77777777" w:rsidTr="00D80D26">
        <w:tc>
          <w:tcPr>
            <w:tcW w:w="1135" w:type="dxa"/>
          </w:tcPr>
          <w:p w14:paraId="4E1AED5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ErSCl</w:t>
            </w:r>
          </w:p>
        </w:tc>
        <w:tc>
          <w:tcPr>
            <w:tcW w:w="1133" w:type="dxa"/>
          </w:tcPr>
          <w:p w14:paraId="7A110D4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94" w:type="dxa"/>
          </w:tcPr>
          <w:p w14:paraId="7B367C3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845" w:type="dxa"/>
          </w:tcPr>
          <w:p w14:paraId="7447F85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0.3</w:t>
            </w:r>
          </w:p>
        </w:tc>
        <w:tc>
          <w:tcPr>
            <w:tcW w:w="1368" w:type="dxa"/>
          </w:tcPr>
          <w:p w14:paraId="080FCC0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11.9</w:t>
            </w:r>
          </w:p>
        </w:tc>
        <w:tc>
          <w:tcPr>
            <w:tcW w:w="1149" w:type="dxa"/>
          </w:tcPr>
          <w:p w14:paraId="6113AE1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070" w:type="dxa"/>
          </w:tcPr>
          <w:p w14:paraId="4B0B92D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160DD33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21009</w:t>
            </w:r>
          </w:p>
        </w:tc>
      </w:tr>
      <w:tr w:rsidR="00644E71" w:rsidRPr="0027124E" w14:paraId="7BD6E41D" w14:textId="77777777" w:rsidTr="00D80D26">
        <w:tc>
          <w:tcPr>
            <w:tcW w:w="1135" w:type="dxa"/>
          </w:tcPr>
          <w:p w14:paraId="0C16E87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ErSeI</w:t>
            </w:r>
          </w:p>
        </w:tc>
        <w:tc>
          <w:tcPr>
            <w:tcW w:w="1133" w:type="dxa"/>
          </w:tcPr>
          <w:p w14:paraId="65E0274B"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94" w:type="dxa"/>
          </w:tcPr>
          <w:p w14:paraId="635045D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845" w:type="dxa"/>
          </w:tcPr>
          <w:p w14:paraId="1993D13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56CD5CA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11.6</w:t>
            </w:r>
          </w:p>
        </w:tc>
        <w:tc>
          <w:tcPr>
            <w:tcW w:w="1149" w:type="dxa"/>
          </w:tcPr>
          <w:p w14:paraId="1F69602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070" w:type="dxa"/>
          </w:tcPr>
          <w:p w14:paraId="289B2D1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641E5CB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50194</w:t>
            </w:r>
          </w:p>
        </w:tc>
      </w:tr>
      <w:tr w:rsidR="00644E71" w:rsidRPr="0027124E" w14:paraId="32CF3F80" w14:textId="77777777" w:rsidTr="00D80D26">
        <w:tc>
          <w:tcPr>
            <w:tcW w:w="1135" w:type="dxa"/>
          </w:tcPr>
          <w:p w14:paraId="7DFA295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HoSI</w:t>
            </w:r>
          </w:p>
        </w:tc>
        <w:tc>
          <w:tcPr>
            <w:tcW w:w="1133" w:type="dxa"/>
          </w:tcPr>
          <w:p w14:paraId="0111C64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194" w:type="dxa"/>
          </w:tcPr>
          <w:p w14:paraId="21F1590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FeOCl</w:t>
            </w:r>
          </w:p>
        </w:tc>
        <w:tc>
          <w:tcPr>
            <w:tcW w:w="845" w:type="dxa"/>
          </w:tcPr>
          <w:p w14:paraId="42F05DD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0.5</w:t>
            </w:r>
          </w:p>
        </w:tc>
        <w:tc>
          <w:tcPr>
            <w:tcW w:w="1368" w:type="dxa"/>
          </w:tcPr>
          <w:p w14:paraId="1A4C1A3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10.9</w:t>
            </w:r>
          </w:p>
        </w:tc>
        <w:tc>
          <w:tcPr>
            <w:tcW w:w="1149" w:type="dxa"/>
          </w:tcPr>
          <w:p w14:paraId="7495A45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Pmmn</w:t>
            </w:r>
          </w:p>
        </w:tc>
        <w:tc>
          <w:tcPr>
            <w:tcW w:w="1070" w:type="dxa"/>
          </w:tcPr>
          <w:p w14:paraId="2BCD7B1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04F7D5B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425295</w:t>
            </w:r>
          </w:p>
        </w:tc>
      </w:tr>
      <w:tr w:rsidR="00644E71" w:rsidRPr="0027124E" w14:paraId="1D2FF147" w14:textId="77777777" w:rsidTr="00D80D26">
        <w:tc>
          <w:tcPr>
            <w:tcW w:w="1135" w:type="dxa"/>
          </w:tcPr>
          <w:p w14:paraId="53C3DFC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ErHCl</w:t>
            </w:r>
          </w:p>
        </w:tc>
        <w:tc>
          <w:tcPr>
            <w:tcW w:w="1133" w:type="dxa"/>
          </w:tcPr>
          <w:p w14:paraId="1C6D8E3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31F4DC0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SmSI</w:t>
            </w:r>
          </w:p>
        </w:tc>
        <w:tc>
          <w:tcPr>
            <w:tcW w:w="845" w:type="dxa"/>
          </w:tcPr>
          <w:p w14:paraId="19A98D1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1895E2E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10.9</w:t>
            </w:r>
          </w:p>
        </w:tc>
        <w:tc>
          <w:tcPr>
            <w:tcW w:w="1149" w:type="dxa"/>
          </w:tcPr>
          <w:p w14:paraId="492E78F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16E31BF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21B44E6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1530725</w:t>
            </w:r>
          </w:p>
        </w:tc>
      </w:tr>
      <w:tr w:rsidR="00644E71" w:rsidRPr="0027124E" w14:paraId="09225FBF" w14:textId="77777777" w:rsidTr="00D80D26">
        <w:tc>
          <w:tcPr>
            <w:tcW w:w="1135" w:type="dxa"/>
          </w:tcPr>
          <w:p w14:paraId="5347E4F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SmSI</w:t>
            </w:r>
          </w:p>
        </w:tc>
        <w:tc>
          <w:tcPr>
            <w:tcW w:w="1133" w:type="dxa"/>
          </w:tcPr>
          <w:p w14:paraId="0826DB9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55C2711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SmSI</w:t>
            </w:r>
          </w:p>
        </w:tc>
        <w:tc>
          <w:tcPr>
            <w:tcW w:w="845" w:type="dxa"/>
          </w:tcPr>
          <w:p w14:paraId="1F786AC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69A5005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11.4</w:t>
            </w:r>
          </w:p>
        </w:tc>
        <w:tc>
          <w:tcPr>
            <w:tcW w:w="1149" w:type="dxa"/>
          </w:tcPr>
          <w:p w14:paraId="7A0B4F0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1EE4246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3154468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1008317</w:t>
            </w:r>
          </w:p>
        </w:tc>
      </w:tr>
      <w:tr w:rsidR="00644E71" w:rsidRPr="0027124E" w14:paraId="0B36D210" w14:textId="77777777" w:rsidTr="00D80D26">
        <w:tc>
          <w:tcPr>
            <w:tcW w:w="1135" w:type="dxa"/>
          </w:tcPr>
          <w:p w14:paraId="06BFC66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YbOCl</w:t>
            </w:r>
          </w:p>
        </w:tc>
        <w:tc>
          <w:tcPr>
            <w:tcW w:w="1133" w:type="dxa"/>
          </w:tcPr>
          <w:p w14:paraId="062C2B9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67916AEA"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SmSI</w:t>
            </w:r>
          </w:p>
        </w:tc>
        <w:tc>
          <w:tcPr>
            <w:tcW w:w="845" w:type="dxa"/>
          </w:tcPr>
          <w:p w14:paraId="50BF872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5EB0851C"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11.7</w:t>
            </w:r>
          </w:p>
        </w:tc>
        <w:tc>
          <w:tcPr>
            <w:tcW w:w="1149" w:type="dxa"/>
          </w:tcPr>
          <w:p w14:paraId="34EF67E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R3m</w:t>
            </w:r>
          </w:p>
        </w:tc>
        <w:tc>
          <w:tcPr>
            <w:tcW w:w="1070" w:type="dxa"/>
          </w:tcPr>
          <w:p w14:paraId="5F70DB02"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078EC56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6077</w:t>
            </w:r>
          </w:p>
        </w:tc>
      </w:tr>
      <w:tr w:rsidR="00644E71" w:rsidRPr="0027124E" w14:paraId="30EEC29B" w14:textId="77777777" w:rsidTr="00D80D26">
        <w:tc>
          <w:tcPr>
            <w:tcW w:w="1135" w:type="dxa"/>
          </w:tcPr>
          <w:p w14:paraId="51256FA7"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CdOCl</w:t>
            </w:r>
          </w:p>
        </w:tc>
        <w:tc>
          <w:tcPr>
            <w:tcW w:w="1133" w:type="dxa"/>
          </w:tcPr>
          <w:p w14:paraId="24392A38"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194" w:type="dxa"/>
          </w:tcPr>
          <w:p w14:paraId="401563E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BiTeI</w:t>
            </w:r>
          </w:p>
        </w:tc>
        <w:tc>
          <w:tcPr>
            <w:tcW w:w="845" w:type="dxa"/>
          </w:tcPr>
          <w:p w14:paraId="0FA7AD81"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0.3</w:t>
            </w:r>
          </w:p>
        </w:tc>
        <w:tc>
          <w:tcPr>
            <w:tcW w:w="1368" w:type="dxa"/>
          </w:tcPr>
          <w:p w14:paraId="2EB7F3FF"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25.6</w:t>
            </w:r>
          </w:p>
        </w:tc>
        <w:tc>
          <w:tcPr>
            <w:tcW w:w="1149" w:type="dxa"/>
          </w:tcPr>
          <w:p w14:paraId="62185813"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P6</w:t>
            </w:r>
            <w:r w:rsidRPr="0027124E">
              <w:rPr>
                <w:rFonts w:ascii="Palatino Linotype" w:eastAsia="Palatino Linotype" w:hAnsi="Palatino Linotype" w:cs="Palatino Linotype"/>
                <w:color w:val="000000" w:themeColor="text1"/>
                <w:sz w:val="20"/>
                <w:szCs w:val="20"/>
                <w:vertAlign w:val="subscript"/>
              </w:rPr>
              <w:t>3</w:t>
            </w:r>
            <w:r w:rsidRPr="0027124E">
              <w:rPr>
                <w:rFonts w:ascii="Palatino Linotype" w:eastAsia="Palatino Linotype" w:hAnsi="Palatino Linotype" w:cs="Palatino Linotype"/>
                <w:color w:val="000000" w:themeColor="text1"/>
                <w:sz w:val="20"/>
                <w:szCs w:val="20"/>
              </w:rPr>
              <w:t>mc</w:t>
            </w:r>
          </w:p>
        </w:tc>
        <w:tc>
          <w:tcPr>
            <w:tcW w:w="1070" w:type="dxa"/>
          </w:tcPr>
          <w:p w14:paraId="5AF7B3F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COD</w:t>
            </w:r>
          </w:p>
        </w:tc>
        <w:tc>
          <w:tcPr>
            <w:tcW w:w="1122" w:type="dxa"/>
          </w:tcPr>
          <w:p w14:paraId="6BBF9CC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9016472</w:t>
            </w:r>
          </w:p>
        </w:tc>
      </w:tr>
      <w:tr w:rsidR="00644E71" w:rsidRPr="0027124E" w14:paraId="16D78CD7" w14:textId="77777777" w:rsidTr="00D80D26">
        <w:tc>
          <w:tcPr>
            <w:tcW w:w="1135" w:type="dxa"/>
          </w:tcPr>
          <w:p w14:paraId="52AC8A40"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Co(OH)</w:t>
            </w:r>
            <w:r w:rsidRPr="0027124E">
              <w:rPr>
                <w:rFonts w:ascii="Palatino Linotype" w:eastAsia="Palatino Linotype" w:hAnsi="Palatino Linotype" w:cs="Palatino Linotype"/>
                <w:color w:val="000000" w:themeColor="text1"/>
                <w:sz w:val="20"/>
                <w:szCs w:val="20"/>
                <w:vertAlign w:val="subscript"/>
              </w:rPr>
              <w:t>2</w:t>
            </w:r>
          </w:p>
        </w:tc>
        <w:tc>
          <w:tcPr>
            <w:tcW w:w="1133" w:type="dxa"/>
          </w:tcPr>
          <w:p w14:paraId="4040A034"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C2/m</w:t>
            </w:r>
          </w:p>
        </w:tc>
        <w:tc>
          <w:tcPr>
            <w:tcW w:w="1194" w:type="dxa"/>
          </w:tcPr>
          <w:p w14:paraId="0A4EB466"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Mg(OH)</w:t>
            </w:r>
            <w:r w:rsidRPr="0027124E">
              <w:rPr>
                <w:rFonts w:ascii="Palatino Linotype" w:eastAsia="Palatino Linotype" w:hAnsi="Palatino Linotype" w:cs="Palatino Linotype"/>
                <w:color w:val="000000" w:themeColor="text1"/>
                <w:sz w:val="20"/>
                <w:szCs w:val="20"/>
                <w:vertAlign w:val="subscript"/>
              </w:rPr>
              <w:t>2</w:t>
            </w:r>
          </w:p>
        </w:tc>
        <w:tc>
          <w:tcPr>
            <w:tcW w:w="845" w:type="dxa"/>
          </w:tcPr>
          <w:p w14:paraId="086B67C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0.0</w:t>
            </w:r>
          </w:p>
        </w:tc>
        <w:tc>
          <w:tcPr>
            <w:tcW w:w="1368" w:type="dxa"/>
          </w:tcPr>
          <w:p w14:paraId="1B79E689"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18.3</w:t>
            </w:r>
          </w:p>
        </w:tc>
        <w:tc>
          <w:tcPr>
            <w:tcW w:w="1149" w:type="dxa"/>
          </w:tcPr>
          <w:p w14:paraId="2E8DDF0D"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P3m1</w:t>
            </w:r>
          </w:p>
        </w:tc>
        <w:tc>
          <w:tcPr>
            <w:tcW w:w="1070" w:type="dxa"/>
          </w:tcPr>
          <w:p w14:paraId="13B2C1EE"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ICSD</w:t>
            </w:r>
          </w:p>
        </w:tc>
        <w:tc>
          <w:tcPr>
            <w:tcW w:w="1122" w:type="dxa"/>
          </w:tcPr>
          <w:p w14:paraId="4BC67085" w14:textId="77777777" w:rsidR="00644E71" w:rsidRPr="0027124E" w:rsidRDefault="00644E71" w:rsidP="00D80D26">
            <w:pPr>
              <w:spacing w:line="276" w:lineRule="auto"/>
              <w:jc w:val="both"/>
              <w:rPr>
                <w:rFonts w:ascii="Palatino Linotype" w:eastAsia="Palatino Linotype" w:hAnsi="Palatino Linotype" w:cs="Palatino Linotype"/>
                <w:color w:val="000000" w:themeColor="text1"/>
                <w:sz w:val="20"/>
                <w:szCs w:val="20"/>
              </w:rPr>
            </w:pPr>
            <w:r w:rsidRPr="0027124E">
              <w:rPr>
                <w:rFonts w:ascii="Palatino Linotype" w:eastAsia="Palatino Linotype" w:hAnsi="Palatino Linotype" w:cs="Palatino Linotype"/>
                <w:color w:val="000000" w:themeColor="text1"/>
                <w:sz w:val="20"/>
                <w:szCs w:val="20"/>
              </w:rPr>
              <w:t>88940</w:t>
            </w:r>
          </w:p>
        </w:tc>
      </w:tr>
    </w:tbl>
    <w:p w14:paraId="60781A31" w14:textId="77777777" w:rsidR="0091651F" w:rsidRPr="0027124E" w:rsidRDefault="0091651F"/>
    <w:p w14:paraId="41F48898" w14:textId="40A11CD0" w:rsidR="0091651F" w:rsidRPr="0027124E" w:rsidRDefault="0091651F"/>
    <w:p w14:paraId="7FDB227D" w14:textId="77777777" w:rsidR="0091651F" w:rsidRPr="0027124E" w:rsidRDefault="0091651F"/>
    <w:p w14:paraId="757BD547" w14:textId="0CA4F81E" w:rsidR="0091651F" w:rsidRPr="0027124E" w:rsidRDefault="0091651F">
      <w:pPr>
        <w:rPr>
          <w:b/>
          <w:bCs/>
        </w:rPr>
      </w:pPr>
      <w:r w:rsidRPr="0027124E">
        <w:rPr>
          <w:b/>
          <w:bCs/>
        </w:rPr>
        <w:t>References</w:t>
      </w:r>
    </w:p>
    <w:p w14:paraId="2FCF5949" w14:textId="77777777" w:rsidR="0091651F" w:rsidRPr="0027124E" w:rsidRDefault="0091651F">
      <w:pPr>
        <w:rPr>
          <w:rFonts w:ascii="Palatino Linotype" w:hAnsi="Palatino Linotype"/>
          <w:sz w:val="22"/>
          <w:szCs w:val="22"/>
        </w:rPr>
      </w:pPr>
    </w:p>
    <w:p w14:paraId="3ACD4E56" w14:textId="77777777" w:rsidR="00457825" w:rsidRPr="0027124E" w:rsidRDefault="0091651F" w:rsidP="00457825">
      <w:pPr>
        <w:pStyle w:val="EndNoteBibliography"/>
        <w:ind w:left="720" w:hanging="720"/>
        <w:rPr>
          <w:noProof/>
        </w:rPr>
      </w:pPr>
      <w:r w:rsidRPr="0027124E">
        <w:rPr>
          <w:rFonts w:ascii="Palatino Linotype" w:hAnsi="Palatino Linotype"/>
          <w:sz w:val="22"/>
          <w:szCs w:val="22"/>
        </w:rPr>
        <w:fldChar w:fldCharType="begin"/>
      </w:r>
      <w:r w:rsidRPr="0027124E">
        <w:rPr>
          <w:rFonts w:ascii="Palatino Linotype" w:hAnsi="Palatino Linotype"/>
          <w:sz w:val="22"/>
          <w:szCs w:val="22"/>
        </w:rPr>
        <w:instrText xml:space="preserve"> ADDIN EN.REFLIST </w:instrText>
      </w:r>
      <w:r w:rsidRPr="0027124E">
        <w:rPr>
          <w:rFonts w:ascii="Palatino Linotype" w:hAnsi="Palatino Linotype"/>
          <w:sz w:val="22"/>
          <w:szCs w:val="22"/>
        </w:rPr>
        <w:fldChar w:fldCharType="separate"/>
      </w:r>
      <w:r w:rsidR="00457825" w:rsidRPr="0027124E">
        <w:rPr>
          <w:noProof/>
        </w:rPr>
        <w:t>1</w:t>
      </w:r>
      <w:r w:rsidR="00457825" w:rsidRPr="0027124E">
        <w:rPr>
          <w:noProof/>
        </w:rPr>
        <w:tab/>
        <w:t xml:space="preserve">Wilkinson, M. K., Cable, J. W., Wollan, E. O. &amp; Koehler, W. C. Neutron Diffraction Investigations of the Magnetic Ordering in FeBr2, CoBr2, FeCl2, and CoCl2. </w:t>
      </w:r>
      <w:r w:rsidR="00457825" w:rsidRPr="0027124E">
        <w:rPr>
          <w:i/>
          <w:noProof/>
        </w:rPr>
        <w:t>Physical Review</w:t>
      </w:r>
      <w:r w:rsidR="00457825" w:rsidRPr="0027124E">
        <w:rPr>
          <w:noProof/>
        </w:rPr>
        <w:t xml:space="preserve"> </w:t>
      </w:r>
      <w:r w:rsidR="00457825" w:rsidRPr="0027124E">
        <w:rPr>
          <w:b/>
          <w:noProof/>
        </w:rPr>
        <w:t>113</w:t>
      </w:r>
      <w:r w:rsidR="00457825" w:rsidRPr="0027124E">
        <w:rPr>
          <w:noProof/>
        </w:rPr>
        <w:t>, 497-507, doi:10.1103/PhysRev.113.497 (1959).</w:t>
      </w:r>
    </w:p>
    <w:p w14:paraId="35A2D661" w14:textId="77777777" w:rsidR="00457825" w:rsidRPr="0027124E" w:rsidRDefault="00457825" w:rsidP="00457825">
      <w:pPr>
        <w:pStyle w:val="EndNoteBibliography"/>
        <w:ind w:left="720" w:hanging="720"/>
        <w:rPr>
          <w:noProof/>
        </w:rPr>
      </w:pPr>
      <w:r w:rsidRPr="0027124E">
        <w:rPr>
          <w:noProof/>
        </w:rPr>
        <w:lastRenderedPageBreak/>
        <w:t>2</w:t>
      </w:r>
      <w:r w:rsidRPr="0027124E">
        <w:rPr>
          <w:noProof/>
        </w:rPr>
        <w:tab/>
        <w:t>Yoshida, Y.</w:t>
      </w:r>
      <w:r w:rsidRPr="0027124E">
        <w:rPr>
          <w:i/>
          <w:noProof/>
        </w:rPr>
        <w:t xml:space="preserve"> et al.</w:t>
      </w:r>
      <w:r w:rsidRPr="0027124E">
        <w:rPr>
          <w:noProof/>
        </w:rPr>
        <w:t xml:space="preserve"> Crystal and magnetic structure of Ca3Ru2O7. </w:t>
      </w:r>
      <w:r w:rsidRPr="0027124E">
        <w:rPr>
          <w:i/>
          <w:noProof/>
        </w:rPr>
        <w:t>Physical Review B</w:t>
      </w:r>
      <w:r w:rsidRPr="0027124E">
        <w:rPr>
          <w:noProof/>
        </w:rPr>
        <w:t xml:space="preserve"> </w:t>
      </w:r>
      <w:r w:rsidRPr="0027124E">
        <w:rPr>
          <w:b/>
          <w:noProof/>
        </w:rPr>
        <w:t>72</w:t>
      </w:r>
      <w:r w:rsidRPr="0027124E">
        <w:rPr>
          <w:noProof/>
        </w:rPr>
        <w:t>, 054412, doi:10.1103/PhysRevB.72.054412 (2005).</w:t>
      </w:r>
    </w:p>
    <w:p w14:paraId="24E1AC8E" w14:textId="77777777" w:rsidR="00457825" w:rsidRPr="0027124E" w:rsidRDefault="00457825" w:rsidP="00457825">
      <w:pPr>
        <w:pStyle w:val="EndNoteBibliography"/>
        <w:ind w:left="720" w:hanging="720"/>
        <w:rPr>
          <w:noProof/>
        </w:rPr>
      </w:pPr>
      <w:r w:rsidRPr="0027124E">
        <w:rPr>
          <w:noProof/>
        </w:rPr>
        <w:t>3</w:t>
      </w:r>
      <w:r w:rsidRPr="0027124E">
        <w:rPr>
          <w:noProof/>
        </w:rPr>
        <w:tab/>
        <w:t xml:space="preserve">Rodriguez-Carvajal, J., Fernandez-Diaz, M. T. &amp; Martinez, J. L. Neutron diffraction study on structural and magnetic properties of La&lt;sub&gt;2&lt;/sub&gt;NiO&lt;sub&gt;4&lt;/sub&gt;. </w:t>
      </w:r>
      <w:r w:rsidRPr="0027124E">
        <w:rPr>
          <w:i/>
          <w:noProof/>
        </w:rPr>
        <w:t>Journal of Physics: Condensed Matter</w:t>
      </w:r>
      <w:r w:rsidRPr="0027124E">
        <w:rPr>
          <w:noProof/>
        </w:rPr>
        <w:t xml:space="preserve"> </w:t>
      </w:r>
      <w:r w:rsidRPr="0027124E">
        <w:rPr>
          <w:b/>
          <w:noProof/>
        </w:rPr>
        <w:t>3</w:t>
      </w:r>
      <w:r w:rsidRPr="0027124E">
        <w:rPr>
          <w:noProof/>
        </w:rPr>
        <w:t>, 3215-3234, doi:10.1088/0953-8984/3/19/002 (1991).</w:t>
      </w:r>
    </w:p>
    <w:p w14:paraId="46B63E77" w14:textId="77777777" w:rsidR="00457825" w:rsidRPr="0027124E" w:rsidRDefault="00457825" w:rsidP="00457825">
      <w:pPr>
        <w:pStyle w:val="EndNoteBibliography"/>
        <w:ind w:left="720" w:hanging="720"/>
        <w:rPr>
          <w:noProof/>
        </w:rPr>
      </w:pPr>
      <w:r w:rsidRPr="0027124E">
        <w:rPr>
          <w:noProof/>
        </w:rPr>
        <w:t>4</w:t>
      </w:r>
      <w:r w:rsidRPr="0027124E">
        <w:rPr>
          <w:noProof/>
        </w:rPr>
        <w:tab/>
        <w:t xml:space="preserve">Corliss, L. M., Elliott, N. &amp; Hastings, J. M. Antiferromagnetic Structures of MnS2, MnSe2, and MnTe2. </w:t>
      </w:r>
      <w:r w:rsidRPr="0027124E">
        <w:rPr>
          <w:i/>
          <w:noProof/>
        </w:rPr>
        <w:t>Journal of Applied Physics</w:t>
      </w:r>
      <w:r w:rsidRPr="0027124E">
        <w:rPr>
          <w:noProof/>
        </w:rPr>
        <w:t xml:space="preserve"> </w:t>
      </w:r>
      <w:r w:rsidRPr="0027124E">
        <w:rPr>
          <w:b/>
          <w:noProof/>
        </w:rPr>
        <w:t>29</w:t>
      </w:r>
      <w:r w:rsidRPr="0027124E">
        <w:rPr>
          <w:noProof/>
        </w:rPr>
        <w:t>, 391-392, doi:10.1063/1.1723149 (1958).</w:t>
      </w:r>
    </w:p>
    <w:p w14:paraId="65E332EF" w14:textId="2CD56F15" w:rsidR="00457825" w:rsidRPr="0027124E" w:rsidRDefault="00457825" w:rsidP="00457825">
      <w:pPr>
        <w:pStyle w:val="EndNoteBibliography"/>
        <w:ind w:left="720" w:hanging="720"/>
        <w:rPr>
          <w:noProof/>
        </w:rPr>
      </w:pPr>
      <w:r w:rsidRPr="0027124E">
        <w:rPr>
          <w:noProof/>
        </w:rPr>
        <w:t>5</w:t>
      </w:r>
      <w:r w:rsidRPr="0027124E">
        <w:rPr>
          <w:noProof/>
        </w:rPr>
        <w:tab/>
        <w:t xml:space="preserve">Yuan, L.-D., Wang, Z., Luo, J.-W. &amp; Zunger, A. Prediction of low-Z collinear and noncollinear antiferromagnetic compounds having momentum-dependent spin splitting even without spin-orbit coupling. </w:t>
      </w:r>
      <w:r w:rsidRPr="0027124E">
        <w:rPr>
          <w:i/>
          <w:noProof/>
        </w:rPr>
        <w:t>Physical Review Materials</w:t>
      </w:r>
      <w:r w:rsidRPr="0027124E">
        <w:rPr>
          <w:noProof/>
        </w:rPr>
        <w:t xml:space="preserve"> </w:t>
      </w:r>
      <w:r w:rsidRPr="0027124E">
        <w:rPr>
          <w:b/>
          <w:noProof/>
        </w:rPr>
        <w:t>5</w:t>
      </w:r>
      <w:r w:rsidRPr="0027124E">
        <w:rPr>
          <w:noProof/>
        </w:rPr>
        <w:t>, 014409, doi:</w:t>
      </w:r>
      <w:hyperlink r:id="rId10" w:history="1">
        <w:r w:rsidRPr="0027124E">
          <w:rPr>
            <w:rStyle w:val="Hyperlink"/>
            <w:noProof/>
          </w:rPr>
          <w:t>https://doi.org/10.1103/PhysRevMaterials.5.014409</w:t>
        </w:r>
      </w:hyperlink>
      <w:r w:rsidRPr="0027124E">
        <w:rPr>
          <w:noProof/>
        </w:rPr>
        <w:t xml:space="preserve"> (2021).</w:t>
      </w:r>
    </w:p>
    <w:p w14:paraId="46A9B800" w14:textId="77777777" w:rsidR="00457825" w:rsidRPr="0027124E" w:rsidRDefault="00457825" w:rsidP="00457825">
      <w:pPr>
        <w:pStyle w:val="EndNoteBibliography"/>
        <w:ind w:left="720" w:hanging="720"/>
        <w:rPr>
          <w:noProof/>
        </w:rPr>
      </w:pPr>
      <w:r w:rsidRPr="0027124E">
        <w:rPr>
          <w:noProof/>
        </w:rPr>
        <w:t>6</w:t>
      </w:r>
      <w:r w:rsidRPr="0027124E">
        <w:rPr>
          <w:noProof/>
        </w:rPr>
        <w:tab/>
        <w:t>Mounet, N.</w:t>
      </w:r>
      <w:r w:rsidRPr="0027124E">
        <w:rPr>
          <w:i/>
          <w:noProof/>
        </w:rPr>
        <w:t xml:space="preserve"> et al.</w:t>
      </w:r>
      <w:r w:rsidRPr="0027124E">
        <w:rPr>
          <w:noProof/>
        </w:rPr>
        <w:t xml:space="preserve"> Two-dimensional materials from high-throughput computational exfoliation of experimentally known compounds. </w:t>
      </w:r>
      <w:r w:rsidRPr="0027124E">
        <w:rPr>
          <w:i/>
          <w:noProof/>
        </w:rPr>
        <w:t>Nature Nanotechnology</w:t>
      </w:r>
      <w:r w:rsidRPr="0027124E">
        <w:rPr>
          <w:noProof/>
        </w:rPr>
        <w:t xml:space="preserve"> </w:t>
      </w:r>
      <w:r w:rsidRPr="0027124E">
        <w:rPr>
          <w:b/>
          <w:noProof/>
        </w:rPr>
        <w:t>13</w:t>
      </w:r>
      <w:r w:rsidRPr="0027124E">
        <w:rPr>
          <w:noProof/>
        </w:rPr>
        <w:t>, 246-252, doi:10.1038/s41565-017-0035-5 (2018).</w:t>
      </w:r>
    </w:p>
    <w:p w14:paraId="294B1966" w14:textId="41111043" w:rsidR="00CD17EE" w:rsidRDefault="0091651F">
      <w:r w:rsidRPr="0027124E">
        <w:rPr>
          <w:rFonts w:ascii="Palatino Linotype" w:hAnsi="Palatino Linotype"/>
          <w:sz w:val="22"/>
          <w:szCs w:val="22"/>
        </w:rPr>
        <w:fldChar w:fldCharType="end"/>
      </w:r>
    </w:p>
    <w:sectPr w:rsidR="00CD17EE" w:rsidSect="005B02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D2476"/>
    <w:multiLevelType w:val="multilevel"/>
    <w:tmpl w:val="D6FE8BF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59644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_&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44E71"/>
    <w:rsid w:val="00006B3B"/>
    <w:rsid w:val="00022DFE"/>
    <w:rsid w:val="00026281"/>
    <w:rsid w:val="000622D8"/>
    <w:rsid w:val="00097223"/>
    <w:rsid w:val="000A743D"/>
    <w:rsid w:val="000A7590"/>
    <w:rsid w:val="000B5E9E"/>
    <w:rsid w:val="000D073F"/>
    <w:rsid w:val="000D314C"/>
    <w:rsid w:val="000F7C77"/>
    <w:rsid w:val="00103CAD"/>
    <w:rsid w:val="00106AB7"/>
    <w:rsid w:val="00107743"/>
    <w:rsid w:val="00116C1D"/>
    <w:rsid w:val="00132E0D"/>
    <w:rsid w:val="0013344B"/>
    <w:rsid w:val="00141906"/>
    <w:rsid w:val="001705EA"/>
    <w:rsid w:val="00177C1C"/>
    <w:rsid w:val="001917F2"/>
    <w:rsid w:val="001A02AF"/>
    <w:rsid w:val="001E465F"/>
    <w:rsid w:val="00205A08"/>
    <w:rsid w:val="00217302"/>
    <w:rsid w:val="00253150"/>
    <w:rsid w:val="0026447A"/>
    <w:rsid w:val="002652EB"/>
    <w:rsid w:val="00271033"/>
    <w:rsid w:val="0027124E"/>
    <w:rsid w:val="002825A7"/>
    <w:rsid w:val="00316461"/>
    <w:rsid w:val="0032667D"/>
    <w:rsid w:val="00326859"/>
    <w:rsid w:val="0033255A"/>
    <w:rsid w:val="003401B1"/>
    <w:rsid w:val="00351E38"/>
    <w:rsid w:val="0035544B"/>
    <w:rsid w:val="003622AE"/>
    <w:rsid w:val="003C2B2A"/>
    <w:rsid w:val="003E0253"/>
    <w:rsid w:val="003F79F6"/>
    <w:rsid w:val="0040601C"/>
    <w:rsid w:val="00412A24"/>
    <w:rsid w:val="0041344D"/>
    <w:rsid w:val="00452BC2"/>
    <w:rsid w:val="00457825"/>
    <w:rsid w:val="00471D75"/>
    <w:rsid w:val="004916A1"/>
    <w:rsid w:val="004A0789"/>
    <w:rsid w:val="004A3A60"/>
    <w:rsid w:val="004D7060"/>
    <w:rsid w:val="004E01FA"/>
    <w:rsid w:val="00524739"/>
    <w:rsid w:val="005261E1"/>
    <w:rsid w:val="0053366D"/>
    <w:rsid w:val="00543F5F"/>
    <w:rsid w:val="005445D1"/>
    <w:rsid w:val="005517D8"/>
    <w:rsid w:val="00566A77"/>
    <w:rsid w:val="00570383"/>
    <w:rsid w:val="005A3310"/>
    <w:rsid w:val="005B029D"/>
    <w:rsid w:val="005D11A9"/>
    <w:rsid w:val="006370A5"/>
    <w:rsid w:val="006372CD"/>
    <w:rsid w:val="00644E71"/>
    <w:rsid w:val="00654AAC"/>
    <w:rsid w:val="00672C3B"/>
    <w:rsid w:val="007149BD"/>
    <w:rsid w:val="00741EFE"/>
    <w:rsid w:val="00762740"/>
    <w:rsid w:val="00772138"/>
    <w:rsid w:val="00781484"/>
    <w:rsid w:val="00796805"/>
    <w:rsid w:val="007B5E09"/>
    <w:rsid w:val="007E1747"/>
    <w:rsid w:val="007E5C23"/>
    <w:rsid w:val="007F4785"/>
    <w:rsid w:val="00802513"/>
    <w:rsid w:val="0080538F"/>
    <w:rsid w:val="0081016F"/>
    <w:rsid w:val="00823F90"/>
    <w:rsid w:val="00836370"/>
    <w:rsid w:val="008A4A81"/>
    <w:rsid w:val="008D2DFC"/>
    <w:rsid w:val="0091651F"/>
    <w:rsid w:val="00921C2F"/>
    <w:rsid w:val="00943555"/>
    <w:rsid w:val="00A22F9F"/>
    <w:rsid w:val="00A3690E"/>
    <w:rsid w:val="00A460D2"/>
    <w:rsid w:val="00A56ED7"/>
    <w:rsid w:val="00A624A7"/>
    <w:rsid w:val="00A97291"/>
    <w:rsid w:val="00AB34AC"/>
    <w:rsid w:val="00AB5606"/>
    <w:rsid w:val="00AD3EA7"/>
    <w:rsid w:val="00AE221C"/>
    <w:rsid w:val="00AF2C14"/>
    <w:rsid w:val="00B15F4E"/>
    <w:rsid w:val="00B241DA"/>
    <w:rsid w:val="00B3717F"/>
    <w:rsid w:val="00B45B4C"/>
    <w:rsid w:val="00B47130"/>
    <w:rsid w:val="00B51316"/>
    <w:rsid w:val="00B9496E"/>
    <w:rsid w:val="00BA0602"/>
    <w:rsid w:val="00BB7381"/>
    <w:rsid w:val="00BB748E"/>
    <w:rsid w:val="00BE5D71"/>
    <w:rsid w:val="00C010BD"/>
    <w:rsid w:val="00C120A6"/>
    <w:rsid w:val="00C17D61"/>
    <w:rsid w:val="00C576A6"/>
    <w:rsid w:val="00C87EF7"/>
    <w:rsid w:val="00C962A4"/>
    <w:rsid w:val="00CB26FB"/>
    <w:rsid w:val="00CB3164"/>
    <w:rsid w:val="00CD17EE"/>
    <w:rsid w:val="00CD2CC4"/>
    <w:rsid w:val="00CF1C66"/>
    <w:rsid w:val="00D23605"/>
    <w:rsid w:val="00D26D44"/>
    <w:rsid w:val="00D318E3"/>
    <w:rsid w:val="00D51CE8"/>
    <w:rsid w:val="00DA4014"/>
    <w:rsid w:val="00DB0CC2"/>
    <w:rsid w:val="00DB40DD"/>
    <w:rsid w:val="00DE4A0B"/>
    <w:rsid w:val="00E10075"/>
    <w:rsid w:val="00E177A2"/>
    <w:rsid w:val="00E36139"/>
    <w:rsid w:val="00E656F8"/>
    <w:rsid w:val="00E7653B"/>
    <w:rsid w:val="00E80708"/>
    <w:rsid w:val="00E8143F"/>
    <w:rsid w:val="00E81846"/>
    <w:rsid w:val="00E828DD"/>
    <w:rsid w:val="00EA2AA8"/>
    <w:rsid w:val="00EE0339"/>
    <w:rsid w:val="00EE2549"/>
    <w:rsid w:val="00EF10D8"/>
    <w:rsid w:val="00F43EE7"/>
    <w:rsid w:val="00F63124"/>
    <w:rsid w:val="00F652FF"/>
    <w:rsid w:val="00F72151"/>
    <w:rsid w:val="00F77C17"/>
    <w:rsid w:val="00FB5ACD"/>
    <w:rsid w:val="00FB6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62F9A3E"/>
  <w15:chartTrackingRefBased/>
  <w15:docId w15:val="{7F14A4A7-0F29-F84E-8FE0-B4E170D4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E71"/>
    <w:rPr>
      <w:rFonts w:ascii="Times New Roman" w:eastAsia="SimSun" w:hAnsi="Times New Roman" w:cs="Times New Roman"/>
    </w:rPr>
  </w:style>
  <w:style w:type="paragraph" w:styleId="Heading3">
    <w:name w:val="heading 3"/>
    <w:basedOn w:val="Normal"/>
    <w:next w:val="Normal"/>
    <w:link w:val="Heading3Char"/>
    <w:uiPriority w:val="9"/>
    <w:unhideWhenUsed/>
    <w:qFormat/>
    <w:rsid w:val="00CF1C66"/>
    <w:pPr>
      <w:keepNext/>
      <w:keepLines/>
      <w:spacing w:before="280" w:after="80"/>
      <w:outlineLvl w:val="2"/>
    </w:pPr>
    <w:rPr>
      <w:b/>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4E71"/>
    <w:rPr>
      <w:sz w:val="16"/>
      <w:szCs w:val="16"/>
    </w:rPr>
  </w:style>
  <w:style w:type="paragraph" w:styleId="CommentText">
    <w:name w:val="annotation text"/>
    <w:basedOn w:val="Normal"/>
    <w:link w:val="CommentTextChar"/>
    <w:uiPriority w:val="99"/>
    <w:unhideWhenUsed/>
    <w:rsid w:val="00644E71"/>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44E71"/>
    <w:rPr>
      <w:rFonts w:eastAsiaTheme="minorHAnsi"/>
      <w:sz w:val="20"/>
      <w:szCs w:val="20"/>
      <w:lang w:eastAsia="en-US"/>
    </w:rPr>
  </w:style>
  <w:style w:type="table" w:styleId="TableGrid">
    <w:name w:val="Table Grid"/>
    <w:basedOn w:val="TableNormal"/>
    <w:uiPriority w:val="39"/>
    <w:rsid w:val="00644E71"/>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1651F"/>
    <w:pPr>
      <w:jc w:val="center"/>
    </w:pPr>
  </w:style>
  <w:style w:type="character" w:customStyle="1" w:styleId="EndNoteBibliographyTitleChar">
    <w:name w:val="EndNote Bibliography Title Char"/>
    <w:basedOn w:val="DefaultParagraphFont"/>
    <w:link w:val="EndNoteBibliographyTitle"/>
    <w:rsid w:val="0091651F"/>
    <w:rPr>
      <w:rFonts w:ascii="Times New Roman" w:eastAsia="SimSun" w:hAnsi="Times New Roman" w:cs="Times New Roman"/>
    </w:rPr>
  </w:style>
  <w:style w:type="paragraph" w:customStyle="1" w:styleId="EndNoteBibliography">
    <w:name w:val="EndNote Bibliography"/>
    <w:basedOn w:val="Normal"/>
    <w:link w:val="EndNoteBibliographyChar"/>
    <w:rsid w:val="0091651F"/>
  </w:style>
  <w:style w:type="character" w:customStyle="1" w:styleId="EndNoteBibliographyChar">
    <w:name w:val="EndNote Bibliography Char"/>
    <w:basedOn w:val="DefaultParagraphFont"/>
    <w:link w:val="EndNoteBibliography"/>
    <w:rsid w:val="0091651F"/>
    <w:rPr>
      <w:rFonts w:ascii="Times New Roman" w:eastAsia="SimSun" w:hAnsi="Times New Roman" w:cs="Times New Roman"/>
    </w:rPr>
  </w:style>
  <w:style w:type="paragraph" w:styleId="Revision">
    <w:name w:val="Revision"/>
    <w:hidden/>
    <w:uiPriority w:val="99"/>
    <w:semiHidden/>
    <w:rsid w:val="00CF1C66"/>
    <w:rPr>
      <w:rFonts w:ascii="Times New Roman" w:eastAsia="SimSun" w:hAnsi="Times New Roman" w:cs="Times New Roman"/>
    </w:rPr>
  </w:style>
  <w:style w:type="character" w:customStyle="1" w:styleId="Heading3Char">
    <w:name w:val="Heading 3 Char"/>
    <w:basedOn w:val="DefaultParagraphFont"/>
    <w:link w:val="Heading3"/>
    <w:uiPriority w:val="9"/>
    <w:rsid w:val="00CF1C66"/>
    <w:rPr>
      <w:rFonts w:ascii="Times New Roman" w:eastAsia="SimSun" w:hAnsi="Times New Roman" w:cs="Times New Roman"/>
      <w:b/>
      <w:sz w:val="28"/>
      <w:szCs w:val="28"/>
      <w:lang w:eastAsia="en-GB"/>
    </w:rPr>
  </w:style>
  <w:style w:type="paragraph" w:styleId="NormalWeb">
    <w:name w:val="Normal (Web)"/>
    <w:basedOn w:val="Normal"/>
    <w:link w:val="NormalWebChar"/>
    <w:uiPriority w:val="99"/>
    <w:unhideWhenUsed/>
    <w:rsid w:val="00CF1C66"/>
    <w:pPr>
      <w:spacing w:before="100" w:beforeAutospacing="1" w:after="100" w:afterAutospacing="1"/>
    </w:pPr>
    <w:rPr>
      <w:lang w:eastAsia="en-GB"/>
    </w:rPr>
  </w:style>
  <w:style w:type="character" w:customStyle="1" w:styleId="NormalWebChar">
    <w:name w:val="Normal (Web) Char"/>
    <w:basedOn w:val="DefaultParagraphFont"/>
    <w:link w:val="NormalWeb"/>
    <w:uiPriority w:val="99"/>
    <w:rsid w:val="00CF1C66"/>
    <w:rPr>
      <w:rFonts w:ascii="Times New Roman" w:eastAsia="SimSu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326859"/>
    <w:rPr>
      <w:rFonts w:ascii="Times New Roman" w:eastAsia="SimSun" w:hAnsi="Times New Roman" w:cs="Times New Roman"/>
      <w:b/>
      <w:bCs/>
      <w:lang w:eastAsia="zh-CN"/>
    </w:rPr>
  </w:style>
  <w:style w:type="character" w:customStyle="1" w:styleId="CommentSubjectChar">
    <w:name w:val="Comment Subject Char"/>
    <w:basedOn w:val="CommentTextChar"/>
    <w:link w:val="CommentSubject"/>
    <w:uiPriority w:val="99"/>
    <w:semiHidden/>
    <w:rsid w:val="00326859"/>
    <w:rPr>
      <w:rFonts w:ascii="Times New Roman" w:eastAsia="SimSun" w:hAnsi="Times New Roman" w:cs="Times New Roman"/>
      <w:b/>
      <w:bCs/>
      <w:sz w:val="20"/>
      <w:szCs w:val="20"/>
      <w:lang w:eastAsia="en-US"/>
    </w:rPr>
  </w:style>
  <w:style w:type="character" w:styleId="Hyperlink">
    <w:name w:val="Hyperlink"/>
    <w:basedOn w:val="DefaultParagraphFont"/>
    <w:uiPriority w:val="99"/>
    <w:unhideWhenUsed/>
    <w:rsid w:val="002825A7"/>
    <w:rPr>
      <w:color w:val="0563C1" w:themeColor="hyperlink"/>
      <w:u w:val="single"/>
    </w:rPr>
  </w:style>
  <w:style w:type="character" w:styleId="UnresolvedMention">
    <w:name w:val="Unresolved Mention"/>
    <w:basedOn w:val="DefaultParagraphFont"/>
    <w:uiPriority w:val="99"/>
    <w:semiHidden/>
    <w:unhideWhenUsed/>
    <w:rsid w:val="00282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doi.org/10.1103/PhysRevMaterials.5.014409"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3656</Words>
  <Characters>20844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Lin-Ding Yuan</dc:creator>
  <cp:keywords/>
  <dc:description/>
  <cp:lastModifiedBy>Lin-Ding Yuan</cp:lastModifiedBy>
  <cp:revision>16</cp:revision>
  <dcterms:created xsi:type="dcterms:W3CDTF">2022-08-09T17:15:00Z</dcterms:created>
  <dcterms:modified xsi:type="dcterms:W3CDTF">2022-11-17T20:47:00Z</dcterms:modified>
</cp:coreProperties>
</file>