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contextualSpacing/>
        <w:jc w:val="both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Title: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Development of </w:t>
      </w:r>
      <w:bookmarkStart w:id="0" w:name="_Hlk103021712"/>
      <w:r>
        <w:rPr>
          <w:rFonts w:ascii="Times New Roman" w:hAnsi="Times New Roman" w:cs="Times New Roman"/>
          <w:color w:val="000000" w:themeColor="text1"/>
          <w:sz w:val="24"/>
          <w:szCs w:val="24"/>
        </w:rPr>
        <w:t>a novel integrated isothermal amplification system</w:t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detection of bacteria-spiked blood samples</w:t>
      </w:r>
    </w:p>
    <w:p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Authors: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Jin Li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1#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Mei-Yun Shang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1#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Shao-Li Deng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Min Li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Ning Su</w:t>
      </w:r>
      <w:bookmarkStart w:id="1" w:name="_Hlk101532855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>, Xiao-Dong Ren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Xian-Ge Sun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Wen-Man Li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Yu-Wei Li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Ruo-Xu Li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Qing Huang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Wei-Ping Lu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*Co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</w:rPr>
        <w:t>-co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rresponding author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Wei-Ping Lu, M.D. Ph.D., Email: </w:t>
      </w:r>
      <w:r>
        <w:rPr>
          <w:color w:val="000000" w:themeColor="text1"/>
          <w:sz w:val="24"/>
          <w:szCs w:val="24"/>
        </w:rPr>
        <w:fldChar w:fldCharType="begin"/>
      </w:r>
      <w:r>
        <w:rPr>
          <w:color w:val="000000" w:themeColor="text1"/>
          <w:sz w:val="24"/>
          <w:szCs w:val="24"/>
        </w:rPr>
        <w:instrText xml:space="preserve"> HYPERLINK "mailto:luweiping19710416@163.com" </w:instrText>
      </w:r>
      <w:r>
        <w:rPr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luweiping19710416@163.com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</w:rPr>
        <w:t xml:space="preserve">Qing Huang, M.D. Ph.D., Email: </w:t>
      </w:r>
      <w:r>
        <w:rPr>
          <w:color w:val="000000" w:themeColor="text1"/>
          <w:sz w:val="24"/>
          <w:szCs w:val="24"/>
        </w:rPr>
        <w:fldChar w:fldCharType="begin"/>
      </w:r>
      <w:r>
        <w:rPr>
          <w:color w:val="000000" w:themeColor="text1"/>
          <w:sz w:val="24"/>
          <w:szCs w:val="24"/>
        </w:rPr>
        <w:instrText xml:space="preserve"> HYPERLINK "mailto:qinghuang@tmm.edu.cn" </w:instrText>
      </w:r>
      <w:r>
        <w:rPr>
          <w:color w:val="000000" w:themeColor="text1"/>
          <w:sz w:val="24"/>
          <w:szCs w:val="24"/>
        </w:rPr>
        <w:fldChar w:fldCharType="separate"/>
      </w:r>
      <w:r>
        <w:rPr>
          <w:rStyle w:val="6"/>
          <w:rFonts w:hint="eastAsia" w:ascii="Times New Roman" w:hAnsi="Times New Roman" w:cs="Times New Roman"/>
          <w:color w:val="000000" w:themeColor="text1"/>
          <w:sz w:val="24"/>
          <w:szCs w:val="24"/>
          <w:u w:val="none"/>
        </w:rPr>
        <w:t>qinghuang@tmm.edu.cn</w:t>
      </w:r>
      <w:r>
        <w:rPr>
          <w:rStyle w:val="6"/>
          <w:rFonts w:hint="eastAsia" w:ascii="Times New Roman" w:hAnsi="Times New Roman" w:cs="Times New Roman"/>
          <w:color w:val="000000" w:themeColor="text1"/>
          <w:sz w:val="24"/>
          <w:szCs w:val="24"/>
          <w:u w:val="none"/>
        </w:rPr>
        <w:fldChar w:fldCharType="end"/>
      </w:r>
    </w:p>
    <w:p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Tel: +86-23-68746995</w:t>
      </w:r>
    </w:p>
    <w:p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Fax: +86-23-68716530</w:t>
      </w:r>
    </w:p>
    <w:p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Department of Laboratory Medicine, Daping Hospital, Army Medical University, Chongqing, 400042, P.R. China</w:t>
      </w:r>
    </w:p>
    <w:p>
      <w:pPr>
        <w:spacing w:line="480" w:lineRule="auto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1-mini-regular" w:cs="Times New Roman"/>
          <w:color w:val="000000" w:themeColor="text1"/>
          <w:sz w:val="24"/>
          <w:szCs w:val="24"/>
          <w:vertAlign w:val="superscript"/>
        </w:rPr>
        <w:t>#</w:t>
      </w:r>
      <w:r>
        <w:rPr>
          <w:rFonts w:ascii="Times New Roman" w:hAnsi="Times New Roman" w:eastAsia="t1-mini-regular" w:cs="Times New Roman"/>
          <w:color w:val="000000" w:themeColor="text1"/>
          <w:sz w:val="24"/>
          <w:szCs w:val="24"/>
        </w:rPr>
        <w:t>These authors contributed equally 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1-mini-regular" w:cs="Times New Roman"/>
          <w:color w:val="000000" w:themeColor="text1"/>
          <w:sz w:val="24"/>
          <w:szCs w:val="24"/>
        </w:rPr>
        <w:t>this work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48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SUPPLEMENTARY MATERIALS INDEX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2" w:line="480" w:lineRule="auto"/>
        <w:ind w:left="280" w:right="1201" w:firstLine="0"/>
        <w:jc w:val="left"/>
        <w:textAlignment w:val="auto"/>
        <w:rPr>
          <w:b/>
          <w:bCs w:val="0"/>
          <w:sz w:val="24"/>
          <w:szCs w:val="24"/>
        </w:rPr>
      </w:pPr>
      <w:r>
        <w:rPr>
          <w:b/>
          <w:sz w:val="24"/>
          <w:szCs w:val="24"/>
        </w:rPr>
        <w:t>Supplementary Figure 1</w:t>
      </w:r>
      <w:r>
        <w:rPr>
          <w:rFonts w:hint="eastAsia" w:eastAsia="宋体"/>
          <w:b/>
          <w:sz w:val="24"/>
          <w:szCs w:val="24"/>
          <w:lang w:val="en-US" w:eastAsia="zh-CN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bCs w:val="0"/>
          <w:sz w:val="24"/>
          <w:szCs w:val="24"/>
        </w:rPr>
        <w:t>Relative positions of the amplicon target genes in bacterial</w:t>
      </w:r>
      <w:r>
        <w:rPr>
          <w:rFonts w:hint="eastAsia" w:eastAsia="宋体"/>
          <w:b/>
          <w:bCs w:val="0"/>
          <w:sz w:val="24"/>
          <w:szCs w:val="24"/>
          <w:lang w:val="en-US" w:eastAsia="zh-CN"/>
        </w:rPr>
        <w:t xml:space="preserve"> </w:t>
      </w:r>
      <w:r>
        <w:rPr>
          <w:b/>
          <w:bCs w:val="0"/>
          <w:sz w:val="24"/>
          <w:szCs w:val="24"/>
        </w:rPr>
        <w:t>specific target genes of bloodstream infection.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280" w:right="1201" w:firstLine="0"/>
        <w:jc w:val="left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Supplementary Figure 2</w:t>
      </w:r>
      <w:r>
        <w:rPr>
          <w:rFonts w:hint="eastAsia" w:eastAsia="宋体"/>
          <w:b/>
          <w:sz w:val="24"/>
          <w:szCs w:val="24"/>
          <w:lang w:val="en-US" w:eastAsia="zh-CN"/>
        </w:rPr>
        <w:t xml:space="preserve"> </w:t>
      </w:r>
      <w:r>
        <w:rPr>
          <w:b/>
          <w:sz w:val="24"/>
          <w:szCs w:val="24"/>
        </w:rPr>
        <w:t xml:space="preserve"> Structure diagram of the detection device.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280" w:right="1201" w:firstLine="0"/>
        <w:jc w:val="left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Supplementary Figure 3 </w:t>
      </w:r>
      <w:r>
        <w:rPr>
          <w:rFonts w:hint="eastAsia" w:eastAsia="宋体"/>
          <w:b/>
          <w:sz w:val="24"/>
          <w:szCs w:val="24"/>
          <w:lang w:val="en-US" w:eastAsia="zh-CN"/>
        </w:rPr>
        <w:t xml:space="preserve"> </w:t>
      </w:r>
      <w:r>
        <w:rPr>
          <w:b/>
          <w:sz w:val="24"/>
          <w:szCs w:val="24"/>
        </w:rPr>
        <w:t>Primer screening for basic RPA assays.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280" w:right="1201" w:firstLine="0"/>
        <w:jc w:val="left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Supplementary Figure 4 </w:t>
      </w:r>
      <w:r>
        <w:rPr>
          <w:rFonts w:hint="eastAsia" w:eastAsia="宋体"/>
          <w:b/>
          <w:sz w:val="24"/>
          <w:szCs w:val="24"/>
          <w:lang w:val="en-US" w:eastAsia="zh-CN"/>
        </w:rPr>
        <w:t xml:space="preserve"> </w:t>
      </w:r>
      <w:r>
        <w:rPr>
          <w:b/>
          <w:sz w:val="24"/>
          <w:szCs w:val="24"/>
        </w:rPr>
        <w:t xml:space="preserve">Sensitivity of the real-time PCR assays.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280" w:right="1201" w:firstLine="0"/>
        <w:jc w:val="left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Supplementary Table 1 </w:t>
      </w:r>
      <w:r>
        <w:rPr>
          <w:rFonts w:hint="eastAsia" w:eastAsia="宋体"/>
          <w:b/>
          <w:sz w:val="24"/>
          <w:szCs w:val="24"/>
          <w:lang w:val="en-US" w:eastAsia="zh-CN"/>
        </w:rPr>
        <w:t xml:space="preserve"> </w:t>
      </w:r>
      <w:r>
        <w:rPr>
          <w:b/>
          <w:sz w:val="24"/>
          <w:szCs w:val="24"/>
        </w:rPr>
        <w:t>Samples for specificity assays.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280" w:right="0" w:firstLine="0"/>
        <w:jc w:val="left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Supplementary Table 2 </w:t>
      </w:r>
      <w:r>
        <w:rPr>
          <w:rFonts w:hint="eastAsia" w:eastAsia="宋体"/>
          <w:b/>
          <w:sz w:val="24"/>
          <w:szCs w:val="24"/>
          <w:lang w:val="en-US" w:eastAsia="zh-CN"/>
        </w:rPr>
        <w:t xml:space="preserve"> </w:t>
      </w:r>
      <w:r>
        <w:rPr>
          <w:b/>
          <w:sz w:val="24"/>
          <w:szCs w:val="24"/>
        </w:rPr>
        <w:t>Primers and probes of real-time PCR.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480" w:lineRule="auto"/>
        <w:jc w:val="left"/>
        <w:textAlignment w:val="auto"/>
        <w:rPr>
          <w:sz w:val="24"/>
          <w:szCs w:val="24"/>
        </w:rPr>
        <w:sectPr>
          <w:pgSz w:w="11910" w:h="16840"/>
          <w:pgMar w:top="1440" w:right="1100" w:bottom="280" w:left="1520" w:header="720" w:footer="720" w:gutter="0"/>
          <w:cols w:space="720" w:num="1"/>
        </w:sect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279"/>
        <w:textAlignment w:val="auto"/>
        <w:rPr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480" w:lineRule="auto"/>
        <w:textAlignment w:val="auto"/>
        <w:rPr>
          <w:sz w:val="24"/>
          <w:szCs w:val="24"/>
        </w:rPr>
      </w:pPr>
      <w:r>
        <w:drawing>
          <wp:inline distT="0" distB="0" distL="114300" distR="114300">
            <wp:extent cx="6438900" cy="5029200"/>
            <wp:effectExtent l="0" t="0" r="7620" b="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0" w:line="480" w:lineRule="auto"/>
        <w:ind w:left="280" w:right="612" w:firstLine="0"/>
        <w:jc w:val="both"/>
        <w:textAlignment w:val="auto"/>
        <w:rPr>
          <w:sz w:val="24"/>
          <w:szCs w:val="24"/>
        </w:rPr>
        <w:sectPr>
          <w:pgSz w:w="11910" w:h="16840"/>
          <w:pgMar w:top="1560" w:right="1100" w:bottom="280" w:left="1520" w:header="720" w:footer="720" w:gutter="0"/>
          <w:cols w:space="720" w:num="1"/>
        </w:sectPr>
      </w:pPr>
      <w:r>
        <w:rPr>
          <w:b/>
          <w:sz w:val="24"/>
          <w:szCs w:val="24"/>
        </w:rPr>
        <w:t>Supplementary Figure 1</w:t>
      </w:r>
      <w:r>
        <w:rPr>
          <w:rFonts w:ascii="宋体"/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Relative positions of the amplicon target genes in bacterial specific target genes of bloodstream infection</w:t>
      </w:r>
      <w:r>
        <w:rPr>
          <w:sz w:val="24"/>
          <w:szCs w:val="24"/>
        </w:rPr>
        <w:t>.</w:t>
      </w:r>
      <w:r>
        <w:rPr>
          <w:b w:val="0"/>
          <w:bCs w:val="0"/>
          <w:sz w:val="24"/>
          <w:szCs w:val="24"/>
        </w:rPr>
        <w:t xml:space="preserve"> </w:t>
      </w:r>
      <w:r>
        <w:rPr>
          <w:color w:val="0D0F1A"/>
          <w:sz w:val="24"/>
          <w:szCs w:val="24"/>
        </w:rPr>
        <w:t xml:space="preserve"> (</w:t>
      </w:r>
      <w:r>
        <w:rPr>
          <w:b/>
          <w:color w:val="0D0F1A"/>
          <w:sz w:val="24"/>
          <w:szCs w:val="24"/>
        </w:rPr>
        <w:t xml:space="preserve">A: </w:t>
      </w:r>
      <w:r>
        <w:rPr>
          <w:i/>
          <w:color w:val="0D0F1A"/>
          <w:sz w:val="24"/>
          <w:szCs w:val="24"/>
        </w:rPr>
        <w:t>S. aureus</w:t>
      </w:r>
      <w:r>
        <w:rPr>
          <w:color w:val="0D0F1A"/>
          <w:sz w:val="24"/>
          <w:szCs w:val="24"/>
        </w:rPr>
        <w:t>;</w:t>
      </w:r>
      <w:r>
        <w:rPr>
          <w:color w:val="0D0F1A"/>
          <w:spacing w:val="-9"/>
          <w:sz w:val="24"/>
          <w:szCs w:val="24"/>
        </w:rPr>
        <w:t xml:space="preserve"> </w:t>
      </w:r>
      <w:r>
        <w:rPr>
          <w:b/>
          <w:color w:val="0D0F1A"/>
          <w:sz w:val="24"/>
          <w:szCs w:val="24"/>
        </w:rPr>
        <w:t>B:</w:t>
      </w:r>
      <w:r>
        <w:rPr>
          <w:rFonts w:hint="eastAsia" w:eastAsia="宋体"/>
          <w:b/>
          <w:color w:val="0D0F1A"/>
          <w:sz w:val="24"/>
          <w:szCs w:val="24"/>
          <w:lang w:val="en-US" w:eastAsia="zh-CN"/>
        </w:rPr>
        <w:t xml:space="preserve"> </w:t>
      </w:r>
      <w:r>
        <w:rPr>
          <w:i/>
          <w:color w:val="0D0F1A"/>
          <w:sz w:val="24"/>
          <w:szCs w:val="24"/>
        </w:rPr>
        <w:t>K. peneumoniae</w:t>
      </w:r>
      <w:r>
        <w:rPr>
          <w:color w:val="0D0F1A"/>
          <w:sz w:val="24"/>
          <w:szCs w:val="24"/>
        </w:rPr>
        <w:t xml:space="preserve">; </w:t>
      </w:r>
      <w:r>
        <w:rPr>
          <w:b/>
          <w:color w:val="0D0F1A"/>
          <w:sz w:val="24"/>
          <w:szCs w:val="24"/>
        </w:rPr>
        <w:t xml:space="preserve">C: </w:t>
      </w:r>
      <w:r>
        <w:rPr>
          <w:i/>
          <w:color w:val="0D0F1A"/>
          <w:spacing w:val="-16"/>
          <w:sz w:val="24"/>
          <w:szCs w:val="24"/>
        </w:rPr>
        <w:t xml:space="preserve">P. </w:t>
      </w:r>
      <w:r>
        <w:rPr>
          <w:i/>
          <w:color w:val="0D0F1A"/>
          <w:sz w:val="24"/>
          <w:szCs w:val="24"/>
        </w:rPr>
        <w:t>aeruginosa</w:t>
      </w:r>
      <w:r>
        <w:rPr>
          <w:color w:val="0D0F1A"/>
          <w:sz w:val="24"/>
          <w:szCs w:val="24"/>
        </w:rPr>
        <w:t xml:space="preserve">; </w:t>
      </w:r>
      <w:r>
        <w:rPr>
          <w:b/>
          <w:color w:val="0D0F1A"/>
          <w:sz w:val="24"/>
          <w:szCs w:val="24"/>
        </w:rPr>
        <w:t xml:space="preserve">D: </w:t>
      </w:r>
      <w:r>
        <w:rPr>
          <w:i/>
          <w:color w:val="0D0F1A"/>
          <w:sz w:val="24"/>
          <w:szCs w:val="24"/>
        </w:rPr>
        <w:t>H. influenzae</w:t>
      </w:r>
      <w:r>
        <w:rPr>
          <w:color w:val="0D0F1A"/>
          <w:sz w:val="24"/>
          <w:szCs w:val="24"/>
        </w:rPr>
        <w:t>).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480" w:lineRule="auto"/>
        <w:textAlignment w:val="auto"/>
        <w:rPr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2653"/>
        <w:textAlignment w:val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980565" cy="3429000"/>
            <wp:effectExtent l="0" t="0" r="0" b="0"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8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0" w:line="480" w:lineRule="auto"/>
        <w:ind w:left="280" w:right="697" w:firstLine="0"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Supplementary Figure 2. Structure diagram of the detection device. </w:t>
      </w:r>
      <w:r>
        <w:rPr>
          <w:sz w:val="24"/>
          <w:szCs w:val="24"/>
        </w:rPr>
        <w:t>This device consists of top cover</w:t>
      </w:r>
      <w:r>
        <w:rPr>
          <w:b/>
          <w:bCs/>
          <w:sz w:val="24"/>
          <w:szCs w:val="24"/>
        </w:rPr>
        <w:t xml:space="preserve"> (1)</w:t>
      </w:r>
      <w:r>
        <w:rPr>
          <w:sz w:val="24"/>
          <w:szCs w:val="24"/>
        </w:rPr>
        <w:t xml:space="preserve"> and bottom container. Bottom pad</w:t>
      </w:r>
      <w:r>
        <w:rPr>
          <w:b/>
          <w:bCs/>
          <w:sz w:val="24"/>
          <w:szCs w:val="24"/>
        </w:rPr>
        <w:t xml:space="preserve"> (2)</w:t>
      </w:r>
      <w:r>
        <w:rPr>
          <w:sz w:val="24"/>
          <w:szCs w:val="24"/>
        </w:rPr>
        <w:t>, reaction chamber</w:t>
      </w:r>
      <w:r>
        <w:rPr>
          <w:b/>
          <w:bCs/>
          <w:sz w:val="24"/>
          <w:szCs w:val="24"/>
        </w:rPr>
        <w:t xml:space="preserve"> (3) </w:t>
      </w:r>
      <w:r>
        <w:rPr>
          <w:sz w:val="24"/>
          <w:szCs w:val="24"/>
        </w:rPr>
        <w:t xml:space="preserve">and inspection window </w:t>
      </w:r>
      <w:r>
        <w:rPr>
          <w:b/>
          <w:bCs/>
          <w:sz w:val="24"/>
          <w:szCs w:val="24"/>
        </w:rPr>
        <w:t>(4)</w:t>
      </w:r>
      <w:r>
        <w:rPr>
          <w:sz w:val="24"/>
          <w:szCs w:val="24"/>
        </w:rPr>
        <w:t xml:space="preserve"> constituted the bottom container. Number </w:t>
      </w:r>
      <w:r>
        <w:rPr>
          <w:b/>
          <w:bCs/>
          <w:sz w:val="24"/>
          <w:szCs w:val="24"/>
        </w:rPr>
        <w:t>5</w:t>
      </w:r>
      <w:r>
        <w:rPr>
          <w:sz w:val="24"/>
          <w:szCs w:val="24"/>
        </w:rPr>
        <w:t xml:space="preserve"> and </w:t>
      </w:r>
      <w:r>
        <w:rPr>
          <w:b/>
          <w:bCs/>
          <w:sz w:val="24"/>
          <w:szCs w:val="24"/>
        </w:rPr>
        <w:t>6</w:t>
      </w:r>
      <w:r>
        <w:rPr>
          <w:sz w:val="24"/>
          <w:szCs w:val="24"/>
        </w:rPr>
        <w:t xml:space="preserve"> represent the left channel and the right channel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respectively.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480" w:lineRule="auto"/>
        <w:jc w:val="both"/>
        <w:textAlignment w:val="auto"/>
        <w:rPr>
          <w:sz w:val="24"/>
          <w:szCs w:val="24"/>
        </w:rPr>
        <w:sectPr>
          <w:pgSz w:w="11910" w:h="16840"/>
          <w:pgMar w:top="1580" w:right="1100" w:bottom="280" w:left="1520" w:header="720" w:footer="720" w:gutter="0"/>
          <w:cols w:space="720" w:num="1"/>
        </w:sect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jc w:val="center"/>
        <w:textAlignment w:val="auto"/>
        <w:rPr>
          <w:sz w:val="24"/>
          <w:szCs w:val="24"/>
        </w:rPr>
      </w:pPr>
      <w:r>
        <w:drawing>
          <wp:inline distT="0" distB="0" distL="114300" distR="114300">
            <wp:extent cx="4701540" cy="5090160"/>
            <wp:effectExtent l="0" t="0" r="7620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0" w:line="480" w:lineRule="auto"/>
        <w:ind w:left="280" w:right="612" w:firstLine="0"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Supplementary Figure 3. Primer screening for basic </w:t>
      </w:r>
      <w:r>
        <w:rPr>
          <w:b/>
          <w:spacing w:val="-5"/>
          <w:sz w:val="24"/>
          <w:szCs w:val="24"/>
        </w:rPr>
        <w:t>RPA</w:t>
      </w:r>
      <w:r>
        <w:rPr>
          <w:spacing w:val="-5"/>
          <w:sz w:val="24"/>
          <w:szCs w:val="24"/>
        </w:rPr>
        <w:t xml:space="preserve">. </w:t>
      </w:r>
      <w:r>
        <w:rPr>
          <w:color w:val="0D0F1A"/>
          <w:sz w:val="24"/>
          <w:szCs w:val="24"/>
        </w:rPr>
        <w:t>Several sets of forward and reverse primer screens were conducted according to the manufacturer’s instructions to obtain best amplification efficacy of f</w:t>
      </w:r>
      <w:r>
        <w:rPr>
          <w:rFonts w:hint="eastAsia" w:eastAsia="宋体"/>
          <w:color w:val="0D0F1A"/>
          <w:sz w:val="24"/>
          <w:szCs w:val="24"/>
          <w:lang w:val="en-US" w:eastAsia="zh-CN"/>
        </w:rPr>
        <w:t>our</w:t>
      </w:r>
      <w:r>
        <w:rPr>
          <w:color w:val="0D0F1A"/>
          <w:sz w:val="24"/>
          <w:szCs w:val="24"/>
        </w:rPr>
        <w:t xml:space="preserve"> bacteria. (</w:t>
      </w:r>
      <w:r>
        <w:rPr>
          <w:b/>
          <w:color w:val="0D0F1A"/>
          <w:sz w:val="24"/>
          <w:szCs w:val="24"/>
        </w:rPr>
        <w:t xml:space="preserve">A: </w:t>
      </w:r>
      <w:r>
        <w:rPr>
          <w:i/>
          <w:color w:val="0D0F1A"/>
          <w:sz w:val="24"/>
          <w:szCs w:val="24"/>
        </w:rPr>
        <w:t>S. aureus</w:t>
      </w:r>
      <w:r>
        <w:rPr>
          <w:color w:val="0D0F1A"/>
          <w:sz w:val="24"/>
          <w:szCs w:val="24"/>
        </w:rPr>
        <w:t>;</w:t>
      </w:r>
      <w:r>
        <w:rPr>
          <w:color w:val="0D0F1A"/>
          <w:spacing w:val="-9"/>
          <w:sz w:val="24"/>
          <w:szCs w:val="24"/>
        </w:rPr>
        <w:t xml:space="preserve"> </w:t>
      </w:r>
      <w:r>
        <w:rPr>
          <w:b/>
          <w:color w:val="0D0F1A"/>
          <w:sz w:val="24"/>
          <w:szCs w:val="24"/>
        </w:rPr>
        <w:t>B:</w:t>
      </w:r>
      <w:r>
        <w:rPr>
          <w:rFonts w:hint="eastAsia" w:eastAsia="宋体"/>
          <w:b/>
          <w:color w:val="0D0F1A"/>
          <w:sz w:val="24"/>
          <w:szCs w:val="24"/>
          <w:lang w:val="en-US" w:eastAsia="zh-CN"/>
        </w:rPr>
        <w:t xml:space="preserve"> </w:t>
      </w:r>
      <w:r>
        <w:rPr>
          <w:i/>
          <w:color w:val="0D0F1A"/>
          <w:sz w:val="24"/>
          <w:szCs w:val="24"/>
        </w:rPr>
        <w:t>K. peneumoniae</w:t>
      </w:r>
      <w:r>
        <w:rPr>
          <w:color w:val="0D0F1A"/>
          <w:sz w:val="24"/>
          <w:szCs w:val="24"/>
        </w:rPr>
        <w:t xml:space="preserve">; </w:t>
      </w:r>
      <w:r>
        <w:rPr>
          <w:b/>
          <w:color w:val="0D0F1A"/>
          <w:sz w:val="24"/>
          <w:szCs w:val="24"/>
        </w:rPr>
        <w:t xml:space="preserve">C: </w:t>
      </w:r>
      <w:r>
        <w:rPr>
          <w:i/>
          <w:color w:val="0D0F1A"/>
          <w:spacing w:val="-16"/>
          <w:sz w:val="24"/>
          <w:szCs w:val="24"/>
        </w:rPr>
        <w:t xml:space="preserve">P. </w:t>
      </w:r>
      <w:r>
        <w:rPr>
          <w:i/>
          <w:color w:val="0D0F1A"/>
          <w:sz w:val="24"/>
          <w:szCs w:val="24"/>
        </w:rPr>
        <w:t>aeruginosa</w:t>
      </w:r>
      <w:r>
        <w:rPr>
          <w:color w:val="0D0F1A"/>
          <w:sz w:val="24"/>
          <w:szCs w:val="24"/>
        </w:rPr>
        <w:t xml:space="preserve">; </w:t>
      </w:r>
      <w:r>
        <w:rPr>
          <w:b/>
          <w:color w:val="0D0F1A"/>
          <w:sz w:val="24"/>
          <w:szCs w:val="24"/>
        </w:rPr>
        <w:t xml:space="preserve">D: </w:t>
      </w:r>
      <w:r>
        <w:rPr>
          <w:i/>
          <w:color w:val="0D0F1A"/>
          <w:sz w:val="24"/>
          <w:szCs w:val="24"/>
        </w:rPr>
        <w:t>H. influenzae</w:t>
      </w:r>
      <w:r>
        <w:rPr>
          <w:color w:val="0D0F1A"/>
          <w:sz w:val="24"/>
          <w:szCs w:val="24"/>
        </w:rPr>
        <w:t>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480" w:lineRule="auto"/>
        <w:jc w:val="left"/>
        <w:textAlignment w:val="auto"/>
        <w:rPr>
          <w:sz w:val="24"/>
          <w:szCs w:val="24"/>
        </w:rPr>
        <w:sectPr>
          <w:pgSz w:w="11910" w:h="16840"/>
          <w:pgMar w:top="1560" w:right="1100" w:bottom="280" w:left="1520" w:header="720" w:footer="720" w:gutter="0"/>
          <w:cols w:space="720" w:num="1"/>
        </w:sect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480" w:lineRule="auto"/>
        <w:textAlignment w:val="auto"/>
        <w:rPr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jc w:val="center"/>
        <w:textAlignment w:val="auto"/>
        <w:rPr>
          <w:sz w:val="24"/>
          <w:szCs w:val="24"/>
        </w:rPr>
      </w:pPr>
      <w:r>
        <w:drawing>
          <wp:inline distT="0" distB="0" distL="114300" distR="114300">
            <wp:extent cx="4745990" cy="3335655"/>
            <wp:effectExtent l="0" t="0" r="8890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5990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0" w:line="480" w:lineRule="auto"/>
        <w:textAlignment w:val="auto"/>
        <w:rPr>
          <w:b w:val="0"/>
          <w:bCs w:val="0"/>
          <w:sz w:val="24"/>
          <w:szCs w:val="24"/>
        </w:rPr>
        <w:sectPr>
          <w:pgSz w:w="11910" w:h="16840"/>
          <w:pgMar w:top="1580" w:right="1100" w:bottom="280" w:left="1520" w:header="720" w:footer="720" w:gutter="0"/>
          <w:cols w:space="720" w:num="1"/>
        </w:sectPr>
      </w:pPr>
      <w:r>
        <w:rPr>
          <w:sz w:val="24"/>
          <w:szCs w:val="24"/>
        </w:rPr>
        <w:t>Supplementary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Figure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4.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Sensitivity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real-time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PCR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assays.</w:t>
      </w:r>
      <w:r>
        <w:rPr>
          <w:spacing w:val="12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A,</w:t>
      </w:r>
      <w:r>
        <w:rPr>
          <w:b w:val="0"/>
          <w:bCs w:val="0"/>
          <w:spacing w:val="14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B,</w:t>
      </w:r>
      <w:r>
        <w:rPr>
          <w:b w:val="0"/>
          <w:bCs w:val="0"/>
          <w:spacing w:val="12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C,</w:t>
      </w:r>
      <w:r>
        <w:rPr>
          <w:b w:val="0"/>
          <w:bCs w:val="0"/>
          <w:spacing w:val="11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D</w:t>
      </w:r>
      <w:r>
        <w:rPr>
          <w:b w:val="0"/>
          <w:bCs w:val="0"/>
          <w:spacing w:val="14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and</w:t>
      </w:r>
      <w:r>
        <w:rPr>
          <w:rFonts w:hint="eastAsia" w:eastAsia="宋体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b w:val="0"/>
          <w:bCs w:val="0"/>
          <w:sz w:val="24"/>
          <w:szCs w:val="24"/>
        </w:rPr>
        <w:t>E</w:t>
      </w:r>
      <w:r>
        <w:rPr>
          <w:b w:val="0"/>
          <w:bCs w:val="0"/>
          <w:spacing w:val="9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represent</w:t>
      </w:r>
      <w:r>
        <w:rPr>
          <w:b w:val="0"/>
          <w:bCs w:val="0"/>
          <w:spacing w:val="1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the</w:t>
      </w:r>
      <w:r>
        <w:rPr>
          <w:b w:val="0"/>
          <w:bCs w:val="0"/>
          <w:spacing w:val="9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results</w:t>
      </w:r>
      <w:r>
        <w:rPr>
          <w:b w:val="0"/>
          <w:bCs w:val="0"/>
          <w:spacing w:val="8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of</w:t>
      </w:r>
      <w:r>
        <w:rPr>
          <w:b w:val="0"/>
          <w:bCs w:val="0"/>
          <w:spacing w:val="13"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S.</w:t>
      </w:r>
      <w:r>
        <w:rPr>
          <w:b w:val="0"/>
          <w:bCs w:val="0"/>
          <w:i/>
          <w:spacing w:val="9"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aureus</w:t>
      </w:r>
      <w:r>
        <w:rPr>
          <w:b w:val="0"/>
          <w:bCs w:val="0"/>
          <w:sz w:val="24"/>
          <w:szCs w:val="24"/>
        </w:rPr>
        <w:t>,</w:t>
      </w:r>
      <w:r>
        <w:rPr>
          <w:b w:val="0"/>
          <w:bCs w:val="0"/>
          <w:spacing w:val="9"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K.</w:t>
      </w:r>
      <w:r>
        <w:rPr>
          <w:b w:val="0"/>
          <w:bCs w:val="0"/>
          <w:i/>
          <w:spacing w:val="9"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peneumoniae</w:t>
      </w:r>
      <w:r>
        <w:rPr>
          <w:b w:val="0"/>
          <w:bCs w:val="0"/>
          <w:sz w:val="24"/>
          <w:szCs w:val="24"/>
        </w:rPr>
        <w:t>,</w:t>
      </w:r>
      <w:r>
        <w:rPr>
          <w:b w:val="0"/>
          <w:bCs w:val="0"/>
          <w:spacing w:val="10"/>
          <w:sz w:val="24"/>
          <w:szCs w:val="24"/>
        </w:rPr>
        <w:t xml:space="preserve"> </w:t>
      </w:r>
      <w:r>
        <w:rPr>
          <w:b w:val="0"/>
          <w:bCs w:val="0"/>
          <w:i/>
          <w:spacing w:val="-16"/>
          <w:sz w:val="24"/>
          <w:szCs w:val="24"/>
        </w:rPr>
        <w:t>P.</w:t>
      </w:r>
      <w:r>
        <w:rPr>
          <w:b w:val="0"/>
          <w:bCs w:val="0"/>
          <w:i/>
          <w:spacing w:val="9"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aeruginosa</w:t>
      </w:r>
      <w:r>
        <w:rPr>
          <w:b w:val="0"/>
          <w:bCs w:val="0"/>
          <w:sz w:val="24"/>
          <w:szCs w:val="24"/>
        </w:rPr>
        <w:t>,</w:t>
      </w:r>
      <w:r>
        <w:rPr>
          <w:b w:val="0"/>
          <w:bCs w:val="0"/>
          <w:spacing w:val="1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and</w:t>
      </w:r>
      <w:r>
        <w:rPr>
          <w:rFonts w:hint="eastAsia" w:eastAsia="宋体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b w:val="0"/>
          <w:bCs w:val="0"/>
          <w:i/>
          <w:sz w:val="24"/>
          <w:szCs w:val="24"/>
        </w:rPr>
        <w:t>H.</w:t>
      </w:r>
      <w:r>
        <w:rPr>
          <w:b w:val="0"/>
          <w:bCs w:val="0"/>
          <w:i/>
          <w:spacing w:val="10"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influenza</w:t>
      </w:r>
      <w:r>
        <w:rPr>
          <w:b w:val="0"/>
          <w:bCs w:val="0"/>
          <w:i/>
          <w:spacing w:val="9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real-time PCR sensitivity assays, respectively. The sensitivity of the real-time PCR assays based on the quantity of genomic DNA of above f</w:t>
      </w:r>
      <w:r>
        <w:rPr>
          <w:rFonts w:hint="eastAsia" w:eastAsia="宋体"/>
          <w:b w:val="0"/>
          <w:bCs w:val="0"/>
          <w:sz w:val="24"/>
          <w:szCs w:val="24"/>
          <w:lang w:val="en-US" w:eastAsia="zh-CN"/>
        </w:rPr>
        <w:t>our</w:t>
      </w:r>
      <w:r>
        <w:rPr>
          <w:b w:val="0"/>
          <w:bCs w:val="0"/>
          <w:sz w:val="24"/>
          <w:szCs w:val="24"/>
        </w:rPr>
        <w:t xml:space="preserve"> bacteria was tested by real-time PCR at 95°C for 2 min, followed by 40 cycles of 95°C for 15 seconds and 60°C for 1 min. NC: negative control.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480" w:lineRule="auto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0" w:line="480" w:lineRule="auto"/>
        <w:ind w:left="1165" w:right="1581"/>
        <w:jc w:val="center"/>
        <w:textAlignment w:val="auto"/>
        <w:rPr>
          <w:b/>
          <w:sz w:val="24"/>
          <w:szCs w:val="24"/>
        </w:rPr>
      </w:pPr>
      <w:r>
        <w:rPr>
          <w:sz w:val="24"/>
          <w:szCs w:val="24"/>
        </w:rPr>
        <w:t>Supplementary Table 1 Samples for specificity assays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480" w:lineRule="auto"/>
        <w:textAlignment w:val="auto"/>
        <w:rPr>
          <w:b/>
          <w:sz w:val="24"/>
          <w:szCs w:val="24"/>
        </w:rPr>
      </w:pPr>
    </w:p>
    <w:tbl>
      <w:tblPr>
        <w:tblStyle w:val="4"/>
        <w:tblW w:w="0" w:type="auto"/>
        <w:tblInd w:w="7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6"/>
        <w:gridCol w:w="44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2976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line="480" w:lineRule="auto"/>
              <w:ind w:left="326" w:right="989"/>
              <w:jc w:val="both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Target bacteria</w:t>
            </w:r>
          </w:p>
        </w:tc>
        <w:tc>
          <w:tcPr>
            <w:tcW w:w="4457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line="480" w:lineRule="auto"/>
              <w:ind w:left="1200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Non-target bacteria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976" w:type="dxa"/>
            <w:tcBorders>
              <w:top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0" w:leftChars="0" w:right="0" w:right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480" w:lineRule="auto"/>
              <w:ind w:left="866" w:leftChars="0" w:right="0" w:rightChars="0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Staphylococcus haemolyticus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0" w:leftChars="0" w:right="0" w:right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145" w:leftChars="0" w:right="0" w:rightChars="0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Staphylococcus cohnii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0" w:leftChars="0" w:right="0" w:right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077" w:leftChars="0" w:right="0" w:rightChars="0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Staphylococcus hominis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638" w:leftChars="0" w:right="0" w:rightChars="0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Staphylococcus aureus</w:t>
            </w:r>
          </w:p>
        </w:tc>
        <w:tc>
          <w:tcPr>
            <w:tcW w:w="4457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116" w:leftChars="0" w:right="0" w:rightChars="0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Staphylococcus caprea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976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0" w:leftChars="0" w:right="0" w:right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161" w:leftChars="0" w:right="0" w:rightChars="0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Staphylococcus epidermidis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0" w:leftChars="0" w:right="0" w:right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161" w:leftChars="0" w:right="0" w:rightChars="0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Enterococcus faecalis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976" w:type="dxa"/>
            <w:tcBorders>
              <w:bottom w:val="single" w:color="000000" w:sz="4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0" w:leftChars="0" w:right="0" w:right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color="000000" w:sz="4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156" w:leftChars="0" w:right="0" w:rightChars="0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Enterococcus faecium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976" w:type="dxa"/>
            <w:tcBorders>
              <w:top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480" w:lineRule="auto"/>
              <w:ind w:left="1301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Klebsiella oxytoca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389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Escherichia coli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026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Acinetobacter baumannii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359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Klebsiella peneumoniae</w:t>
            </w: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010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Pseudomonas aeruginosa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344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Proteus mirabilis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178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Enterobacter cloacae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976" w:type="dxa"/>
            <w:tcBorders>
              <w:bottom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077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Enterobacter aerogenes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976" w:type="dxa"/>
            <w:tcBorders>
              <w:top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480" w:lineRule="auto"/>
              <w:ind w:left="1344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Proteus mirabilis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250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Burkholder cepacia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205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Pseudomonas putida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448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Pseudomonas aeruginosa</w:t>
            </w: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178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Enterobacter cloacae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123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Klebsiella pneumoniae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389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Escherichia coli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976" w:type="dxa"/>
            <w:tcBorders>
              <w:bottom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026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Acinetobacter baumannii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976" w:type="dxa"/>
            <w:tcBorders>
              <w:top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480" w:lineRule="auto"/>
              <w:ind w:left="1051"/>
              <w:textAlignment w:val="auto"/>
              <w:rPr>
                <w:i/>
                <w:sz w:val="24"/>
                <w:szCs w:val="24"/>
              </w:rPr>
            </w:pPr>
            <w:r>
              <w:rPr>
                <w:rFonts w:hint="eastAsia"/>
                <w:i/>
                <w:sz w:val="24"/>
                <w:szCs w:val="24"/>
              </w:rPr>
              <w:t>Haemophilus</w:t>
            </w:r>
            <w:r>
              <w:rPr>
                <w:rFonts w:hint="eastAsia" w:eastAsia="宋体"/>
                <w:i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i/>
                <w:sz w:val="24"/>
                <w:szCs w:val="24"/>
              </w:rPr>
              <w:t>parahaemolyticus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882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Haemophilus parainfluenzae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389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Escherichia coli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477"/>
              <w:textAlignment w:val="auto"/>
              <w:rPr>
                <w:i/>
                <w:sz w:val="24"/>
                <w:szCs w:val="24"/>
              </w:rPr>
            </w:pPr>
            <w:r>
              <w:rPr>
                <w:rFonts w:hint="eastAsia"/>
                <w:i/>
                <w:sz w:val="24"/>
                <w:szCs w:val="24"/>
              </w:rPr>
              <w:t>Haemophilus</w:t>
            </w:r>
            <w:r>
              <w:rPr>
                <w:i/>
                <w:sz w:val="24"/>
                <w:szCs w:val="24"/>
              </w:rPr>
              <w:t xml:space="preserve"> influenzae</w:t>
            </w: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026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Acinetobacter baumannii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123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Klebsiella pneumoniae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76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5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1010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Pseudomonas aeruginosa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976" w:type="dxa"/>
            <w:tcBorders>
              <w:bottom w:val="single" w:color="000000" w:sz="12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4457" w:type="dxa"/>
            <w:tcBorders>
              <w:bottom w:val="single" w:color="000000" w:sz="12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6" w:line="480" w:lineRule="auto"/>
              <w:ind w:left="803"/>
              <w:textAlignment w:val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Stenotrophomonas maltophilia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480" w:lineRule="auto"/>
        <w:textAlignment w:val="auto"/>
        <w:rPr>
          <w:sz w:val="24"/>
          <w:szCs w:val="24"/>
        </w:rPr>
        <w:sectPr>
          <w:pgSz w:w="11910" w:h="16840"/>
          <w:pgMar w:top="1580" w:right="1100" w:bottom="280" w:left="1520" w:header="720" w:footer="720" w:gutter="0"/>
          <w:cols w:space="720" w:num="1"/>
        </w:sect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480" w:lineRule="auto"/>
        <w:textAlignment w:val="auto"/>
        <w:rPr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0" w:line="480" w:lineRule="auto"/>
        <w:ind w:left="1165" w:right="1585" w:firstLine="0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Supplementary Table 2 Primers and probes of Real-Time PCR.</w:t>
      </w:r>
    </w:p>
    <w:tbl>
      <w:tblPr>
        <w:tblStyle w:val="4"/>
        <w:tblW w:w="10200" w:type="dxa"/>
        <w:tblInd w:w="-1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864"/>
        <w:gridCol w:w="5940"/>
        <w:gridCol w:w="17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20" w:type="dxa"/>
            <w:tcBorders>
              <w:top w:val="single" w:color="000000" w:sz="12" w:space="0"/>
              <w:bottom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line="480" w:lineRule="auto"/>
              <w:jc w:val="center"/>
              <w:textAlignment w:val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Target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/>
                <w:sz w:val="21"/>
                <w:szCs w:val="21"/>
              </w:rPr>
              <w:t>bacteria</w:t>
            </w:r>
          </w:p>
        </w:tc>
        <w:tc>
          <w:tcPr>
            <w:tcW w:w="864" w:type="dxa"/>
            <w:tcBorders>
              <w:top w:val="single" w:color="000000" w:sz="12" w:space="0"/>
              <w:bottom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line="480" w:lineRule="auto"/>
              <w:jc w:val="center"/>
              <w:textAlignment w:val="auto"/>
              <w:rPr>
                <w:b/>
                <w:sz w:val="21"/>
                <w:szCs w:val="21"/>
              </w:rPr>
            </w:pPr>
            <w:r>
              <w:rPr>
                <w:b/>
                <w:spacing w:val="-3"/>
                <w:sz w:val="21"/>
                <w:szCs w:val="21"/>
              </w:rPr>
              <w:t>Target</w:t>
            </w:r>
            <w:r>
              <w:rPr>
                <w:rFonts w:hint="eastAsia" w:eastAsia="宋体"/>
                <w:b/>
                <w:spacing w:val="-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/>
                <w:sz w:val="21"/>
                <w:szCs w:val="21"/>
              </w:rPr>
              <w:t>region</w:t>
            </w:r>
          </w:p>
        </w:tc>
        <w:tc>
          <w:tcPr>
            <w:tcW w:w="5940" w:type="dxa"/>
            <w:tcBorders>
              <w:top w:val="single" w:color="000000" w:sz="12" w:space="0"/>
              <w:bottom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line="480" w:lineRule="auto"/>
              <w:jc w:val="center"/>
              <w:textAlignment w:val="auto"/>
              <w:rPr>
                <w:b/>
                <w:spacing w:val="-3"/>
                <w:sz w:val="21"/>
                <w:szCs w:val="21"/>
              </w:rPr>
            </w:pPr>
            <w:r>
              <w:rPr>
                <w:b/>
                <w:spacing w:val="-3"/>
                <w:sz w:val="21"/>
                <w:szCs w:val="21"/>
              </w:rPr>
              <w:t>Oligonucleotide</w:t>
            </w:r>
          </w:p>
        </w:tc>
        <w:tc>
          <w:tcPr>
            <w:tcW w:w="1776" w:type="dxa"/>
            <w:tcBorders>
              <w:top w:val="single" w:color="000000" w:sz="12" w:space="0"/>
              <w:bottom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line="480" w:lineRule="auto"/>
              <w:jc w:val="center"/>
              <w:textAlignment w:val="auto"/>
              <w:rPr>
                <w:b/>
                <w:spacing w:val="-3"/>
                <w:sz w:val="21"/>
                <w:szCs w:val="21"/>
              </w:rPr>
            </w:pPr>
            <w:r>
              <w:rPr>
                <w:b/>
                <w:spacing w:val="-3"/>
                <w:sz w:val="21"/>
                <w:szCs w:val="21"/>
              </w:rPr>
              <w:t>Origin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1620" w:type="dxa"/>
            <w:tcBorders>
              <w:top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line="480" w:lineRule="auto"/>
              <w:ind w:left="115" w:leftChars="0" w:right="0" w:rightChars="0"/>
              <w:jc w:val="left"/>
              <w:textAlignment w:val="auto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S. aureus</w:t>
            </w:r>
          </w:p>
        </w:tc>
        <w:tc>
          <w:tcPr>
            <w:tcW w:w="864" w:type="dxa"/>
            <w:tcBorders>
              <w:top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line="480" w:lineRule="auto"/>
              <w:ind w:left="112" w:leftChars="0" w:right="0" w:rightChars="0"/>
              <w:jc w:val="center"/>
              <w:textAlignment w:val="auto"/>
              <w:rPr>
                <w:rFonts w:ascii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Nuc</w:t>
            </w:r>
          </w:p>
        </w:tc>
        <w:tc>
          <w:tcPr>
            <w:tcW w:w="5940" w:type="dxa"/>
            <w:tcBorders>
              <w:top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1" w:line="480" w:lineRule="auto"/>
              <w:ind w:left="117"/>
              <w:jc w:val="both"/>
              <w:textAlignment w:val="auto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Forward:AGCATCCTAAAAAAGGTGTAGAGA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17"/>
              <w:jc w:val="both"/>
              <w:textAlignment w:val="auto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Reverse:CTTCAATTTTMTTTGCATTTTCTACCA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17" w:leftChars="0" w:right="0" w:rightChars="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Probe:TEX-TTTTCGTAAATGCACTTGCTTCAGGACCA-BHQ1</w:t>
            </w:r>
          </w:p>
        </w:tc>
        <w:tc>
          <w:tcPr>
            <w:tcW w:w="1776" w:type="dxa"/>
            <w:tcBorders>
              <w:top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1" w:line="480" w:lineRule="auto"/>
              <w:ind w:left="139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</w:trPr>
        <w:tc>
          <w:tcPr>
            <w:tcW w:w="1620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80" w:lineRule="auto"/>
              <w:jc w:val="left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15" w:leftChars="0" w:right="0" w:rightChars="0"/>
              <w:jc w:val="left"/>
              <w:textAlignment w:val="auto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K. peneumoniae</w:t>
            </w:r>
          </w:p>
        </w:tc>
        <w:tc>
          <w:tcPr>
            <w:tcW w:w="864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80" w:lineRule="auto"/>
              <w:jc w:val="center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12" w:leftChars="0" w:right="0" w:rightChars="0"/>
              <w:jc w:val="center"/>
              <w:textAlignment w:val="auto"/>
              <w:rPr>
                <w:rFonts w:ascii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CelB</w:t>
            </w:r>
          </w:p>
        </w:tc>
        <w:tc>
          <w:tcPr>
            <w:tcW w:w="5940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 w:line="480" w:lineRule="auto"/>
              <w:ind w:left="117"/>
              <w:jc w:val="both"/>
              <w:textAlignment w:val="auto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Forward:TTGCCGCCAGCTATCTTCAC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17"/>
              <w:jc w:val="both"/>
              <w:textAlignment w:val="auto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Reverse:GGCAATACGCCAATGACCGT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17" w:leftChars="0" w:right="0" w:rightChars="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Probe:FAM-AACCGATGGCTTATGGCGTGCCGCT-BHQ1</w:t>
            </w:r>
          </w:p>
        </w:tc>
        <w:tc>
          <w:tcPr>
            <w:tcW w:w="1776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line="480" w:lineRule="auto"/>
              <w:ind w:left="139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This publishment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1620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480" w:lineRule="auto"/>
              <w:jc w:val="left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15"/>
              <w:jc w:val="left"/>
              <w:textAlignment w:val="auto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P. aeruginosa</w:t>
            </w:r>
          </w:p>
        </w:tc>
        <w:tc>
          <w:tcPr>
            <w:tcW w:w="864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480" w:lineRule="auto"/>
              <w:jc w:val="center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12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Eta</w:t>
            </w:r>
          </w:p>
        </w:tc>
        <w:tc>
          <w:tcPr>
            <w:tcW w:w="5940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6" w:line="480" w:lineRule="auto"/>
              <w:ind w:left="117" w:right="1582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Forward:ACAACGCCCTCAGCATCAC Reverse:AGTTCAGCGACCAACTGCC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80" w:lineRule="auto"/>
              <w:ind w:left="117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Probe:FAM-TCGAAGGTGGCGTCGAGCCGAACAA-BHQ1</w:t>
            </w:r>
          </w:p>
        </w:tc>
        <w:tc>
          <w:tcPr>
            <w:tcW w:w="1776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6" w:line="480" w:lineRule="auto"/>
              <w:ind w:left="139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This publishment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1620" w:type="dxa"/>
            <w:tcBorders>
              <w:bottom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1" w:line="480" w:lineRule="auto"/>
              <w:ind w:left="115" w:leftChars="0" w:right="0" w:rightChars="0"/>
              <w:jc w:val="left"/>
              <w:textAlignment w:val="auto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H. influenzae</w:t>
            </w:r>
          </w:p>
        </w:tc>
        <w:tc>
          <w:tcPr>
            <w:tcW w:w="864" w:type="dxa"/>
            <w:tcBorders>
              <w:bottom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1" w:line="480" w:lineRule="auto"/>
              <w:ind w:left="112" w:leftChars="0" w:right="0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Fuck</w:t>
            </w:r>
          </w:p>
        </w:tc>
        <w:tc>
          <w:tcPr>
            <w:tcW w:w="5940" w:type="dxa"/>
            <w:tcBorders>
              <w:bottom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3" w:line="480" w:lineRule="auto"/>
              <w:ind w:left="117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Forward:ATGGCGGGAACATCAATGA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17" w:leftChars="0" w:right="1582" w:rightChars="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Reverse:</w:t>
            </w:r>
            <w:r>
              <w:rPr>
                <w:spacing w:val="-4"/>
                <w:sz w:val="21"/>
                <w:szCs w:val="21"/>
              </w:rPr>
              <w:t xml:space="preserve">ACGCATAGGAGGGAAATGGTT </w:t>
            </w:r>
            <w:r>
              <w:rPr>
                <w:sz w:val="21"/>
                <w:szCs w:val="21"/>
              </w:rPr>
              <w:t>Probe:</w:t>
            </w:r>
            <w:r>
              <w:rPr>
                <w:spacing w:val="-4"/>
                <w:sz w:val="21"/>
                <w:szCs w:val="21"/>
              </w:rPr>
              <w:t>FAM-CGGTAATTGGGATCCAT-MGB</w:t>
            </w:r>
          </w:p>
        </w:tc>
        <w:tc>
          <w:tcPr>
            <w:tcW w:w="1776" w:type="dxa"/>
            <w:tcBorders>
              <w:bottom w:val="single" w:color="000000" w:sz="12" w:space="0"/>
            </w:tcBorders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1" w:line="480" w:lineRule="auto"/>
              <w:ind w:left="139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(1)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480" w:lineRule="auto"/>
        <w:textAlignment w:val="auto"/>
        <w:rPr>
          <w:sz w:val="24"/>
          <w:szCs w:val="24"/>
        </w:rPr>
        <w:sectPr>
          <w:pgSz w:w="11910" w:h="16840"/>
          <w:pgMar w:top="1580" w:right="1100" w:bottom="280" w:left="1520" w:header="720" w:footer="720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6" w:line="480" w:lineRule="auto"/>
        <w:ind w:left="280" w:right="0" w:firstLine="0"/>
        <w:jc w:val="left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Reference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640" w:right="643" w:hanging="360"/>
        <w:jc w:val="both"/>
        <w:textAlignment w:val="auto"/>
        <w:rPr>
          <w:sz w:val="24"/>
          <w:szCs w:val="24"/>
        </w:rPr>
      </w:pPr>
      <w:r>
        <w:rPr>
          <w:color w:val="202020"/>
          <w:sz w:val="24"/>
          <w:szCs w:val="24"/>
        </w:rPr>
        <w:t>1. Gadsby NJ, McHugh MP, Russell CD, Mark H, Conway Morris A, Laurenson IF</w:t>
      </w:r>
      <w:r>
        <w:rPr>
          <w:sz w:val="24"/>
          <w:szCs w:val="24"/>
        </w:rPr>
        <w:t xml:space="preserve">, et al. </w:t>
      </w:r>
      <w:r>
        <w:rPr>
          <w:color w:val="202020"/>
          <w:sz w:val="24"/>
          <w:szCs w:val="24"/>
        </w:rPr>
        <w:t>Development of two real-time multiplex PCR assays for the detection and quantification of eight key bacterial pathogens in lower respiratory tract infections. Clin Microbiol Infect 2015;21(8):788.e1-788.e13. doi: 10.1016/j.cmi.2015.05.004.</w:t>
      </w:r>
    </w:p>
    <w:sectPr>
      <w:pgSz w:w="11910" w:h="16840"/>
      <w:pgMar w:top="1520" w:right="1100" w:bottom="280" w:left="15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1-mini-regular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MjZkMTAxNTk4NDVkZTNiMGFhNzczOWRmNmFmNzMwOTkifQ=="/>
    <w:docVar w:name="KY_MEDREF_DOCUID" w:val="{34DEAE81-4273-41B5-8811-869B91608934}"/>
    <w:docVar w:name="KY_MEDREF_VERSION" w:val="3"/>
  </w:docVars>
  <w:rsids>
    <w:rsidRoot w:val="00000000"/>
    <w:rsid w:val="12FF24F3"/>
    <w:rsid w:val="53D069E2"/>
    <w:rsid w:val="5ACB56D9"/>
    <w:rsid w:val="5D94516E"/>
    <w:rsid w:val="6E9B1F96"/>
    <w:rsid w:val="780522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ind w:left="28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en-US" w:eastAsia="en-US" w:bidi="en-US"/>
    </w:rPr>
  </w:style>
  <w:style w:type="paragraph" w:customStyle="1" w:styleId="9">
    <w:name w:val="Table Paragraph"/>
    <w:basedOn w:val="1"/>
    <w:qFormat/>
    <w:uiPriority w:val="1"/>
    <w:rPr>
      <w:rFonts w:ascii="Times New Roman" w:hAnsi="Times New Roman" w:eastAsia="Times New Roman" w:cs="Times New Roman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504</Words>
  <Characters>3552</Characters>
  <TotalTime>0</TotalTime>
  <ScaleCrop>false</ScaleCrop>
  <LinksUpToDate>false</LinksUpToDate>
  <CharactersWithSpaces>3983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2022-08-24T07:33:00Z</dcterms:created>
  <dc:creator>Lenovo</dc:creator>
  <cp:lastModifiedBy>Viterminh</cp:lastModifiedBy>
  <dcterms:modified xsi:type="dcterms:W3CDTF">2022-11-17T16:15:31Z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2022-08-24T00:00:00Z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DBF05E5899814CF0BD6F0DD4FB302BA4</vt:lpwstr>
  </property>
</Properties>
</file>