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E74BF" w14:textId="3D2FC7C3" w:rsidR="00E4329B" w:rsidRPr="00E4329B" w:rsidRDefault="00E4329B" w:rsidP="00E4329B">
      <w:pPr>
        <w:jc w:val="center"/>
        <w:rPr>
          <w:rFonts w:ascii="Arial" w:hAnsi="Arial" w:cs="Arial"/>
        </w:rPr>
      </w:pPr>
      <w:r w:rsidRPr="00E4329B">
        <w:rPr>
          <w:rFonts w:ascii="Arial" w:hAnsi="Arial" w:cs="Arial"/>
        </w:rPr>
        <w:t>Supplementary Materials For</w:t>
      </w:r>
    </w:p>
    <w:p w14:paraId="6955AF29" w14:textId="172D9436" w:rsidR="00E4329B" w:rsidRPr="00E4329B" w:rsidRDefault="00E4329B" w:rsidP="00E4329B">
      <w:pPr>
        <w:jc w:val="center"/>
        <w:rPr>
          <w:rFonts w:ascii="Arial" w:hAnsi="Arial" w:cs="Arial"/>
        </w:rPr>
      </w:pPr>
    </w:p>
    <w:p w14:paraId="4A9B86B3" w14:textId="77777777" w:rsidR="00E4329B" w:rsidRPr="00E4329B" w:rsidRDefault="00E4329B" w:rsidP="00E4329B">
      <w:pPr>
        <w:jc w:val="center"/>
        <w:rPr>
          <w:rFonts w:ascii="Arial" w:hAnsi="Arial" w:cs="Arial"/>
        </w:rPr>
      </w:pPr>
    </w:p>
    <w:p w14:paraId="35F36986" w14:textId="77777777" w:rsidR="00FB1A7C" w:rsidRPr="002E75AF" w:rsidRDefault="00FB1A7C" w:rsidP="00FB1A7C">
      <w:pPr>
        <w:jc w:val="center"/>
        <w:rPr>
          <w:rFonts w:ascii="Arial" w:hAnsi="Arial" w:cs="Arial"/>
          <w:b/>
          <w:bCs/>
          <w:sz w:val="28"/>
          <w:szCs w:val="28"/>
        </w:rPr>
      </w:pPr>
      <w:r>
        <w:rPr>
          <w:rFonts w:ascii="Arial" w:hAnsi="Arial" w:cs="Arial"/>
          <w:b/>
          <w:bCs/>
          <w:sz w:val="28"/>
          <w:szCs w:val="28"/>
        </w:rPr>
        <w:t>Dynamic Backtracking Regulates Lesion Bypass by RNAPII</w:t>
      </w:r>
    </w:p>
    <w:p w14:paraId="56240582" w14:textId="77777777" w:rsidR="00FB1A7C" w:rsidRDefault="00FB1A7C" w:rsidP="00FB1A7C">
      <w:pPr>
        <w:jc w:val="center"/>
        <w:rPr>
          <w:rFonts w:ascii="Arial" w:hAnsi="Arial" w:cs="Arial"/>
          <w:b/>
          <w:bCs/>
        </w:rPr>
      </w:pPr>
    </w:p>
    <w:p w14:paraId="3EF41F2C" w14:textId="77777777" w:rsidR="00FB1A7C" w:rsidRPr="002E75AF" w:rsidRDefault="00FB1A7C" w:rsidP="00FB1A7C">
      <w:pPr>
        <w:jc w:val="center"/>
        <w:rPr>
          <w:rFonts w:ascii="Arial" w:hAnsi="Arial" w:cs="Arial"/>
        </w:rPr>
      </w:pPr>
      <w:r w:rsidRPr="002E75AF">
        <w:rPr>
          <w:rFonts w:ascii="Arial" w:hAnsi="Arial" w:cs="Arial"/>
        </w:rPr>
        <w:t xml:space="preserve">George </w:t>
      </w:r>
      <w:r>
        <w:rPr>
          <w:rFonts w:ascii="Arial" w:hAnsi="Arial" w:cs="Arial"/>
        </w:rPr>
        <w:t xml:space="preserve">A. </w:t>
      </w:r>
      <w:r w:rsidRPr="002E75AF">
        <w:rPr>
          <w:rFonts w:ascii="Arial" w:hAnsi="Arial" w:cs="Arial"/>
        </w:rPr>
        <w:t>Moore</w:t>
      </w:r>
      <w:r>
        <w:rPr>
          <w:rFonts w:ascii="Arial" w:hAnsi="Arial" w:cs="Arial"/>
          <w:vertAlign w:val="superscript"/>
        </w:rPr>
        <w:t>1,2</w:t>
      </w:r>
      <w:r w:rsidRPr="002E75AF">
        <w:rPr>
          <w:rFonts w:ascii="Arial" w:hAnsi="Arial" w:cs="Arial"/>
        </w:rPr>
        <w:t xml:space="preserve">, </w:t>
      </w:r>
      <w:r>
        <w:rPr>
          <w:rFonts w:ascii="Arial" w:hAnsi="Arial" w:cs="Arial"/>
        </w:rPr>
        <w:t>Zhong Han</w:t>
      </w:r>
      <w:r>
        <w:rPr>
          <w:rFonts w:ascii="Arial" w:hAnsi="Arial" w:cs="Arial"/>
          <w:vertAlign w:val="superscript"/>
        </w:rPr>
        <w:t>3</w:t>
      </w:r>
      <w:r>
        <w:rPr>
          <w:rFonts w:ascii="Arial" w:hAnsi="Arial" w:cs="Arial"/>
        </w:rPr>
        <w:t>, Jun Xu</w:t>
      </w:r>
      <w:r>
        <w:rPr>
          <w:rFonts w:ascii="Arial" w:hAnsi="Arial" w:cs="Arial"/>
          <w:vertAlign w:val="superscript"/>
        </w:rPr>
        <w:t>4</w:t>
      </w:r>
      <w:r>
        <w:rPr>
          <w:rFonts w:ascii="Arial" w:hAnsi="Arial" w:cs="Arial"/>
        </w:rPr>
        <w:t xml:space="preserve">, </w:t>
      </w:r>
      <w:proofErr w:type="spellStart"/>
      <w:r>
        <w:rPr>
          <w:rFonts w:ascii="Arial" w:hAnsi="Arial" w:cs="Arial"/>
        </w:rPr>
        <w:t>Juntaek</w:t>
      </w:r>
      <w:proofErr w:type="spellEnd"/>
      <w:r>
        <w:rPr>
          <w:rFonts w:ascii="Arial" w:hAnsi="Arial" w:cs="Arial"/>
        </w:rPr>
        <w:t xml:space="preserve"> Oh</w:t>
      </w:r>
      <w:r>
        <w:rPr>
          <w:rFonts w:ascii="Arial" w:hAnsi="Arial" w:cs="Arial"/>
          <w:vertAlign w:val="superscript"/>
        </w:rPr>
        <w:t>4</w:t>
      </w:r>
      <w:r>
        <w:rPr>
          <w:rFonts w:ascii="Arial" w:hAnsi="Arial" w:cs="Arial"/>
        </w:rPr>
        <w:t>, Dong Wang</w:t>
      </w:r>
      <w:r>
        <w:rPr>
          <w:rFonts w:ascii="Arial" w:hAnsi="Arial" w:cs="Arial"/>
          <w:vertAlign w:val="superscript"/>
        </w:rPr>
        <w:t>4</w:t>
      </w:r>
      <w:r>
        <w:rPr>
          <w:rFonts w:ascii="Arial" w:hAnsi="Arial" w:cs="Arial"/>
        </w:rPr>
        <w:t>, Jesper Svejstrup</w:t>
      </w:r>
      <w:r>
        <w:rPr>
          <w:rFonts w:ascii="Arial" w:hAnsi="Arial" w:cs="Arial"/>
          <w:vertAlign w:val="superscript"/>
        </w:rPr>
        <w:t>3</w:t>
      </w:r>
      <w:r>
        <w:rPr>
          <w:rFonts w:ascii="Arial" w:hAnsi="Arial" w:cs="Arial"/>
        </w:rPr>
        <w:t>* and David S. Rueda</w:t>
      </w:r>
      <w:r>
        <w:rPr>
          <w:rFonts w:ascii="Arial" w:hAnsi="Arial" w:cs="Arial"/>
          <w:vertAlign w:val="superscript"/>
        </w:rPr>
        <w:t>1,2</w:t>
      </w:r>
      <w:r>
        <w:rPr>
          <w:rFonts w:ascii="Arial" w:hAnsi="Arial" w:cs="Arial"/>
        </w:rPr>
        <w:t>*</w:t>
      </w:r>
    </w:p>
    <w:p w14:paraId="365CB7BF" w14:textId="77777777" w:rsidR="00FB1A7C" w:rsidRDefault="00FB1A7C" w:rsidP="00FB1A7C">
      <w:pPr>
        <w:rPr>
          <w:rFonts w:ascii="Arial" w:hAnsi="Arial" w:cs="Arial"/>
        </w:rPr>
      </w:pPr>
    </w:p>
    <w:p w14:paraId="1E01EF48" w14:textId="77777777" w:rsidR="00FB1A7C" w:rsidRDefault="00FB1A7C" w:rsidP="00FB1A7C">
      <w:pPr>
        <w:rPr>
          <w:rFonts w:ascii="Arial" w:hAnsi="Arial" w:cs="Arial"/>
        </w:rPr>
      </w:pPr>
      <w:r>
        <w:rPr>
          <w:rFonts w:ascii="Arial" w:hAnsi="Arial" w:cs="Arial"/>
        </w:rPr>
        <w:t>Addresses:</w:t>
      </w:r>
    </w:p>
    <w:p w14:paraId="4B456F47" w14:textId="77777777" w:rsidR="00FB1A7C" w:rsidRPr="00AD50EC" w:rsidRDefault="00FB1A7C" w:rsidP="00FB1A7C">
      <w:pPr>
        <w:rPr>
          <w:rFonts w:ascii="Arial" w:hAnsi="Arial" w:cs="Arial"/>
        </w:rPr>
      </w:pPr>
      <w:r>
        <w:rPr>
          <w:rFonts w:ascii="Arial" w:hAnsi="Arial" w:cs="Arial"/>
          <w:vertAlign w:val="superscript"/>
        </w:rPr>
        <w:t xml:space="preserve">1 </w:t>
      </w:r>
      <w:r>
        <w:rPr>
          <w:rFonts w:ascii="Arial" w:hAnsi="Arial" w:cs="Arial"/>
        </w:rPr>
        <w:t xml:space="preserve">Section of Virology, Department of infectious Disease, Faculty of Medicine, Imperial College London, London, W12 0NN, UK </w:t>
      </w:r>
    </w:p>
    <w:p w14:paraId="41CAD3A1" w14:textId="77777777" w:rsidR="00FB1A7C" w:rsidRPr="00AD50EC" w:rsidRDefault="00FB1A7C" w:rsidP="00FB1A7C">
      <w:pPr>
        <w:rPr>
          <w:rFonts w:ascii="Arial" w:hAnsi="Arial" w:cs="Arial"/>
        </w:rPr>
      </w:pPr>
      <w:r>
        <w:rPr>
          <w:rFonts w:ascii="Arial" w:hAnsi="Arial" w:cs="Arial"/>
          <w:vertAlign w:val="superscript"/>
        </w:rPr>
        <w:t>2</w:t>
      </w:r>
      <w:r>
        <w:rPr>
          <w:rFonts w:ascii="Arial" w:hAnsi="Arial" w:cs="Arial"/>
        </w:rPr>
        <w:t xml:space="preserve"> Single Molecule Imaging group, MRC-London Institute of Medical Sciences, London, W12 0NN, UK</w:t>
      </w:r>
    </w:p>
    <w:p w14:paraId="1D25A35A" w14:textId="77777777" w:rsidR="00FB1A7C" w:rsidRPr="00AD50EC" w:rsidRDefault="00FB1A7C" w:rsidP="00FB1A7C">
      <w:pPr>
        <w:rPr>
          <w:rFonts w:ascii="Arial" w:hAnsi="Arial" w:cs="Arial"/>
        </w:rPr>
      </w:pPr>
      <w:r>
        <w:rPr>
          <w:rFonts w:ascii="Arial" w:hAnsi="Arial" w:cs="Arial"/>
          <w:vertAlign w:val="superscript"/>
        </w:rPr>
        <w:t xml:space="preserve">3 </w:t>
      </w:r>
      <w:r>
        <w:rPr>
          <w:rFonts w:ascii="Arial" w:hAnsi="Arial" w:cs="Arial"/>
        </w:rPr>
        <w:t xml:space="preserve">Department of Cellular and Molecular Medicine, University of Copenhagen, Copenhagen Denmark </w:t>
      </w:r>
    </w:p>
    <w:p w14:paraId="47F881B2" w14:textId="77777777" w:rsidR="00FB1A7C" w:rsidRPr="00AD50EC" w:rsidRDefault="00FB1A7C" w:rsidP="00FB1A7C">
      <w:pPr>
        <w:rPr>
          <w:rFonts w:ascii="Arial" w:hAnsi="Arial" w:cs="Arial"/>
        </w:rPr>
      </w:pPr>
      <w:r>
        <w:rPr>
          <w:rFonts w:ascii="Arial" w:hAnsi="Arial" w:cs="Arial"/>
          <w:vertAlign w:val="superscript"/>
        </w:rPr>
        <w:t xml:space="preserve">4 </w:t>
      </w:r>
      <w:r w:rsidRPr="00724EEA">
        <w:rPr>
          <w:rFonts w:ascii="Arial" w:hAnsi="Arial" w:cs="Arial"/>
        </w:rPr>
        <w:t xml:space="preserve">Division of Pharmaceutical Sciences, Skaggs School of Pharmacy &amp; Pharmaceutical Sciences; </w:t>
      </w:r>
      <w:r>
        <w:rPr>
          <w:rFonts w:ascii="Arial" w:hAnsi="Arial" w:cs="Arial"/>
        </w:rPr>
        <w:t xml:space="preserve">Department of Cellular and Molecular Medicine, School of Medicine, </w:t>
      </w:r>
      <w:r w:rsidRPr="00724EEA">
        <w:rPr>
          <w:rFonts w:ascii="Arial" w:hAnsi="Arial" w:cs="Arial"/>
        </w:rPr>
        <w:t xml:space="preserve">Department of Chemistry and Biochemistry, </w:t>
      </w:r>
      <w:r>
        <w:rPr>
          <w:rFonts w:ascii="Arial" w:hAnsi="Arial" w:cs="Arial"/>
        </w:rPr>
        <w:t xml:space="preserve">University of California San Diego, </w:t>
      </w:r>
      <w:r w:rsidRPr="00724EEA">
        <w:rPr>
          <w:rFonts w:ascii="Arial" w:hAnsi="Arial" w:cs="Arial"/>
        </w:rPr>
        <w:t>La Jolla, C</w:t>
      </w:r>
      <w:r>
        <w:rPr>
          <w:rFonts w:ascii="Arial" w:hAnsi="Arial" w:cs="Arial"/>
        </w:rPr>
        <w:t xml:space="preserve">A </w:t>
      </w:r>
      <w:r w:rsidRPr="00724EEA">
        <w:rPr>
          <w:rFonts w:ascii="Arial" w:hAnsi="Arial" w:cs="Arial"/>
        </w:rPr>
        <w:t xml:space="preserve">92093, </w:t>
      </w:r>
      <w:r>
        <w:rPr>
          <w:rFonts w:ascii="Arial" w:hAnsi="Arial" w:cs="Arial"/>
        </w:rPr>
        <w:t>USA</w:t>
      </w:r>
    </w:p>
    <w:p w14:paraId="239466E0" w14:textId="77777777" w:rsidR="00FB1A7C" w:rsidRDefault="00FB1A7C" w:rsidP="00FB1A7C">
      <w:pPr>
        <w:rPr>
          <w:rFonts w:ascii="Arial" w:hAnsi="Arial" w:cs="Arial"/>
        </w:rPr>
      </w:pPr>
    </w:p>
    <w:p w14:paraId="0F3B77B8" w14:textId="451AC0AF" w:rsidR="00FB1A7C" w:rsidRDefault="00FB1A7C" w:rsidP="00FB1A7C">
      <w:pPr>
        <w:rPr>
          <w:rFonts w:ascii="Arial" w:hAnsi="Arial" w:cs="Arial"/>
        </w:rPr>
      </w:pPr>
      <w:r>
        <w:rPr>
          <w:rFonts w:ascii="Arial" w:hAnsi="Arial" w:cs="Arial"/>
        </w:rPr>
        <w:t xml:space="preserve">Correspondence to: </w:t>
      </w:r>
      <w:r w:rsidRPr="00A8039B">
        <w:rPr>
          <w:rFonts w:ascii="Arial" w:hAnsi="Arial" w:cs="Arial"/>
        </w:rPr>
        <w:t>d</w:t>
      </w:r>
      <w:r>
        <w:rPr>
          <w:rFonts w:ascii="Arial" w:hAnsi="Arial" w:cs="Arial"/>
        </w:rPr>
        <w:t>avid</w:t>
      </w:r>
      <w:r w:rsidRPr="00A8039B">
        <w:rPr>
          <w:rFonts w:ascii="Arial" w:hAnsi="Arial" w:cs="Arial"/>
        </w:rPr>
        <w:t>.rueda@imperial.ac.uk</w:t>
      </w:r>
      <w:r>
        <w:rPr>
          <w:rFonts w:ascii="Arial" w:hAnsi="Arial" w:cs="Arial"/>
        </w:rPr>
        <w:t xml:space="preserve">, </w:t>
      </w:r>
      <w:r w:rsidRPr="00A8039B">
        <w:rPr>
          <w:rFonts w:ascii="Arial" w:hAnsi="Arial" w:cs="Arial"/>
        </w:rPr>
        <w:t>jsvejstrup@sund.ku.dk</w:t>
      </w:r>
      <w:r>
        <w:rPr>
          <w:rFonts w:ascii="Arial" w:hAnsi="Arial" w:cs="Arial"/>
        </w:rPr>
        <w:t xml:space="preserve"> </w:t>
      </w:r>
    </w:p>
    <w:p w14:paraId="5EFBB6F6" w14:textId="79A6F32D" w:rsidR="00FB1A7C" w:rsidRDefault="00FB1A7C" w:rsidP="00FB1A7C">
      <w:pPr>
        <w:rPr>
          <w:rFonts w:ascii="Arial" w:hAnsi="Arial" w:cs="Arial"/>
        </w:rPr>
      </w:pPr>
      <w:r>
        <w:rPr>
          <w:rFonts w:ascii="Arial" w:hAnsi="Arial" w:cs="Arial"/>
        </w:rPr>
        <w:br w:type="page"/>
      </w:r>
    </w:p>
    <w:p w14:paraId="3A8E8111" w14:textId="63378212" w:rsidR="007766C6" w:rsidRPr="003E2177" w:rsidRDefault="007766C6" w:rsidP="00E4329B">
      <w:pPr>
        <w:jc w:val="center"/>
        <w:rPr>
          <w:rFonts w:ascii="Arial" w:hAnsi="Arial" w:cs="Arial"/>
        </w:rPr>
      </w:pPr>
      <w:r w:rsidRPr="00077AFC">
        <w:rPr>
          <w:rFonts w:ascii="Arial" w:hAnsi="Arial" w:cs="Arial"/>
          <w:noProof/>
          <w:vertAlign w:val="superscript"/>
        </w:rPr>
        <w:lastRenderedPageBreak/>
        <w:drawing>
          <wp:inline distT="0" distB="0" distL="0" distR="0" wp14:anchorId="07D077CB" wp14:editId="2D8850F8">
            <wp:extent cx="2325370" cy="2329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t="2172" b="2172"/>
                    <a:stretch>
                      <a:fillRect/>
                    </a:stretch>
                  </pic:blipFill>
                  <pic:spPr bwMode="auto">
                    <a:xfrm>
                      <a:off x="0" y="0"/>
                      <a:ext cx="2325370" cy="2329815"/>
                    </a:xfrm>
                    <a:prstGeom prst="rect">
                      <a:avLst/>
                    </a:prstGeom>
                    <a:ln>
                      <a:noFill/>
                    </a:ln>
                    <a:extLst>
                      <a:ext uri="{53640926-AAD7-44D8-BBD7-CCE9431645EC}">
                        <a14:shadowObscured xmlns:a14="http://schemas.microsoft.com/office/drawing/2010/main"/>
                      </a:ext>
                    </a:extLst>
                  </pic:spPr>
                </pic:pic>
              </a:graphicData>
            </a:graphic>
          </wp:inline>
        </w:drawing>
      </w:r>
    </w:p>
    <w:p w14:paraId="6385E1CD" w14:textId="77777777" w:rsidR="00E4329B" w:rsidRPr="003E2177" w:rsidRDefault="00E4329B" w:rsidP="00E4329B">
      <w:pPr>
        <w:rPr>
          <w:rFonts w:ascii="Arial" w:hAnsi="Arial" w:cs="Arial"/>
        </w:rPr>
      </w:pPr>
    </w:p>
    <w:p w14:paraId="56727D61" w14:textId="19F48109" w:rsidR="004C3A1A" w:rsidRPr="00E4329B" w:rsidRDefault="00C3416B">
      <w:pPr>
        <w:rPr>
          <w:rFonts w:ascii="Arial" w:hAnsi="Arial" w:cs="Arial"/>
        </w:rPr>
      </w:pPr>
      <w:r w:rsidRPr="00E4329B">
        <w:rPr>
          <w:rFonts w:ascii="Arial" w:hAnsi="Arial" w:cs="Arial"/>
          <w:b/>
          <w:bCs/>
        </w:rPr>
        <w:t>Supplementary Figure 1. Undamaged TEC with NTS labelled showing full complex bound to the surface</w:t>
      </w:r>
      <w:r w:rsidRPr="00E4329B">
        <w:rPr>
          <w:rFonts w:ascii="Arial" w:hAnsi="Arial" w:cs="Arial"/>
        </w:rPr>
        <w:t>. TIRF image showing Cy3 labelled NTS immobilised to the surface via annealing to TS (biotin). The comparable number of bound molecules as when the TS is Cy3 labelled indicates the TEC we visualise in all assays is likely to be a full complex containing all components. 4mW Cy3 Excitation; Cy3 channel on left and Cy5 channel right.</w:t>
      </w:r>
    </w:p>
    <w:p w14:paraId="4AFFDB51" w14:textId="77777777" w:rsidR="0006073B" w:rsidRDefault="0006073B">
      <w:pPr>
        <w:rPr>
          <w:rFonts w:ascii="Arial" w:hAnsi="Arial" w:cs="Arial"/>
        </w:rPr>
      </w:pPr>
    </w:p>
    <w:p w14:paraId="2CF077CD" w14:textId="548D933B" w:rsidR="00E4329B" w:rsidRPr="00E4329B" w:rsidRDefault="00E4329B">
      <w:pPr>
        <w:rPr>
          <w:rFonts w:ascii="Arial" w:hAnsi="Arial" w:cs="Arial"/>
        </w:rPr>
      </w:pPr>
    </w:p>
    <w:p w14:paraId="3082CBC0" w14:textId="5D1B54CC" w:rsidR="004C3A1A" w:rsidRPr="00E4329B" w:rsidRDefault="004C3A1A" w:rsidP="00E4329B">
      <w:pPr>
        <w:jc w:val="center"/>
        <w:rPr>
          <w:rFonts w:ascii="Arial" w:hAnsi="Arial" w:cs="Arial"/>
        </w:rPr>
      </w:pPr>
      <w:r w:rsidRPr="00E4329B">
        <w:rPr>
          <w:rFonts w:ascii="Arial" w:hAnsi="Arial" w:cs="Arial"/>
          <w:noProof/>
        </w:rPr>
        <w:drawing>
          <wp:inline distT="0" distB="0" distL="0" distR="0" wp14:anchorId="090BC933" wp14:editId="7C3505DF">
            <wp:extent cx="5727483" cy="21177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727483" cy="2117725"/>
                    </a:xfrm>
                    <a:prstGeom prst="rect">
                      <a:avLst/>
                    </a:prstGeom>
                  </pic:spPr>
                </pic:pic>
              </a:graphicData>
            </a:graphic>
          </wp:inline>
        </w:drawing>
      </w:r>
    </w:p>
    <w:p w14:paraId="7C9109F2" w14:textId="77777777" w:rsidR="00E4329B" w:rsidRPr="00E4329B" w:rsidRDefault="00E4329B" w:rsidP="00E4329B">
      <w:pPr>
        <w:rPr>
          <w:rFonts w:ascii="Arial" w:hAnsi="Arial" w:cs="Arial"/>
        </w:rPr>
      </w:pPr>
    </w:p>
    <w:p w14:paraId="193D0785" w14:textId="5768135A" w:rsidR="007766C6" w:rsidRPr="00E4329B" w:rsidRDefault="007766C6" w:rsidP="007766C6">
      <w:pPr>
        <w:rPr>
          <w:rFonts w:ascii="Arial" w:hAnsi="Arial" w:cs="Arial"/>
        </w:rPr>
      </w:pPr>
      <w:r w:rsidRPr="00E4329B">
        <w:rPr>
          <w:rFonts w:ascii="Arial" w:hAnsi="Arial" w:cs="Arial"/>
          <w:b/>
          <w:bCs/>
        </w:rPr>
        <w:t>Supplementary Figure 2. RNAPII transcribes all template in 10µM [NTP].</w:t>
      </w:r>
      <w:r w:rsidRPr="00E4329B">
        <w:rPr>
          <w:rFonts w:ascii="Arial" w:hAnsi="Arial" w:cs="Arial"/>
        </w:rPr>
        <w:t xml:space="preserve"> 18% Denaturing PAGE showing RNA extension over time from primer (12 nucleotides) to full length transcript (69 nucleotides) or various stalled positions for the undamaged, abasic, TT-Dimer and 8-Oxo Guanine containing templates. 10 µM NTPs, measured via Cy5 fluorescence. </w:t>
      </w:r>
    </w:p>
    <w:p w14:paraId="3E64A6F5" w14:textId="55E55BC8" w:rsidR="00E4329B" w:rsidRPr="00E4329B" w:rsidRDefault="00E4329B">
      <w:pPr>
        <w:rPr>
          <w:rFonts w:ascii="Arial" w:hAnsi="Arial" w:cs="Arial"/>
        </w:rPr>
      </w:pPr>
      <w:r w:rsidRPr="00E4329B">
        <w:rPr>
          <w:rFonts w:ascii="Arial" w:hAnsi="Arial" w:cs="Arial"/>
        </w:rPr>
        <w:br w:type="page"/>
      </w:r>
    </w:p>
    <w:p w14:paraId="37C4FB09" w14:textId="7F9D9288" w:rsidR="004C3A1A" w:rsidRPr="00E4329B" w:rsidRDefault="00B06E0E" w:rsidP="00E4329B">
      <w:pPr>
        <w:jc w:val="center"/>
        <w:rPr>
          <w:rFonts w:ascii="Arial" w:hAnsi="Arial" w:cs="Arial"/>
        </w:rPr>
      </w:pPr>
      <w:r w:rsidRPr="00E4329B">
        <w:rPr>
          <w:rFonts w:ascii="Arial" w:hAnsi="Arial" w:cs="Arial"/>
          <w:noProof/>
        </w:rPr>
        <w:lastRenderedPageBreak/>
        <w:drawing>
          <wp:inline distT="0" distB="0" distL="0" distR="0" wp14:anchorId="3EE401DF" wp14:editId="71181C92">
            <wp:extent cx="5727462" cy="3994784"/>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727462" cy="3994784"/>
                    </a:xfrm>
                    <a:prstGeom prst="rect">
                      <a:avLst/>
                    </a:prstGeom>
                  </pic:spPr>
                </pic:pic>
              </a:graphicData>
            </a:graphic>
          </wp:inline>
        </w:drawing>
      </w:r>
    </w:p>
    <w:p w14:paraId="5B0B5727" w14:textId="77777777" w:rsidR="00E4329B" w:rsidRPr="00E4329B" w:rsidRDefault="00E4329B" w:rsidP="00E4329B">
      <w:pPr>
        <w:rPr>
          <w:rFonts w:ascii="Arial" w:hAnsi="Arial" w:cs="Arial"/>
        </w:rPr>
      </w:pPr>
    </w:p>
    <w:p w14:paraId="03865332" w14:textId="1507B636" w:rsidR="004C3A1A" w:rsidRPr="00E4329B" w:rsidRDefault="00B06E0E">
      <w:pPr>
        <w:rPr>
          <w:rFonts w:ascii="Arial" w:hAnsi="Arial" w:cs="Arial"/>
        </w:rPr>
      </w:pPr>
      <w:r w:rsidRPr="00E4329B">
        <w:rPr>
          <w:rFonts w:ascii="Arial" w:hAnsi="Arial" w:cs="Arial"/>
          <w:b/>
          <w:bCs/>
        </w:rPr>
        <w:t xml:space="preserve">Supplementary Figure 3. RNA ladder showing an increase in RNA length causes decrease in observed FRET. </w:t>
      </w:r>
      <w:r w:rsidRPr="00E4329B">
        <w:rPr>
          <w:rFonts w:ascii="Arial" w:hAnsi="Arial" w:cs="Arial"/>
        </w:rPr>
        <w:t xml:space="preserve">(A) FRET histograms for varying lengths of RNA primers used ranging from 14 </w:t>
      </w:r>
      <w:r w:rsidR="003E2177">
        <w:rPr>
          <w:rFonts w:ascii="Arial" w:hAnsi="Arial" w:cs="Arial"/>
        </w:rPr>
        <w:t>-</w:t>
      </w:r>
      <w:r w:rsidRPr="00E4329B">
        <w:rPr>
          <w:rFonts w:ascii="Arial" w:hAnsi="Arial" w:cs="Arial"/>
        </w:rPr>
        <w:t xml:space="preserve"> 27</w:t>
      </w:r>
      <w:r w:rsidR="003E2177">
        <w:rPr>
          <w:rFonts w:ascii="Arial" w:hAnsi="Arial" w:cs="Arial"/>
        </w:rPr>
        <w:t xml:space="preserve"> </w:t>
      </w:r>
      <w:proofErr w:type="spellStart"/>
      <w:r w:rsidRPr="00E4329B">
        <w:rPr>
          <w:rFonts w:ascii="Arial" w:hAnsi="Arial" w:cs="Arial"/>
        </w:rPr>
        <w:t>nt</w:t>
      </w:r>
      <w:proofErr w:type="spellEnd"/>
      <w:r w:rsidRPr="00E4329B">
        <w:rPr>
          <w:rFonts w:ascii="Arial" w:hAnsi="Arial" w:cs="Arial"/>
        </w:rPr>
        <w:t xml:space="preserve"> (+</w:t>
      </w:r>
      <w:r w:rsidR="003E2177">
        <w:rPr>
          <w:rFonts w:ascii="Arial" w:hAnsi="Arial" w:cs="Arial"/>
        </w:rPr>
        <w:t xml:space="preserve"> </w:t>
      </w:r>
      <w:r w:rsidRPr="00E4329B">
        <w:rPr>
          <w:rFonts w:ascii="Arial" w:hAnsi="Arial" w:cs="Arial"/>
        </w:rPr>
        <w:t>x</w:t>
      </w:r>
      <w:r w:rsidR="003E2177">
        <w:rPr>
          <w:rFonts w:ascii="Arial" w:hAnsi="Arial" w:cs="Arial"/>
        </w:rPr>
        <w:t xml:space="preserve"> </w:t>
      </w:r>
      <w:proofErr w:type="spellStart"/>
      <w:r w:rsidRPr="00E4329B">
        <w:rPr>
          <w:rFonts w:ascii="Arial" w:hAnsi="Arial" w:cs="Arial"/>
        </w:rPr>
        <w:t>nt</w:t>
      </w:r>
      <w:proofErr w:type="spellEnd"/>
      <w:r w:rsidRPr="00E4329B">
        <w:rPr>
          <w:rFonts w:ascii="Arial" w:hAnsi="Arial" w:cs="Arial"/>
        </w:rPr>
        <w:t xml:space="preserve"> shows extension from the original primer). Peaks fitted to Gaussian fits. </w:t>
      </w:r>
      <w:r w:rsidR="00AA69DE">
        <w:rPr>
          <w:rFonts w:ascii="Arial" w:hAnsi="Arial" w:cs="Arial"/>
        </w:rPr>
        <w:t>F</w:t>
      </w:r>
      <w:r w:rsidR="00AA69DE" w:rsidRPr="00E4329B">
        <w:rPr>
          <w:rFonts w:ascii="Arial" w:hAnsi="Arial" w:cs="Arial"/>
        </w:rPr>
        <w:t xml:space="preserve">RET (E) = </w:t>
      </w:r>
      <w:proofErr w:type="spellStart"/>
      <w:r w:rsidR="00AA69DE" w:rsidRPr="00E4329B">
        <w:rPr>
          <w:rFonts w:ascii="Arial" w:hAnsi="Arial" w:cs="Arial"/>
        </w:rPr>
        <w:t>I</w:t>
      </w:r>
      <w:r w:rsidR="00AA69DE" w:rsidRPr="00E4329B">
        <w:rPr>
          <w:rFonts w:ascii="Arial" w:hAnsi="Arial" w:cs="Arial"/>
          <w:vertAlign w:val="subscript"/>
        </w:rPr>
        <w:t>Acceptor</w:t>
      </w:r>
      <w:proofErr w:type="spellEnd"/>
      <w:proofErr w:type="gramStart"/>
      <w:r w:rsidR="00AA69DE" w:rsidRPr="00E4329B">
        <w:rPr>
          <w:rFonts w:ascii="Arial" w:hAnsi="Arial" w:cs="Arial"/>
        </w:rPr>
        <w:t>/</w:t>
      </w:r>
      <w:r w:rsidR="00B6182C">
        <w:rPr>
          <w:rFonts w:ascii="Arial" w:hAnsi="Arial" w:cs="Arial"/>
        </w:rPr>
        <w:t>(</w:t>
      </w:r>
      <w:proofErr w:type="spellStart"/>
      <w:proofErr w:type="gramEnd"/>
      <w:r w:rsidR="00AA69DE" w:rsidRPr="00E4329B">
        <w:rPr>
          <w:rFonts w:ascii="Arial" w:hAnsi="Arial" w:cs="Arial"/>
        </w:rPr>
        <w:t>I</w:t>
      </w:r>
      <w:r w:rsidR="00AA69DE" w:rsidRPr="00E4329B">
        <w:rPr>
          <w:rFonts w:ascii="Arial" w:hAnsi="Arial" w:cs="Arial"/>
          <w:vertAlign w:val="subscript"/>
        </w:rPr>
        <w:t>Donor</w:t>
      </w:r>
      <w:proofErr w:type="spellEnd"/>
      <w:r w:rsidR="00AA69DE" w:rsidRPr="00E4329B">
        <w:rPr>
          <w:rFonts w:ascii="Arial" w:hAnsi="Arial" w:cs="Arial"/>
        </w:rPr>
        <w:t xml:space="preserve"> + </w:t>
      </w:r>
      <w:proofErr w:type="spellStart"/>
      <w:r w:rsidR="00AA69DE" w:rsidRPr="00E4329B">
        <w:rPr>
          <w:rFonts w:ascii="Arial" w:hAnsi="Arial" w:cs="Arial"/>
        </w:rPr>
        <w:t>I</w:t>
      </w:r>
      <w:r w:rsidR="00AA69DE" w:rsidRPr="00E4329B">
        <w:rPr>
          <w:rFonts w:ascii="Arial" w:hAnsi="Arial" w:cs="Arial"/>
          <w:vertAlign w:val="subscript"/>
        </w:rPr>
        <w:t>Acceptor</w:t>
      </w:r>
      <w:proofErr w:type="spellEnd"/>
      <w:r w:rsidR="00B6182C">
        <w:rPr>
          <w:rFonts w:ascii="Arial" w:hAnsi="Arial" w:cs="Arial"/>
        </w:rPr>
        <w:t>).</w:t>
      </w:r>
      <w:r w:rsidR="00AA69DE">
        <w:rPr>
          <w:rFonts w:ascii="Arial" w:hAnsi="Arial" w:cs="Arial"/>
        </w:rPr>
        <w:t xml:space="preserve"> </w:t>
      </w:r>
      <w:proofErr w:type="spellStart"/>
      <w:r w:rsidR="00AA69DE">
        <w:rPr>
          <w:rFonts w:ascii="Arial" w:hAnsi="Arial" w:cs="Arial"/>
        </w:rPr>
        <w:t>(</w:t>
      </w:r>
      <w:r w:rsidRPr="00E4329B">
        <w:rPr>
          <w:rFonts w:ascii="Arial" w:hAnsi="Arial" w:cs="Arial"/>
        </w:rPr>
        <w:t xml:space="preserve">B) </w:t>
      </w:r>
      <w:proofErr w:type="spellEnd"/>
      <w:r w:rsidRPr="00E4329B">
        <w:rPr>
          <w:rFonts w:ascii="Arial" w:hAnsi="Arial" w:cs="Arial"/>
        </w:rPr>
        <w:t>FRET peaks from Gaussian fits plotted against number of nucleotides from start site</w:t>
      </w:r>
      <w:r w:rsidR="00B6182C">
        <w:rPr>
          <w:rFonts w:ascii="Arial" w:hAnsi="Arial" w:cs="Arial"/>
        </w:rPr>
        <w:t>. The</w:t>
      </w:r>
      <w:r w:rsidR="00AA69DE">
        <w:rPr>
          <w:rFonts w:ascii="Arial" w:hAnsi="Arial" w:cs="Arial"/>
        </w:rPr>
        <w:t xml:space="preserve"> </w:t>
      </w:r>
      <w:r w:rsidR="00B6182C">
        <w:rPr>
          <w:rFonts w:ascii="Arial" w:hAnsi="Arial" w:cs="Arial"/>
        </w:rPr>
        <w:t>modulation of the</w:t>
      </w:r>
      <w:r w:rsidR="00AA69DE">
        <w:rPr>
          <w:rFonts w:ascii="Arial" w:hAnsi="Arial" w:cs="Arial"/>
        </w:rPr>
        <w:t xml:space="preserve"> </w:t>
      </w:r>
      <w:r w:rsidR="00B6182C">
        <w:rPr>
          <w:rFonts w:ascii="Arial" w:hAnsi="Arial" w:cs="Arial"/>
        </w:rPr>
        <w:t xml:space="preserve">apparent </w:t>
      </w:r>
      <w:r w:rsidR="00AA69DE">
        <w:rPr>
          <w:rFonts w:ascii="Arial" w:hAnsi="Arial" w:cs="Arial"/>
        </w:rPr>
        <w:t xml:space="preserve">FRET </w:t>
      </w:r>
      <w:r w:rsidR="00B6182C">
        <w:rPr>
          <w:rFonts w:ascii="Arial" w:hAnsi="Arial" w:cs="Arial"/>
        </w:rPr>
        <w:t xml:space="preserve">efficiency is </w:t>
      </w:r>
      <w:r w:rsidR="00B6182C">
        <w:rPr>
          <w:rStyle w:val="Emphasis"/>
          <w:rFonts w:ascii="Arial" w:hAnsi="Arial" w:cs="Arial"/>
          <w:i w:val="0"/>
          <w:iCs w:val="0"/>
          <w:color w:val="333333"/>
        </w:rPr>
        <w:t xml:space="preserve">likely </w:t>
      </w:r>
      <w:r w:rsidR="00AA69DE">
        <w:rPr>
          <w:rFonts w:ascii="Arial" w:hAnsi="Arial" w:cs="Arial"/>
        </w:rPr>
        <w:t xml:space="preserve">due to </w:t>
      </w:r>
      <w:r w:rsidR="00B6182C">
        <w:rPr>
          <w:rFonts w:ascii="Arial" w:hAnsi="Arial" w:cs="Arial"/>
        </w:rPr>
        <w:t>partial stacking of dyes (</w:t>
      </w:r>
      <w:r w:rsidR="00B6182C">
        <w:rPr>
          <w:rFonts w:ascii="Arial" w:hAnsi="Arial" w:cs="Arial"/>
        </w:rPr>
        <w:sym w:font="Symbol" w:char="F06B"/>
      </w:r>
      <w:r w:rsidR="00B6182C" w:rsidRPr="00B6182C">
        <w:rPr>
          <w:rFonts w:ascii="Arial" w:hAnsi="Arial" w:cs="Arial"/>
          <w:vertAlign w:val="superscript"/>
        </w:rPr>
        <w:t>2</w:t>
      </w:r>
      <w:r w:rsidR="00B6182C">
        <w:rPr>
          <w:rFonts w:ascii="Arial" w:hAnsi="Arial" w:cs="Arial"/>
        </w:rPr>
        <w:t xml:space="preserve"> ≠ 2/3) and the </w:t>
      </w:r>
      <w:r w:rsidR="00AA69DE">
        <w:rPr>
          <w:rFonts w:ascii="Arial" w:hAnsi="Arial" w:cs="Arial"/>
        </w:rPr>
        <w:t xml:space="preserve">rotation of </w:t>
      </w:r>
      <w:r w:rsidR="00727A2A">
        <w:rPr>
          <w:rFonts w:ascii="Arial" w:hAnsi="Arial" w:cs="Arial"/>
        </w:rPr>
        <w:t xml:space="preserve">the </w:t>
      </w:r>
      <w:r w:rsidR="00AA69DE">
        <w:rPr>
          <w:rFonts w:ascii="Arial" w:hAnsi="Arial" w:cs="Arial"/>
        </w:rPr>
        <w:t xml:space="preserve">polymerase around the DNA helix, </w:t>
      </w:r>
      <w:r w:rsidR="00B6182C">
        <w:rPr>
          <w:rFonts w:ascii="Arial" w:hAnsi="Arial" w:cs="Arial"/>
        </w:rPr>
        <w:t>as described previously</w:t>
      </w:r>
      <w:sdt>
        <w:sdtPr>
          <w:rPr>
            <w:rFonts w:ascii="Arial" w:hAnsi="Arial" w:cs="Arial"/>
            <w:color w:val="000000"/>
            <w:vertAlign w:val="superscript"/>
          </w:rPr>
          <w:tag w:val="MENDELEY_CITATION_v3_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"/>
          <w:id w:val="443655865"/>
          <w:placeholder>
            <w:docPart w:val="DefaultPlaceholder_-1854013440"/>
          </w:placeholder>
        </w:sdtPr>
        <w:sdtContent>
          <w:r w:rsidR="004B09A5" w:rsidRPr="004B09A5">
            <w:rPr>
              <w:rFonts w:ascii="Arial" w:hAnsi="Arial" w:cs="Arial"/>
              <w:color w:val="000000"/>
              <w:vertAlign w:val="superscript"/>
            </w:rPr>
            <w:t>1,2</w:t>
          </w:r>
        </w:sdtContent>
      </w:sdt>
      <w:r w:rsidR="00AA69DE">
        <w:rPr>
          <w:rFonts w:ascii="Arial" w:hAnsi="Arial" w:cs="Arial"/>
        </w:rPr>
        <w:t xml:space="preserve">. </w:t>
      </w:r>
    </w:p>
    <w:p w14:paraId="4DE6D898" w14:textId="7F2E6282" w:rsidR="00E4329B" w:rsidRPr="00E4329B" w:rsidRDefault="00E4329B">
      <w:pPr>
        <w:rPr>
          <w:rFonts w:ascii="Arial" w:hAnsi="Arial" w:cs="Arial"/>
        </w:rPr>
      </w:pPr>
      <w:r w:rsidRPr="00E4329B">
        <w:rPr>
          <w:rFonts w:ascii="Arial" w:hAnsi="Arial" w:cs="Arial"/>
        </w:rPr>
        <w:br w:type="page"/>
      </w:r>
    </w:p>
    <w:p w14:paraId="2D61BB7B" w14:textId="440F3A34" w:rsidR="008A6227" w:rsidRDefault="00110E67">
      <w:pPr>
        <w:rPr>
          <w:rFonts w:ascii="Arial" w:hAnsi="Arial" w:cs="Arial"/>
        </w:rPr>
      </w:pPr>
      <w:r w:rsidRPr="00E4329B">
        <w:rPr>
          <w:rFonts w:ascii="Arial" w:hAnsi="Arial" w:cs="Arial"/>
          <w:b/>
          <w:bCs/>
          <w:noProof/>
        </w:rPr>
        <w:lastRenderedPageBreak/>
        <w:drawing>
          <wp:inline distT="0" distB="0" distL="0" distR="0" wp14:anchorId="5ECD0D21" wp14:editId="4F0D15EE">
            <wp:extent cx="5727700" cy="2069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5727700" cy="2069465"/>
                    </a:xfrm>
                    <a:prstGeom prst="rect">
                      <a:avLst/>
                    </a:prstGeom>
                  </pic:spPr>
                </pic:pic>
              </a:graphicData>
            </a:graphic>
          </wp:inline>
        </w:drawing>
      </w:r>
    </w:p>
    <w:p w14:paraId="1738C891" w14:textId="77777777" w:rsidR="003E2177" w:rsidRPr="00E4329B" w:rsidRDefault="003E2177">
      <w:pPr>
        <w:rPr>
          <w:rFonts w:ascii="Arial" w:hAnsi="Arial" w:cs="Arial"/>
        </w:rPr>
      </w:pPr>
    </w:p>
    <w:p w14:paraId="67A5851A" w14:textId="365D0F6B" w:rsidR="008A6227" w:rsidRPr="00E4329B" w:rsidRDefault="008A6227">
      <w:pPr>
        <w:rPr>
          <w:rFonts w:ascii="Arial" w:hAnsi="Arial" w:cs="Arial"/>
        </w:rPr>
      </w:pPr>
      <w:r w:rsidRPr="00E4329B">
        <w:rPr>
          <w:rFonts w:ascii="Arial" w:hAnsi="Arial" w:cs="Arial"/>
          <w:b/>
          <w:bCs/>
        </w:rPr>
        <w:t>Supplementary Figure 4. RNAPII dynamics stalled at damages are not NTP dependent</w:t>
      </w:r>
      <w:r w:rsidRPr="00E4329B">
        <w:rPr>
          <w:rFonts w:ascii="Arial" w:hAnsi="Arial" w:cs="Arial"/>
        </w:rPr>
        <w:t>. (A + B) Histogram of idealised FRET of RNAPII stalled at 8-Oxo Guanine lesion (A) or TT-Dimer (B) with excess NTPs washed away showing similar observed FRET peaks and occupancies. Peaks fitted to a Gaussian fit. N = 78 (A) and 123 (B).</w:t>
      </w:r>
    </w:p>
    <w:p w14:paraId="43D65A19" w14:textId="77777777" w:rsidR="0006073B" w:rsidRDefault="0006073B">
      <w:pPr>
        <w:rPr>
          <w:rFonts w:ascii="Arial" w:hAnsi="Arial" w:cs="Arial"/>
        </w:rPr>
      </w:pPr>
    </w:p>
    <w:p w14:paraId="1725239B" w14:textId="7EC70E41" w:rsidR="003E2177" w:rsidRDefault="003E2177">
      <w:pPr>
        <w:rPr>
          <w:rFonts w:ascii="Arial" w:hAnsi="Arial" w:cs="Arial"/>
        </w:rPr>
      </w:pPr>
    </w:p>
    <w:p w14:paraId="10FEA99F" w14:textId="6A16150B" w:rsidR="004C3A1A" w:rsidRPr="00E4329B" w:rsidRDefault="00B326CC" w:rsidP="004C3A1A">
      <w:pPr>
        <w:tabs>
          <w:tab w:val="left" w:pos="3651"/>
        </w:tabs>
        <w:rPr>
          <w:rFonts w:ascii="Arial" w:hAnsi="Arial" w:cs="Arial"/>
        </w:rPr>
      </w:pPr>
      <w:r w:rsidRPr="00E4329B">
        <w:rPr>
          <w:rFonts w:ascii="Arial" w:hAnsi="Arial" w:cs="Arial"/>
          <w:noProof/>
        </w:rPr>
        <w:drawing>
          <wp:inline distT="0" distB="0" distL="0" distR="0" wp14:anchorId="7D31B5C4" wp14:editId="222A95A1">
            <wp:extent cx="5727700" cy="1905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727700" cy="1905635"/>
                    </a:xfrm>
                    <a:prstGeom prst="rect">
                      <a:avLst/>
                    </a:prstGeom>
                  </pic:spPr>
                </pic:pic>
              </a:graphicData>
            </a:graphic>
          </wp:inline>
        </w:drawing>
      </w:r>
    </w:p>
    <w:p w14:paraId="53E0800F" w14:textId="669D91CB" w:rsidR="004C3A1A" w:rsidRPr="00E4329B" w:rsidRDefault="004C3A1A" w:rsidP="004C3A1A">
      <w:pPr>
        <w:tabs>
          <w:tab w:val="left" w:pos="3651"/>
        </w:tabs>
        <w:rPr>
          <w:rFonts w:ascii="Arial" w:hAnsi="Arial" w:cs="Arial"/>
        </w:rPr>
      </w:pPr>
    </w:p>
    <w:p w14:paraId="47626B2F" w14:textId="57CBC847" w:rsidR="00B326CC" w:rsidRPr="00E4329B" w:rsidRDefault="00B326CC" w:rsidP="004C3A1A">
      <w:pPr>
        <w:tabs>
          <w:tab w:val="left" w:pos="3651"/>
        </w:tabs>
        <w:rPr>
          <w:rFonts w:ascii="Arial" w:hAnsi="Arial" w:cs="Arial"/>
        </w:rPr>
      </w:pPr>
      <w:r w:rsidRPr="00E4329B">
        <w:rPr>
          <w:rFonts w:ascii="Arial" w:hAnsi="Arial" w:cs="Arial"/>
          <w:b/>
          <w:bCs/>
        </w:rPr>
        <w:t xml:space="preserve">Supplementary Figure </w:t>
      </w:r>
      <w:r w:rsidR="008A6227" w:rsidRPr="00E4329B">
        <w:rPr>
          <w:rFonts w:ascii="Arial" w:hAnsi="Arial" w:cs="Arial"/>
          <w:b/>
          <w:bCs/>
        </w:rPr>
        <w:t>5</w:t>
      </w:r>
      <w:r w:rsidRPr="00E4329B">
        <w:rPr>
          <w:rFonts w:ascii="Arial" w:hAnsi="Arial" w:cs="Arial"/>
          <w:b/>
          <w:bCs/>
        </w:rPr>
        <w:t>. Rad26 binds to RNAPII containing TEC</w:t>
      </w:r>
      <w:r w:rsidRPr="00E4329B">
        <w:rPr>
          <w:rFonts w:ascii="Arial" w:hAnsi="Arial" w:cs="Arial"/>
        </w:rPr>
        <w:t xml:space="preserve">. (A) Example FRET trace of Rad26 bound to TEC in absence of NTPs. (B) Histogram of Rad26 bound to TEC showing a single high FRET state of 0.95, </w:t>
      </w:r>
      <w:proofErr w:type="gramStart"/>
      <w:r w:rsidRPr="00E4329B">
        <w:rPr>
          <w:rFonts w:ascii="Arial" w:hAnsi="Arial" w:cs="Arial"/>
        </w:rPr>
        <w:t>similar to</w:t>
      </w:r>
      <w:proofErr w:type="gramEnd"/>
      <w:r w:rsidRPr="00E4329B">
        <w:rPr>
          <w:rFonts w:ascii="Arial" w:hAnsi="Arial" w:cs="Arial"/>
        </w:rPr>
        <w:t xml:space="preserve"> what was observed without Rad26. N = 112, peak fitted to Gaussian fit.</w:t>
      </w:r>
    </w:p>
    <w:p w14:paraId="6D19D59D" w14:textId="4D91D422" w:rsidR="003E2177" w:rsidRDefault="003E2177">
      <w:pPr>
        <w:rPr>
          <w:rFonts w:ascii="Arial" w:hAnsi="Arial" w:cs="Arial"/>
          <w:b/>
          <w:bCs/>
        </w:rPr>
      </w:pPr>
      <w:r>
        <w:rPr>
          <w:rFonts w:ascii="Arial" w:hAnsi="Arial" w:cs="Arial"/>
          <w:b/>
          <w:bCs/>
        </w:rPr>
        <w:br w:type="page"/>
      </w:r>
    </w:p>
    <w:p w14:paraId="5D1CBA62" w14:textId="56F8E9CE" w:rsidR="004C3A1A" w:rsidRDefault="004C3A1A">
      <w:pPr>
        <w:rPr>
          <w:rFonts w:ascii="Arial" w:hAnsi="Arial" w:cs="Arial"/>
        </w:rPr>
      </w:pPr>
      <w:r w:rsidRPr="00E4329B">
        <w:rPr>
          <w:rFonts w:ascii="Arial" w:hAnsi="Arial" w:cs="Arial"/>
          <w:noProof/>
        </w:rPr>
        <w:lastRenderedPageBreak/>
        <w:drawing>
          <wp:inline distT="0" distB="0" distL="0" distR="0" wp14:anchorId="62E6CBC1" wp14:editId="6297071E">
            <wp:extent cx="5719445" cy="6805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719445" cy="6805930"/>
                    </a:xfrm>
                    <a:prstGeom prst="rect">
                      <a:avLst/>
                    </a:prstGeom>
                  </pic:spPr>
                </pic:pic>
              </a:graphicData>
            </a:graphic>
          </wp:inline>
        </w:drawing>
      </w:r>
    </w:p>
    <w:p w14:paraId="262E70DC" w14:textId="77777777" w:rsidR="003E2177" w:rsidRPr="00E4329B" w:rsidRDefault="003E2177">
      <w:pPr>
        <w:rPr>
          <w:rFonts w:ascii="Arial" w:hAnsi="Arial" w:cs="Arial"/>
        </w:rPr>
      </w:pPr>
    </w:p>
    <w:p w14:paraId="22512DC1" w14:textId="1D2519AD" w:rsidR="00B326CC" w:rsidRDefault="00B326CC" w:rsidP="00B326CC">
      <w:pPr>
        <w:tabs>
          <w:tab w:val="left" w:pos="3651"/>
        </w:tabs>
        <w:rPr>
          <w:rFonts w:ascii="Arial" w:hAnsi="Arial" w:cs="Arial"/>
        </w:rPr>
      </w:pPr>
      <w:r w:rsidRPr="00E4329B">
        <w:rPr>
          <w:rFonts w:ascii="Arial" w:hAnsi="Arial" w:cs="Arial"/>
          <w:b/>
          <w:bCs/>
        </w:rPr>
        <w:t xml:space="preserve">Supplementary Figure </w:t>
      </w:r>
      <w:r w:rsidR="008A6227" w:rsidRPr="00E4329B">
        <w:rPr>
          <w:rFonts w:ascii="Arial" w:hAnsi="Arial" w:cs="Arial"/>
          <w:b/>
          <w:bCs/>
        </w:rPr>
        <w:t>6</w:t>
      </w:r>
      <w:r w:rsidRPr="00E4329B">
        <w:rPr>
          <w:rFonts w:ascii="Arial" w:hAnsi="Arial" w:cs="Arial"/>
          <w:b/>
          <w:bCs/>
        </w:rPr>
        <w:t xml:space="preserve">. </w:t>
      </w:r>
      <w:r w:rsidRPr="00E4329B">
        <w:rPr>
          <w:rFonts w:ascii="Arial" w:hAnsi="Arial" w:cs="Arial"/>
        </w:rPr>
        <w:t xml:space="preserve"> </w:t>
      </w:r>
      <w:r w:rsidRPr="00E4329B">
        <w:rPr>
          <w:rFonts w:ascii="Arial" w:hAnsi="Arial" w:cs="Arial"/>
          <w:b/>
          <w:bCs/>
        </w:rPr>
        <w:t>Dwell time analysis of RNAPII transitions with and without Rad26</w:t>
      </w:r>
      <w:r w:rsidRPr="00E4329B">
        <w:rPr>
          <w:rFonts w:ascii="Arial" w:hAnsi="Arial" w:cs="Arial"/>
        </w:rPr>
        <w:t xml:space="preserve">. Cumulative dwell time analysis of each transition observed to and from the site of damage. S1 - S2 (0.95 to 0.6) S2 - S3 (0.6 to 0.5) and their respective reverse transitions with and without Rad26 for (A) 8-Oxo Guanine and (B) TT-Dimer. Data was fitted to a double exponential. </w:t>
      </w:r>
      <w:r w:rsidR="003E2177" w:rsidRPr="00E4329B">
        <w:rPr>
          <w:rFonts w:ascii="Arial" w:hAnsi="Arial" w:cs="Arial"/>
        </w:rPr>
        <w:t>Blue = With Rad26</w:t>
      </w:r>
      <w:r w:rsidR="003E2177">
        <w:rPr>
          <w:rFonts w:ascii="Arial" w:hAnsi="Arial" w:cs="Arial"/>
        </w:rPr>
        <w:t xml:space="preserve">, </w:t>
      </w:r>
      <w:r w:rsidRPr="00E4329B">
        <w:rPr>
          <w:rFonts w:ascii="Arial" w:hAnsi="Arial" w:cs="Arial"/>
        </w:rPr>
        <w:t>Red = No Rad26.</w:t>
      </w:r>
    </w:p>
    <w:p w14:paraId="3356BADF" w14:textId="7370FDEA" w:rsidR="004B09A5" w:rsidRDefault="004B09A5" w:rsidP="00B326CC">
      <w:pPr>
        <w:tabs>
          <w:tab w:val="left" w:pos="3651"/>
        </w:tabs>
        <w:rPr>
          <w:rFonts w:ascii="Arial" w:hAnsi="Arial" w:cs="Arial"/>
        </w:rPr>
      </w:pPr>
    </w:p>
    <w:p w14:paraId="50C9DDA9" w14:textId="6B498CB6" w:rsidR="004B09A5" w:rsidRDefault="004B09A5" w:rsidP="00B326CC">
      <w:pPr>
        <w:tabs>
          <w:tab w:val="left" w:pos="3651"/>
        </w:tabs>
        <w:rPr>
          <w:rFonts w:ascii="Arial" w:hAnsi="Arial" w:cs="Arial"/>
        </w:rPr>
      </w:pPr>
    </w:p>
    <w:p w14:paraId="7FA806AB" w14:textId="6C14C554" w:rsidR="004B09A5" w:rsidRDefault="004B09A5" w:rsidP="00B326CC">
      <w:pPr>
        <w:tabs>
          <w:tab w:val="left" w:pos="3651"/>
        </w:tabs>
        <w:rPr>
          <w:rFonts w:ascii="Arial" w:hAnsi="Arial" w:cs="Arial"/>
        </w:rPr>
      </w:pPr>
    </w:p>
    <w:p w14:paraId="73E3276A" w14:textId="6C6C101B" w:rsidR="004B09A5" w:rsidRDefault="004B09A5" w:rsidP="00B326CC">
      <w:pPr>
        <w:tabs>
          <w:tab w:val="left" w:pos="3651"/>
        </w:tabs>
        <w:rPr>
          <w:rFonts w:ascii="Arial" w:hAnsi="Arial" w:cs="Arial"/>
        </w:rPr>
      </w:pPr>
    </w:p>
    <w:p w14:paraId="08B2CCBB" w14:textId="03C148B7" w:rsidR="004B09A5" w:rsidRDefault="004B09A5" w:rsidP="00B326CC">
      <w:pPr>
        <w:tabs>
          <w:tab w:val="left" w:pos="3651"/>
        </w:tabs>
        <w:rPr>
          <w:rFonts w:ascii="Arial" w:hAnsi="Arial" w:cs="Arial"/>
          <w:b/>
          <w:bCs/>
        </w:rPr>
      </w:pPr>
      <w:r w:rsidRPr="004B09A5">
        <w:rPr>
          <w:rFonts w:ascii="Arial" w:hAnsi="Arial" w:cs="Arial"/>
          <w:b/>
          <w:bCs/>
        </w:rPr>
        <w:lastRenderedPageBreak/>
        <w:t>Supplementary References</w:t>
      </w:r>
    </w:p>
    <w:sdt>
      <w:sdtPr>
        <w:rPr>
          <w:rFonts w:ascii="Arial" w:hAnsi="Arial" w:cs="Arial"/>
          <w:b/>
          <w:bCs/>
        </w:rPr>
        <w:tag w:val="MENDELEY_BIBLIOGRAPHY"/>
        <w:id w:val="-1346934011"/>
        <w:placeholder>
          <w:docPart w:val="DefaultPlaceholder_-1854013440"/>
        </w:placeholder>
      </w:sdtPr>
      <w:sdtContent>
        <w:p w14:paraId="1C04A1CF" w14:textId="77777777" w:rsidR="004B09A5" w:rsidRDefault="004B09A5">
          <w:pPr>
            <w:autoSpaceDE w:val="0"/>
            <w:autoSpaceDN w:val="0"/>
            <w:ind w:hanging="640"/>
            <w:divId w:val="111243943"/>
            <w:rPr>
              <w:rFonts w:eastAsia="Times New Roman"/>
            </w:rPr>
          </w:pPr>
          <w:r>
            <w:rPr>
              <w:rFonts w:eastAsia="Times New Roman"/>
            </w:rPr>
            <w:t>1.</w:t>
          </w:r>
          <w:r>
            <w:rPr>
              <w:rFonts w:eastAsia="Times New Roman"/>
            </w:rPr>
            <w:tab/>
          </w:r>
          <w:proofErr w:type="spellStart"/>
          <w:r>
            <w:rPr>
              <w:rFonts w:eastAsia="Times New Roman"/>
            </w:rPr>
            <w:t>Fessl</w:t>
          </w:r>
          <w:proofErr w:type="spellEnd"/>
          <w:r>
            <w:rPr>
              <w:rFonts w:eastAsia="Times New Roman"/>
            </w:rPr>
            <w:t xml:space="preserve">, T. S. &amp; Lilley, D. M. J. Measurement of the Change in Twist at a Helical Junction in RNA Using the Orientation Dependence of FRET. </w:t>
          </w:r>
          <w:proofErr w:type="gramStart"/>
          <w:r>
            <w:rPr>
              <w:rFonts w:eastAsia="Times New Roman"/>
            </w:rPr>
            <w:t>doi:10.1016/j.bpj</w:t>
          </w:r>
          <w:proofErr w:type="gramEnd"/>
          <w:r>
            <w:rPr>
              <w:rFonts w:eastAsia="Times New Roman"/>
            </w:rPr>
            <w:t>.2013.09.042.</w:t>
          </w:r>
        </w:p>
        <w:p w14:paraId="78C039B8" w14:textId="77777777" w:rsidR="004B09A5" w:rsidRDefault="004B09A5">
          <w:pPr>
            <w:autoSpaceDE w:val="0"/>
            <w:autoSpaceDN w:val="0"/>
            <w:ind w:hanging="640"/>
            <w:divId w:val="439766638"/>
            <w:rPr>
              <w:rFonts w:eastAsia="Times New Roman"/>
            </w:rPr>
          </w:pPr>
          <w:r>
            <w:rPr>
              <w:rFonts w:eastAsia="Times New Roman"/>
            </w:rPr>
            <w:t>2.</w:t>
          </w:r>
          <w:r>
            <w:rPr>
              <w:rFonts w:eastAsia="Times New Roman"/>
            </w:rPr>
            <w:tab/>
            <w:t xml:space="preserve">Iqbal, A. </w:t>
          </w:r>
          <w:r>
            <w:rPr>
              <w:rFonts w:eastAsia="Times New Roman"/>
              <w:i/>
              <w:iCs/>
            </w:rPr>
            <w:t>et al.</w:t>
          </w:r>
          <w:r>
            <w:rPr>
              <w:rFonts w:eastAsia="Times New Roman"/>
            </w:rPr>
            <w:t xml:space="preserve"> Orientation dependence in fluorescent energy transfer between Cy3 and Cy5 terminally attached to double-stranded nucleic acids. </w:t>
          </w:r>
          <w:r>
            <w:rPr>
              <w:rFonts w:eastAsia="Times New Roman"/>
              <w:i/>
              <w:iCs/>
            </w:rPr>
            <w:t xml:space="preserve">Proc Natl </w:t>
          </w:r>
          <w:proofErr w:type="spellStart"/>
          <w:r>
            <w:rPr>
              <w:rFonts w:eastAsia="Times New Roman"/>
              <w:i/>
              <w:iCs/>
            </w:rPr>
            <w:t>Acad</w:t>
          </w:r>
          <w:proofErr w:type="spellEnd"/>
          <w:r>
            <w:rPr>
              <w:rFonts w:eastAsia="Times New Roman"/>
              <w:i/>
              <w:iCs/>
            </w:rPr>
            <w:t xml:space="preserve"> Sci U S A</w:t>
          </w:r>
          <w:r>
            <w:rPr>
              <w:rFonts w:eastAsia="Times New Roman"/>
            </w:rPr>
            <w:t xml:space="preserve"> </w:t>
          </w:r>
          <w:r>
            <w:rPr>
              <w:rFonts w:eastAsia="Times New Roman"/>
              <w:b/>
              <w:bCs/>
            </w:rPr>
            <w:t>105</w:t>
          </w:r>
          <w:r>
            <w:rPr>
              <w:rFonts w:eastAsia="Times New Roman"/>
            </w:rPr>
            <w:t>, 11176 (2008).</w:t>
          </w:r>
        </w:p>
        <w:p w14:paraId="290F5658" w14:textId="0173388A" w:rsidR="004B09A5" w:rsidRPr="004B09A5" w:rsidRDefault="004B09A5" w:rsidP="00B326CC">
          <w:pPr>
            <w:tabs>
              <w:tab w:val="left" w:pos="3651"/>
            </w:tabs>
            <w:rPr>
              <w:rFonts w:ascii="Arial" w:hAnsi="Arial" w:cs="Arial"/>
              <w:b/>
              <w:bCs/>
            </w:rPr>
          </w:pPr>
          <w:r>
            <w:rPr>
              <w:rFonts w:eastAsia="Times New Roman"/>
            </w:rPr>
            <w:t> </w:t>
          </w:r>
        </w:p>
      </w:sdtContent>
    </w:sdt>
    <w:p w14:paraId="6C89F678" w14:textId="77777777" w:rsidR="004B09A5" w:rsidRPr="00E4329B" w:rsidRDefault="004B09A5" w:rsidP="00B326CC">
      <w:pPr>
        <w:tabs>
          <w:tab w:val="left" w:pos="3651"/>
        </w:tabs>
        <w:rPr>
          <w:rFonts w:ascii="Arial" w:hAnsi="Arial" w:cs="Arial"/>
        </w:rPr>
      </w:pPr>
    </w:p>
    <w:sectPr w:rsidR="004B09A5" w:rsidRPr="00E4329B" w:rsidSect="00DA6B69">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F8253" w14:textId="77777777" w:rsidR="00903959" w:rsidRDefault="00903959" w:rsidP="003E2177">
      <w:r>
        <w:separator/>
      </w:r>
    </w:p>
  </w:endnote>
  <w:endnote w:type="continuationSeparator" w:id="0">
    <w:p w14:paraId="29BF3EC9" w14:textId="77777777" w:rsidR="00903959" w:rsidRDefault="00903959" w:rsidP="003E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310B" w14:textId="40AC4318" w:rsidR="003E2177" w:rsidRPr="003E2177" w:rsidRDefault="003E2177" w:rsidP="003E2177">
    <w:pPr>
      <w:pStyle w:val="Footer"/>
      <w:jc w:val="center"/>
      <w:rPr>
        <w:rFonts w:ascii="Arial" w:hAnsi="Arial" w:cs="Arial"/>
      </w:rPr>
    </w:pPr>
    <w:r>
      <w:rPr>
        <w:rFonts w:ascii="Arial" w:hAnsi="Arial" w:cs="Arial"/>
      </w:rPr>
      <w:t>Page S</w:t>
    </w:r>
    <w:r w:rsidRPr="003E2177">
      <w:rPr>
        <w:rFonts w:ascii="Arial" w:hAnsi="Arial" w:cs="Arial"/>
      </w:rPr>
      <w:fldChar w:fldCharType="begin"/>
    </w:r>
    <w:r w:rsidRPr="003E2177">
      <w:rPr>
        <w:rFonts w:ascii="Arial" w:hAnsi="Arial" w:cs="Arial"/>
      </w:rPr>
      <w:instrText xml:space="preserve"> PAGE  \* MERGEFORMAT </w:instrText>
    </w:r>
    <w:r w:rsidRPr="003E2177">
      <w:rPr>
        <w:rFonts w:ascii="Arial" w:hAnsi="Arial" w:cs="Arial"/>
      </w:rPr>
      <w:fldChar w:fldCharType="separate"/>
    </w:r>
    <w:r w:rsidRPr="003E2177">
      <w:rPr>
        <w:rFonts w:ascii="Arial" w:hAnsi="Arial" w:cs="Arial"/>
        <w:noProof/>
      </w:rPr>
      <w:t>5</w:t>
    </w:r>
    <w:r w:rsidRPr="003E217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B4D4" w14:textId="77777777" w:rsidR="00903959" w:rsidRDefault="00903959" w:rsidP="003E2177">
      <w:r>
        <w:separator/>
      </w:r>
    </w:p>
  </w:footnote>
  <w:footnote w:type="continuationSeparator" w:id="0">
    <w:p w14:paraId="188A488B" w14:textId="77777777" w:rsidR="00903959" w:rsidRDefault="00903959" w:rsidP="003E21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A1"/>
    <w:rsid w:val="00001EBD"/>
    <w:rsid w:val="0006073B"/>
    <w:rsid w:val="00077AFC"/>
    <w:rsid w:val="000900C7"/>
    <w:rsid w:val="00110E67"/>
    <w:rsid w:val="002F1DB9"/>
    <w:rsid w:val="003E2177"/>
    <w:rsid w:val="004B09A5"/>
    <w:rsid w:val="004C3A1A"/>
    <w:rsid w:val="006312A1"/>
    <w:rsid w:val="00727A2A"/>
    <w:rsid w:val="007766C6"/>
    <w:rsid w:val="008A6227"/>
    <w:rsid w:val="008B6BAE"/>
    <w:rsid w:val="00903959"/>
    <w:rsid w:val="00A51598"/>
    <w:rsid w:val="00A737A5"/>
    <w:rsid w:val="00AA69DE"/>
    <w:rsid w:val="00B06E0E"/>
    <w:rsid w:val="00B326CC"/>
    <w:rsid w:val="00B473CC"/>
    <w:rsid w:val="00B6182C"/>
    <w:rsid w:val="00C3416B"/>
    <w:rsid w:val="00C614F4"/>
    <w:rsid w:val="00CF551E"/>
    <w:rsid w:val="00D96F47"/>
    <w:rsid w:val="00DA6B69"/>
    <w:rsid w:val="00E4329B"/>
    <w:rsid w:val="00E66483"/>
    <w:rsid w:val="00EC4249"/>
    <w:rsid w:val="00FB1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8DB5"/>
  <w15:chartTrackingRefBased/>
  <w15:docId w15:val="{372B7C95-214D-1542-8653-5BD8E37C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7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ESA">
    <w:name w:val="Heading 1 ESA"/>
    <w:basedOn w:val="Heading1"/>
    <w:qFormat/>
    <w:rsid w:val="00A737A5"/>
    <w:pPr>
      <w:autoSpaceDE w:val="0"/>
      <w:autoSpaceDN w:val="0"/>
      <w:adjustRightInd w:val="0"/>
      <w:spacing w:line="480" w:lineRule="auto"/>
      <w:jc w:val="both"/>
    </w:pPr>
    <w:rPr>
      <w:rFonts w:ascii="Arial" w:hAnsi="Arial" w:cs="Arial"/>
      <w:b/>
      <w:bCs/>
      <w:iCs/>
      <w:color w:val="000000"/>
      <w:sz w:val="24"/>
      <w:u w:val="single"/>
    </w:rPr>
  </w:style>
  <w:style w:type="character" w:customStyle="1" w:styleId="Heading1Char">
    <w:name w:val="Heading 1 Char"/>
    <w:basedOn w:val="DefaultParagraphFont"/>
    <w:link w:val="Heading1"/>
    <w:uiPriority w:val="9"/>
    <w:rsid w:val="00A737A5"/>
    <w:rPr>
      <w:rFonts w:asciiTheme="majorHAnsi" w:eastAsiaTheme="majorEastAsia" w:hAnsiTheme="majorHAnsi" w:cstheme="majorBidi"/>
      <w:color w:val="2F5496" w:themeColor="accent1" w:themeShade="BF"/>
      <w:sz w:val="32"/>
      <w:szCs w:val="32"/>
    </w:rPr>
  </w:style>
  <w:style w:type="paragraph" w:customStyle="1" w:styleId="SubheadingESA">
    <w:name w:val="Subheading ESA"/>
    <w:basedOn w:val="Normal"/>
    <w:qFormat/>
    <w:rsid w:val="00A737A5"/>
    <w:pPr>
      <w:autoSpaceDE w:val="0"/>
      <w:autoSpaceDN w:val="0"/>
      <w:adjustRightInd w:val="0"/>
      <w:spacing w:line="480" w:lineRule="auto"/>
      <w:jc w:val="both"/>
    </w:pPr>
    <w:rPr>
      <w:rFonts w:ascii="Arial" w:hAnsi="Arial" w:cs="Arial"/>
      <w:bCs/>
      <w:i/>
      <w:iCs/>
      <w:color w:val="000000"/>
    </w:rPr>
  </w:style>
  <w:style w:type="paragraph" w:customStyle="1" w:styleId="Subheading2ESA">
    <w:name w:val="Subheading2 ESA"/>
    <w:basedOn w:val="SubheadingESA"/>
    <w:qFormat/>
    <w:rsid w:val="00A737A5"/>
    <w:pPr>
      <w:ind w:firstLine="720"/>
    </w:pPr>
    <w:rPr>
      <w:bCs w:val="0"/>
      <w:i w:val="0"/>
    </w:rPr>
  </w:style>
  <w:style w:type="paragraph" w:customStyle="1" w:styleId="FIgurelegends">
    <w:name w:val="FIgure legends"/>
    <w:basedOn w:val="Normal"/>
    <w:qFormat/>
    <w:rsid w:val="00A737A5"/>
    <w:pPr>
      <w:jc w:val="both"/>
    </w:pPr>
    <w:rPr>
      <w:rFonts w:ascii="Arial" w:hAnsi="Arial" w:cs="Arial"/>
      <w:b/>
      <w:i/>
    </w:rPr>
  </w:style>
  <w:style w:type="paragraph" w:styleId="Caption">
    <w:name w:val="caption"/>
    <w:aliases w:val="Caption1"/>
    <w:basedOn w:val="Normal"/>
    <w:next w:val="Normal"/>
    <w:uiPriority w:val="35"/>
    <w:unhideWhenUsed/>
    <w:qFormat/>
    <w:rsid w:val="00A737A5"/>
    <w:pPr>
      <w:spacing w:after="200"/>
      <w:jc w:val="both"/>
    </w:pPr>
    <w:rPr>
      <w:rFonts w:ascii="Arial" w:hAnsi="Arial"/>
      <w:iCs/>
      <w:color w:val="44546A" w:themeColor="text2"/>
      <w:szCs w:val="18"/>
    </w:rPr>
  </w:style>
  <w:style w:type="paragraph" w:styleId="Header">
    <w:name w:val="header"/>
    <w:basedOn w:val="Normal"/>
    <w:link w:val="HeaderChar"/>
    <w:uiPriority w:val="99"/>
    <w:unhideWhenUsed/>
    <w:rsid w:val="003E2177"/>
    <w:pPr>
      <w:tabs>
        <w:tab w:val="center" w:pos="4513"/>
        <w:tab w:val="right" w:pos="9026"/>
      </w:tabs>
    </w:pPr>
  </w:style>
  <w:style w:type="character" w:customStyle="1" w:styleId="HeaderChar">
    <w:name w:val="Header Char"/>
    <w:basedOn w:val="DefaultParagraphFont"/>
    <w:link w:val="Header"/>
    <w:uiPriority w:val="99"/>
    <w:rsid w:val="003E2177"/>
  </w:style>
  <w:style w:type="paragraph" w:styleId="Footer">
    <w:name w:val="footer"/>
    <w:basedOn w:val="Normal"/>
    <w:link w:val="FooterChar"/>
    <w:uiPriority w:val="99"/>
    <w:unhideWhenUsed/>
    <w:rsid w:val="003E2177"/>
    <w:pPr>
      <w:tabs>
        <w:tab w:val="center" w:pos="4513"/>
        <w:tab w:val="right" w:pos="9026"/>
      </w:tabs>
    </w:pPr>
  </w:style>
  <w:style w:type="character" w:customStyle="1" w:styleId="FooterChar">
    <w:name w:val="Footer Char"/>
    <w:basedOn w:val="DefaultParagraphFont"/>
    <w:link w:val="Footer"/>
    <w:uiPriority w:val="99"/>
    <w:rsid w:val="003E2177"/>
  </w:style>
  <w:style w:type="character" w:styleId="Emphasis">
    <w:name w:val="Emphasis"/>
    <w:basedOn w:val="DefaultParagraphFont"/>
    <w:uiPriority w:val="20"/>
    <w:qFormat/>
    <w:rsid w:val="00AA69DE"/>
    <w:rPr>
      <w:i/>
      <w:iCs/>
    </w:rPr>
  </w:style>
  <w:style w:type="character" w:customStyle="1" w:styleId="apple-converted-space">
    <w:name w:val="apple-converted-space"/>
    <w:basedOn w:val="DefaultParagraphFont"/>
    <w:rsid w:val="00AA69DE"/>
  </w:style>
  <w:style w:type="character" w:styleId="PlaceholderText">
    <w:name w:val="Placeholder Text"/>
    <w:basedOn w:val="DefaultParagraphFont"/>
    <w:uiPriority w:val="99"/>
    <w:semiHidden/>
    <w:rsid w:val="004B09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565077">
      <w:bodyDiv w:val="1"/>
      <w:marLeft w:val="0"/>
      <w:marRight w:val="0"/>
      <w:marTop w:val="0"/>
      <w:marBottom w:val="0"/>
      <w:divBdr>
        <w:top w:val="none" w:sz="0" w:space="0" w:color="auto"/>
        <w:left w:val="none" w:sz="0" w:space="0" w:color="auto"/>
        <w:bottom w:val="none" w:sz="0" w:space="0" w:color="auto"/>
        <w:right w:val="none" w:sz="0" w:space="0" w:color="auto"/>
      </w:divBdr>
      <w:divsChild>
        <w:div w:id="111243943">
          <w:marLeft w:val="640"/>
          <w:marRight w:val="0"/>
          <w:marTop w:val="0"/>
          <w:marBottom w:val="0"/>
          <w:divBdr>
            <w:top w:val="none" w:sz="0" w:space="0" w:color="auto"/>
            <w:left w:val="none" w:sz="0" w:space="0" w:color="auto"/>
            <w:bottom w:val="none" w:sz="0" w:space="0" w:color="auto"/>
            <w:right w:val="none" w:sz="0" w:space="0" w:color="auto"/>
          </w:divBdr>
        </w:div>
        <w:div w:id="43976663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662B6C5-E087-9647-BE5B-D6844E9DFDED}"/>
      </w:docPartPr>
      <w:docPartBody>
        <w:p w:rsidR="00D407B6" w:rsidRDefault="00687D80">
          <w:r w:rsidRPr="008B06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80"/>
    <w:rsid w:val="00687D80"/>
    <w:rsid w:val="00CE0E11"/>
    <w:rsid w:val="00D407B6"/>
    <w:rsid w:val="00D81234"/>
    <w:rsid w:val="00D906D7"/>
    <w:rsid w:val="00E95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0E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FE07D6-096A-A946-8F9E-27488D949A59}">
  <we:reference id="wa104382081" version="1.46.0.0" store="en-GB" storeType="OMEX"/>
  <we:alternateReferences>
    <we:reference id="WA104382081" version="1.46.0.0" store="" storeType="OMEX"/>
  </we:alternateReferences>
  <we:properties>
    <we:property name="MENDELEY_CITATIONS" value="[{&quot;citationID&quot;:&quot;MENDELEY_CITATION_93c78736-9bc7-4314-a9f7-f9284284b303&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&quot;,&quot;citationItems&quot;:[{&quot;id&quot;:&quot;89711fca-45eb-3afa-a9e8-626bbb53b1a4&quot;,&quot;itemData&quot;:{&quot;type&quot;:&quot;article-journal&quot;,&quot;id&quot;:&quot;89711fca-45eb-3afa-a9e8-626bbb53b1a4&quot;,&quot;title&quot;:&quot;Measurement of the Change in Twist at a Helical Junction in RNA Using the Orientation Dependence of FRET&quot;,&quot;groupId&quot;:&quot;88dc5409-24af-3290-b42f-000b3bceb11e&quot;,&quot;author&quot;:[{&quot;family&quot;:&quot;Fessl&quot;,&quot;given&quot;:&quot;Tomá S&quot;,&quot;parse-names&quot;:false,&quot;dropping-particle&quot;:&quot;&quot;,&quot;non-dropping-particle&quot;:&quot;&quot;},{&quot;family&quot;:&quot;Lilley&quot;,&quot;given&quot;:&quot;David M J&quot;,&quot;parse-names&quot;:false,&quot;dropping-particle&quot;:&quot;&quot;,&quot;non-dropping-particle&quot;:&quot;&quot;}],&quot;accessed&quot;:{&quot;date-parts&quot;:[[2022,11,17]]},&quot;DOI&quot;:&quot;10.1016/j.bpj.2013.09.042&quot;,&quot;URL&quot;:&quot;http://dx.doi.org/10.1016/j.bpj.2013.09.042&quot;,&quot;abstract&quot;:&quot;Indocarbocyanine fluorophores attached via the 5 0 terminus of double-stranded nucleic acids have a strong propensity to stack onto the terminal basepair. We previously demonstrated that the efficiency of fluorescence resonance energy transfer between cyanine 3 and 5 terminally attached to duplex species exhibits a pronounced modulation with helix length. This results from a systematic variation in the orientation parameter k 2 as the relative rotation of the fluorophore transition moments changes due to the helical geometry. Analysis of such profiles provides a rich source of orientational information. In this work, we applied this methodology to the structure of a three-way helical junction that plays an important role in the hepatitis C virus internal ribosome entry site. By comparing matched pairs of duplex and junction species, we were able to measure the change in rotation at the junction. The data reveal a 29.5 overwinding and a small axial extension. This shows the power of this approach for measuring orientational information in biologically important RNA junctions.&quot;,&quot;container-title-short&quot;:&quot;&quot;},&quot;isTemporary&quot;:false},{&quot;id&quot;:&quot;aa297275-140f-3a0b-9cd4-462a78443f32&quot;,&quot;itemData&quot;:{&quot;type&quot;:&quot;article-journal&quot;,&quot;id&quot;:&quot;aa297275-140f-3a0b-9cd4-462a78443f32&quot;,&quot;title&quot;:&quot;Orientation dependence in fluorescent energy transfer between Cy3 and Cy5 terminally attached to double-stranded nucleic acids&quot;,&quot;groupId&quot;:&quot;88dc5409-24af-3290-b42f-000b3bceb11e&quot;,&quot;author&quot;:[{&quot;family&quot;:&quot;Iqbal&quot;,&quot;given&quot;:&quot;Asif&quot;,&quot;parse-names&quot;:false,&quot;dropping-particle&quot;:&quot;&quot;,&quot;non-dropping-particle&quot;:&quot;&quot;},{&quot;family&quot;:&quot;Arslan&quot;,&quot;given&quot;:&quot;Sinan&quot;,&quot;parse-names&quot;:false,&quot;dropping-particle&quot;:&quot;&quot;,&quot;non-dropping-particle&quot;:&quot;&quot;},{&quot;family&quot;:&quot;Okumus&quot;,&quot;given&quot;:&quot;Burak&quot;,&quot;parse-names&quot;:false,&quot;dropping-particle&quot;:&quot;&quot;,&quot;non-dropping-particle&quot;:&quot;&quot;},{&quot;family&quot;:&quot;Wilson&quot;,&quot;given&quot;:&quot;Timothy J.&quot;,&quot;parse-names&quot;:false,&quot;dropping-particle&quot;:&quot;&quot;,&quot;non-dropping-particle&quot;:&quot;&quot;},{&quot;family&quot;:&quot;Giraud&quot;,&quot;given&quot;:&quot;Gerard&quot;,&quot;parse-names&quot;:false,&quot;dropping-particle&quot;:&quot;&quot;,&quot;non-dropping-particle&quot;:&quot;&quot;},{&quot;family&quot;:&quot;Norman&quot;,&quot;given&quot;:&quot;David G.&quot;,&quot;parse-names&quot;:false,&quot;dropping-particle&quot;:&quot;&quot;,&quot;non-dropping-particle&quot;:&quot;&quot;},{&quot;family&quot;:&quot;Ha&quot;,&quot;given&quot;:&quot;Taekjip&quot;,&quot;parse-names&quot;:false,&quot;dropping-particle&quot;:&quot;&quot;,&quot;non-dropping-particle&quot;:&quot;&quot;},{&quot;family&quot;:&quot;Lilley&quot;,&quot;given&quot;:&quot;David M.J.&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2,11,17]]},&quot;DOI&quot;:&quot;10.1073/PNAS.0801707105&quot;,&quot;ISSN&quot;:&quot;00278424&quot;,&quot;PMID&quot;:&quot;18676615&quot;,&quot;URL&quot;:&quot;/pmc/articles/PMC2516210/&quot;,&quot;issued&quot;:{&quot;date-parts&quot;:[[2008,8,8]]},&quot;page&quot;:&quot;11176&quot;,&quot;abstract&quot;:&quot;We have found that the efficiency of fluorescence resonance energy transfer between Cy3 and Cy5 terminally attached to the 5′ ends of a DNA duplex is significantly affected by the relative orientation of the two fluorophores. The cyanine fluorophores are predominantly stacked on the ends of the helix in the manner of an additional base pair, and thus their relative orientation depends on the length of the helix. Observed fluorescence resonance energy transfer (FRET) efficiency depends on the length of the helix, as well as its helical periodicity. By changing the helical geometry from B form double-stranded DNA to A form hybrid RNA/DNA, a marked phase shift occurs in the modulation of FRET efficiency with helix length. Both curves are well explained by the standard geometry of B and A form helices. The observed modulation for both polymers is less than that calculated for a fully rigid attachment of the fluorophores. However, a model involving lateral mobility of the fluorophores on the ends of the helix explains the observed experimental data. This has been further modified to take account of a minor fraction of unstacked fluorophore observed by fluorescent lifetime measurements. Our data unequivocally establish that Förster transfer obeys the orientation dependence as expected for a dipole-dipole interaction. © 2008 by The National Academy of Sciences of the USA.&quot;,&quot;publisher&quot;:&quot;National Academy of Sciences&quot;,&quot;issue&quot;:&quot;32&quot;,&quot;volume&quot;:&quot;105&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BF439-0013-F341-800E-ADA8816E3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George</dc:creator>
  <cp:keywords/>
  <dc:description/>
  <cp:lastModifiedBy>Rueda, David S</cp:lastModifiedBy>
  <cp:revision>12</cp:revision>
  <dcterms:created xsi:type="dcterms:W3CDTF">2022-08-23T09:53:00Z</dcterms:created>
  <dcterms:modified xsi:type="dcterms:W3CDTF">2022-11-17T15:05:00Z</dcterms:modified>
</cp:coreProperties>
</file>