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D329" w14:textId="4ED5CA31" w:rsidR="00B87880" w:rsidRPr="001554A2" w:rsidRDefault="00396B00" w:rsidP="008444C5">
      <w:pPr>
        <w:rPr>
          <w:b/>
          <w:sz w:val="32"/>
          <w:lang w:val="en-GB"/>
        </w:rPr>
      </w:pPr>
      <w:r w:rsidRPr="001554A2">
        <w:rPr>
          <w:b/>
          <w:sz w:val="32"/>
          <w:lang w:val="en-GB"/>
        </w:rPr>
        <w:t>Appendix</w:t>
      </w:r>
    </w:p>
    <w:p w14:paraId="6F7C3B47" w14:textId="77777777" w:rsidR="00E36C30" w:rsidRPr="0093428E" w:rsidRDefault="00E36C30" w:rsidP="00E36C30">
      <w:pPr>
        <w:rPr>
          <w:rFonts w:cs="Arial"/>
          <w:b/>
          <w:bCs/>
          <w:color w:val="000000" w:themeColor="text1"/>
          <w:kern w:val="32"/>
          <w:sz w:val="32"/>
          <w:szCs w:val="32"/>
          <w:lang w:val="en-GB"/>
        </w:rPr>
      </w:pPr>
      <w:r w:rsidRPr="0093428E">
        <w:rPr>
          <w:rFonts w:cs="Arial"/>
          <w:b/>
          <w:bCs/>
          <w:color w:val="000000" w:themeColor="text1"/>
          <w:kern w:val="32"/>
          <w:sz w:val="32"/>
          <w:szCs w:val="32"/>
          <w:lang w:val="en-GB"/>
        </w:rPr>
        <w:t>Late Stroke After Transcatheter Aortic Valve Replacement: A Nationwide Study</w:t>
      </w:r>
    </w:p>
    <w:p w14:paraId="3CA4DFC7" w14:textId="596CD886" w:rsidR="00C14F20" w:rsidRPr="001554A2" w:rsidRDefault="00C14F20" w:rsidP="00396B00">
      <w:pPr>
        <w:rPr>
          <w:rFonts w:cs="Arial"/>
          <w:b/>
          <w:bCs/>
          <w:kern w:val="32"/>
          <w:sz w:val="36"/>
          <w:szCs w:val="32"/>
          <w:lang w:val="en-GB"/>
        </w:rPr>
      </w:pPr>
      <w:proofErr w:type="spellStart"/>
      <w:r w:rsidRPr="001554A2">
        <w:rPr>
          <w:sz w:val="24"/>
          <w:lang w:val="en-GB"/>
        </w:rPr>
        <w:t>SWEdish</w:t>
      </w:r>
      <w:proofErr w:type="spellEnd"/>
      <w:r w:rsidRPr="001554A2">
        <w:rPr>
          <w:sz w:val="24"/>
          <w:lang w:val="en-GB"/>
        </w:rPr>
        <w:t xml:space="preserve"> study on Stroke After </w:t>
      </w:r>
      <w:r w:rsidR="00747311" w:rsidRPr="001554A2">
        <w:rPr>
          <w:sz w:val="24"/>
          <w:lang w:val="en-GB"/>
        </w:rPr>
        <w:t>TAVI</w:t>
      </w:r>
      <w:r w:rsidRPr="001554A2">
        <w:rPr>
          <w:sz w:val="24"/>
          <w:lang w:val="en-GB"/>
        </w:rPr>
        <w:t xml:space="preserve"> (SWESTAT)</w:t>
      </w:r>
    </w:p>
    <w:p w14:paraId="03C0B917" w14:textId="77777777" w:rsidR="00C14F20" w:rsidRPr="001554A2" w:rsidRDefault="00C14F20" w:rsidP="00396B00">
      <w:pPr>
        <w:rPr>
          <w:rFonts w:cs="Arial"/>
          <w:b/>
          <w:bCs/>
          <w:sz w:val="32"/>
          <w:szCs w:val="32"/>
          <w:lang w:val="en-GB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2250"/>
        <w:gridCol w:w="6285"/>
      </w:tblGrid>
      <w:tr w:rsidR="00C81938" w:rsidRPr="001554A2" w14:paraId="1DF02666" w14:textId="77777777" w:rsidTr="006F717E">
        <w:trPr>
          <w:trHeight w:val="117"/>
        </w:trPr>
        <w:tc>
          <w:tcPr>
            <w:tcW w:w="450" w:type="dxa"/>
          </w:tcPr>
          <w:p w14:paraId="6C857A42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57B02339" w14:textId="77777777" w:rsidR="00C81938" w:rsidRPr="001554A2" w:rsidRDefault="00C81938" w:rsidP="006F717E">
            <w:pPr>
              <w:rPr>
                <w:rFonts w:asciiTheme="minorHAnsi" w:hAnsiTheme="minorHAnsi" w:cstheme="minorHAnsi"/>
                <w:b/>
                <w:sz w:val="22"/>
                <w:szCs w:val="20"/>
                <w:lang w:val="en-GB"/>
              </w:rPr>
            </w:pPr>
            <w:r w:rsidRPr="001554A2">
              <w:rPr>
                <w:rFonts w:asciiTheme="minorHAnsi" w:hAnsiTheme="minorHAnsi" w:cstheme="minorHAnsi"/>
                <w:b/>
                <w:sz w:val="22"/>
                <w:szCs w:val="20"/>
                <w:lang w:val="en-GB"/>
              </w:rPr>
              <w:t>Name, Degree(s)</w:t>
            </w:r>
          </w:p>
        </w:tc>
        <w:tc>
          <w:tcPr>
            <w:tcW w:w="6285" w:type="dxa"/>
          </w:tcPr>
          <w:p w14:paraId="1B441541" w14:textId="77777777" w:rsidR="00C81938" w:rsidRPr="001554A2" w:rsidRDefault="00C81938" w:rsidP="006F717E">
            <w:pPr>
              <w:rPr>
                <w:rFonts w:asciiTheme="minorHAnsi" w:hAnsiTheme="minorHAnsi" w:cstheme="minorHAnsi"/>
                <w:b/>
                <w:sz w:val="22"/>
                <w:szCs w:val="20"/>
                <w:lang w:val="en-GB"/>
              </w:rPr>
            </w:pPr>
            <w:r w:rsidRPr="001554A2">
              <w:rPr>
                <w:rFonts w:asciiTheme="minorHAnsi" w:hAnsiTheme="minorHAnsi" w:cstheme="minorHAnsi"/>
                <w:b/>
                <w:sz w:val="22"/>
                <w:szCs w:val="20"/>
                <w:lang w:val="en-GB"/>
              </w:rPr>
              <w:t>Institution, City, Country, email</w:t>
            </w:r>
          </w:p>
        </w:tc>
      </w:tr>
      <w:tr w:rsidR="00C81938" w:rsidRPr="00E36C30" w14:paraId="28C86C18" w14:textId="77777777" w:rsidTr="006F717E">
        <w:trPr>
          <w:trHeight w:val="117"/>
        </w:trPr>
        <w:tc>
          <w:tcPr>
            <w:tcW w:w="450" w:type="dxa"/>
            <w:shd w:val="clear" w:color="auto" w:fill="auto"/>
          </w:tcPr>
          <w:p w14:paraId="20FDCAFB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4360D44D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Henrik Bjursten MD PhD</w:t>
            </w:r>
          </w:p>
        </w:tc>
        <w:tc>
          <w:tcPr>
            <w:tcW w:w="6285" w:type="dxa"/>
            <w:shd w:val="clear" w:color="auto" w:fill="auto"/>
          </w:tcPr>
          <w:p w14:paraId="74BD74FF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Lund University, Department of Cardiothoracic Surgery, </w:t>
            </w:r>
            <w:proofErr w:type="spellStart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Skåne</w:t>
            </w:r>
            <w:proofErr w:type="spellEnd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University Hospital, Lund, Sweden.</w:t>
            </w:r>
          </w:p>
          <w:p w14:paraId="233E517A" w14:textId="77777777" w:rsidR="00C81938" w:rsidRPr="001554A2" w:rsidRDefault="00E36C30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hyperlink r:id="rId5" w:history="1">
              <w:r w:rsidR="00C81938" w:rsidRPr="001554A2"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t>henrik.bjursten@med.lu.se</w:t>
              </w:r>
            </w:hyperlink>
          </w:p>
        </w:tc>
      </w:tr>
      <w:tr w:rsidR="00C81938" w:rsidRPr="00E36C30" w14:paraId="441649BF" w14:textId="77777777" w:rsidTr="006F717E">
        <w:trPr>
          <w:trHeight w:val="117"/>
        </w:trPr>
        <w:tc>
          <w:tcPr>
            <w:tcW w:w="450" w:type="dxa"/>
            <w:shd w:val="clear" w:color="auto" w:fill="auto"/>
          </w:tcPr>
          <w:p w14:paraId="2BE7A618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14:paraId="70DBA43B" w14:textId="77777777" w:rsidR="00C81938" w:rsidRPr="00902B90" w:rsidRDefault="00C81938" w:rsidP="006F717E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02B90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Professor Bo </w:t>
            </w:r>
            <w:proofErr w:type="spellStart"/>
            <w:r w:rsidRPr="00902B90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Norrving</w:t>
            </w:r>
            <w:proofErr w:type="spellEnd"/>
            <w:r w:rsidRPr="00902B90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MD PhD</w:t>
            </w:r>
          </w:p>
        </w:tc>
        <w:tc>
          <w:tcPr>
            <w:tcW w:w="6285" w:type="dxa"/>
            <w:shd w:val="clear" w:color="auto" w:fill="auto"/>
          </w:tcPr>
          <w:p w14:paraId="35387082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GB"/>
              </w:rPr>
              <w:t xml:space="preserve">Lund University, Department of Clinical Sciences Lund, Neurology, </w:t>
            </w:r>
            <w:proofErr w:type="spellStart"/>
            <w:r w:rsidRPr="001554A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GB"/>
              </w:rPr>
              <w:t>Skåne</w:t>
            </w:r>
            <w:proofErr w:type="spellEnd"/>
            <w:r w:rsidRPr="001554A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GB"/>
              </w:rPr>
              <w:t xml:space="preserve"> University Hospital, Lund, Sweden</w:t>
            </w:r>
          </w:p>
          <w:p w14:paraId="5140F57B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bo.norrving@med.lu.se</w:t>
            </w:r>
          </w:p>
        </w:tc>
      </w:tr>
      <w:tr w:rsidR="00C81938" w:rsidRPr="00E36C30" w14:paraId="1C4336EE" w14:textId="77777777" w:rsidTr="006F717E">
        <w:trPr>
          <w:trHeight w:val="124"/>
        </w:trPr>
        <w:tc>
          <w:tcPr>
            <w:tcW w:w="450" w:type="dxa"/>
            <w:shd w:val="clear" w:color="auto" w:fill="auto"/>
          </w:tcPr>
          <w:p w14:paraId="26180AF7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14:paraId="036972C3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Sigurdur</w:t>
            </w:r>
            <w:proofErr w:type="spellEnd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Ragnarsson</w:t>
            </w:r>
            <w:proofErr w:type="spellEnd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MD PhD</w:t>
            </w:r>
          </w:p>
        </w:tc>
        <w:tc>
          <w:tcPr>
            <w:tcW w:w="6285" w:type="dxa"/>
            <w:shd w:val="clear" w:color="auto" w:fill="auto"/>
          </w:tcPr>
          <w:p w14:paraId="7F644BD2" w14:textId="77777777" w:rsidR="00C81938" w:rsidRPr="001554A2" w:rsidRDefault="00C81938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Lund University, Department of Cardiothoracic Surgery, </w:t>
            </w:r>
            <w:proofErr w:type="spellStart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Skåne</w:t>
            </w:r>
            <w:proofErr w:type="spellEnd"/>
            <w:r w:rsidRPr="001554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University Hospital, Lund, Sweden.</w:t>
            </w:r>
          </w:p>
          <w:p w14:paraId="45BDC534" w14:textId="77777777" w:rsidR="00C81938" w:rsidRPr="001554A2" w:rsidRDefault="00E36C30" w:rsidP="006F717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hyperlink r:id="rId6">
              <w:r w:rsidR="00C81938" w:rsidRPr="001554A2"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t>sigurdur.ragnarsson@med.lu.se</w:t>
              </w:r>
            </w:hyperlink>
          </w:p>
        </w:tc>
      </w:tr>
    </w:tbl>
    <w:p w14:paraId="0C12566C" w14:textId="77777777" w:rsidR="000B403F" w:rsidRPr="001554A2" w:rsidRDefault="000B403F">
      <w:pPr>
        <w:pStyle w:val="Innehllsfrteckningsrubrik"/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</w:pPr>
    </w:p>
    <w:p w14:paraId="368A134D" w14:textId="77777777" w:rsidR="000B403F" w:rsidRPr="001554A2" w:rsidRDefault="000B403F">
      <w:pPr>
        <w:pStyle w:val="Innehllsfrteckningsrubrik"/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-13144872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132EF0" w14:textId="77777777" w:rsidR="00862C0C" w:rsidRPr="001554A2" w:rsidRDefault="000B403F">
          <w:pPr>
            <w:pStyle w:val="Innehllsfrteckningsrubrik"/>
            <w:rPr>
              <w:lang w:val="en-GB"/>
            </w:rPr>
          </w:pPr>
          <w:r w:rsidRPr="001554A2">
            <w:rPr>
              <w:lang w:val="en-GB"/>
            </w:rPr>
            <w:t>Content</w:t>
          </w:r>
        </w:p>
        <w:p w14:paraId="6F4BBC22" w14:textId="32F43120" w:rsidR="00193E94" w:rsidRPr="001554A2" w:rsidRDefault="00862C0C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r w:rsidRPr="001554A2">
            <w:rPr>
              <w:lang w:val="en-GB"/>
            </w:rPr>
            <w:fldChar w:fldCharType="begin"/>
          </w:r>
          <w:r w:rsidRPr="001554A2">
            <w:rPr>
              <w:lang w:val="en-GB"/>
            </w:rPr>
            <w:instrText xml:space="preserve"> TOC \o "1-3" \h \z \u </w:instrText>
          </w:r>
          <w:r w:rsidRPr="001554A2">
            <w:rPr>
              <w:lang w:val="en-GB"/>
            </w:rPr>
            <w:fldChar w:fldCharType="separate"/>
          </w:r>
          <w:hyperlink w:anchor="_Toc23193753" w:history="1">
            <w:r w:rsidR="00193E94" w:rsidRPr="001554A2">
              <w:rPr>
                <w:rStyle w:val="Hyperlnk"/>
                <w:noProof/>
                <w:lang w:val="en-GB"/>
              </w:rPr>
              <w:t>Data Sources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_Toc23193753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2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477D49CE" w14:textId="0B62D638" w:rsidR="00193E94" w:rsidRPr="001554A2" w:rsidRDefault="00E36C30">
          <w:pPr>
            <w:pStyle w:val="Innehll2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54" w:history="1">
            <w:r w:rsidR="00193E94" w:rsidRPr="001554A2">
              <w:rPr>
                <w:rStyle w:val="Hyperlnk"/>
                <w:noProof/>
                <w:lang w:val="en-GB"/>
              </w:rPr>
              <w:t>SWENTRY registry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_Toc23193754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2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C853B94" w14:textId="1DC1F375" w:rsidR="00193E94" w:rsidRPr="001554A2" w:rsidRDefault="00E36C30">
          <w:pPr>
            <w:pStyle w:val="Innehll2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55" w:history="1">
            <w:r w:rsidR="00193E94" w:rsidRPr="001554A2">
              <w:rPr>
                <w:rStyle w:val="Hyperlnk"/>
                <w:noProof/>
                <w:lang w:val="en-GB"/>
              </w:rPr>
              <w:t>NPR registry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_Toc23193755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2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E4B6B25" w14:textId="736C16A6" w:rsidR="00193E94" w:rsidRPr="001554A2" w:rsidRDefault="00E36C30">
          <w:pPr>
            <w:pStyle w:val="Innehll2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56" w:history="1">
            <w:r w:rsidR="00193E94" w:rsidRPr="001554A2">
              <w:rPr>
                <w:rStyle w:val="Hyperlnk"/>
                <w:noProof/>
                <w:lang w:val="en-GB"/>
              </w:rPr>
              <w:t>Riksstroke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_Toc23193756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2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E5A1DC4" w14:textId="7A31B97F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57" w:history="1">
            <w:r w:rsidR="00193E94" w:rsidRPr="001554A2">
              <w:rPr>
                <w:rStyle w:val="Hyperlnk"/>
                <w:noProof/>
                <w:lang w:val="en-GB"/>
              </w:rPr>
              <w:t>Method for estimating standardized incidence for the study cohort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_Toc23193757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4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234D24D" w14:textId="07CBA836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58" w:history="1">
            <w:r w:rsidR="00193E94" w:rsidRPr="001554A2">
              <w:rPr>
                <w:rStyle w:val="Hyperlnk"/>
                <w:noProof/>
                <w:lang w:val="en-GB"/>
              </w:rPr>
              <w:t>eTable 1 – Variables used in the analysis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_Toc23193758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6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F74B59B" w14:textId="7E17AF00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59" w:history="1">
            <w:r w:rsidR="00193E94" w:rsidRPr="001554A2">
              <w:rPr>
                <w:rStyle w:val="Hyperlnk"/>
                <w:noProof/>
                <w:lang w:val="en-GB"/>
              </w:rPr>
              <w:t>eTable 2 – Implantations per valve type and year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_Toc23193759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8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5B67C8C8" w14:textId="173B613F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0" w:history="1">
            <w:r w:rsidR="00193E94" w:rsidRPr="001554A2">
              <w:rPr>
                <w:rStyle w:val="Hyperlnk"/>
                <w:noProof/>
                <w:lang w:val="en-GB"/>
              </w:rPr>
              <w:t xml:space="preserve">eTable 3 – Hazard rate and standardized incidence for stroke after </w:t>
            </w:r>
            <w:r w:rsidR="00747311" w:rsidRPr="001554A2">
              <w:rPr>
                <w:rStyle w:val="Hyperlnk"/>
                <w:noProof/>
                <w:lang w:val="en-GB"/>
              </w:rPr>
              <w:t>TAVI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_Toc23193760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9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378E99D1" w14:textId="35C23EF5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1" w:history="1">
            <w:r w:rsidR="00193E94" w:rsidRPr="001554A2">
              <w:rPr>
                <w:rStyle w:val="Hyperlnk"/>
                <w:noProof/>
                <w:lang w:val="en-GB"/>
              </w:rPr>
              <w:t>eTable 4 – Risk factors for 30-day death after stroke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_Toc23193761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10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4AFB5BF" w14:textId="23847ACB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2" w:history="1">
            <w:r w:rsidR="00193E94" w:rsidRPr="001554A2">
              <w:rPr>
                <w:rStyle w:val="Hyperlnk"/>
                <w:noProof/>
                <w:lang w:val="en-GB"/>
              </w:rPr>
              <w:t>eTable 5 – Risk factors for 1-year death after stroke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_Toc23193762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11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3DC63E4" w14:textId="461D1FA5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3" w:history="1">
            <w:r w:rsidR="00193E94" w:rsidRPr="001554A2">
              <w:rPr>
                <w:rStyle w:val="Hyperlnk"/>
                <w:noProof/>
                <w:lang w:val="en-GB"/>
              </w:rPr>
              <w:t>eTable 6 – Atrial fibrillation and stroke patients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_Toc23193763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12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8F0CCEA" w14:textId="412B5455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4" w:history="1">
            <w:r w:rsidR="00193E94" w:rsidRPr="001554A2">
              <w:rPr>
                <w:rStyle w:val="Hyperlnk"/>
                <w:noProof/>
                <w:lang w:val="en-GB"/>
              </w:rPr>
              <w:t>eTable 7 – Competing risk analysis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_Toc23193764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13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8F1F17F" w14:textId="52494ECE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5" w:history="1">
            <w:r w:rsidR="00193E94" w:rsidRPr="001554A2">
              <w:rPr>
                <w:rStyle w:val="Hyperlnk"/>
                <w:noProof/>
                <w:lang w:val="en-GB"/>
              </w:rPr>
              <w:t>eFigure 1 - Risk of developing stroke based on eGFR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_Toc23193765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14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4CA495D" w14:textId="3561DE31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6" w:history="1">
            <w:r w:rsidR="00193E94" w:rsidRPr="001554A2">
              <w:rPr>
                <w:rStyle w:val="Hyperlnk"/>
                <w:noProof/>
                <w:lang w:val="en-GB"/>
              </w:rPr>
              <w:t>eFigure 2 – Survival after stroke based on ischemic or hemorrhagic stroke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_Toc23193766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15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F6D3F6A" w14:textId="757D2AF7" w:rsidR="00193E94" w:rsidRPr="001554A2" w:rsidRDefault="00E36C30">
          <w:pPr>
            <w:pStyle w:val="Innehll1"/>
            <w:tabs>
              <w:tab w:val="right" w:leader="dot" w:pos="9486"/>
            </w:tabs>
            <w:rPr>
              <w:rFonts w:eastAsiaTheme="minorEastAsia"/>
              <w:noProof/>
              <w:sz w:val="24"/>
              <w:szCs w:val="24"/>
              <w:lang w:val="en-GB" w:eastAsia="sv-SE"/>
            </w:rPr>
          </w:pPr>
          <w:hyperlink w:anchor="_Toc23193767" w:history="1">
            <w:r w:rsidR="00193E94" w:rsidRPr="001554A2">
              <w:rPr>
                <w:rStyle w:val="Hyperlnk"/>
                <w:noProof/>
                <w:lang w:val="en-GB"/>
              </w:rPr>
              <w:t>References</w:t>
            </w:r>
            <w:r w:rsidR="00193E94" w:rsidRPr="001554A2">
              <w:rPr>
                <w:noProof/>
                <w:webHidden/>
                <w:lang w:val="en-GB"/>
              </w:rPr>
              <w:tab/>
            </w:r>
            <w:r w:rsidR="00193E94" w:rsidRPr="001554A2">
              <w:rPr>
                <w:noProof/>
                <w:webHidden/>
                <w:lang w:val="en-GB"/>
              </w:rPr>
              <w:fldChar w:fldCharType="begin"/>
            </w:r>
            <w:r w:rsidR="00193E94" w:rsidRPr="001554A2">
              <w:rPr>
                <w:noProof/>
                <w:webHidden/>
                <w:lang w:val="en-GB"/>
              </w:rPr>
              <w:instrText xml:space="preserve"> PAGEREF _Toc23193767 \h </w:instrText>
            </w:r>
            <w:r w:rsidR="00193E94" w:rsidRPr="001554A2">
              <w:rPr>
                <w:noProof/>
                <w:webHidden/>
                <w:lang w:val="en-GB"/>
              </w:rPr>
            </w:r>
            <w:r w:rsidR="00193E94" w:rsidRPr="001554A2">
              <w:rPr>
                <w:noProof/>
                <w:webHidden/>
                <w:lang w:val="en-GB"/>
              </w:rPr>
              <w:fldChar w:fldCharType="separate"/>
            </w:r>
            <w:r w:rsidR="00193E94" w:rsidRPr="001554A2">
              <w:rPr>
                <w:noProof/>
                <w:webHidden/>
                <w:lang w:val="en-GB"/>
              </w:rPr>
              <w:t>16</w:t>
            </w:r>
            <w:r w:rsidR="00193E94" w:rsidRPr="001554A2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434806E" w14:textId="61B4C739" w:rsidR="00862C0C" w:rsidRPr="001554A2" w:rsidRDefault="00862C0C">
          <w:pPr>
            <w:rPr>
              <w:lang w:val="en-GB"/>
            </w:rPr>
          </w:pPr>
          <w:r w:rsidRPr="001554A2">
            <w:rPr>
              <w:b/>
              <w:bCs/>
              <w:lang w:val="en-GB"/>
            </w:rPr>
            <w:fldChar w:fldCharType="end"/>
          </w:r>
        </w:p>
      </w:sdtContent>
    </w:sdt>
    <w:p w14:paraId="6D2FAB03" w14:textId="77777777" w:rsidR="00396B00" w:rsidRPr="001554A2" w:rsidRDefault="00396B00" w:rsidP="00862C0C">
      <w:pPr>
        <w:pStyle w:val="Rubrik1"/>
        <w:rPr>
          <w:lang w:val="en-GB"/>
        </w:rPr>
      </w:pPr>
      <w:r w:rsidRPr="001554A2">
        <w:rPr>
          <w:lang w:val="en-GB"/>
        </w:rPr>
        <w:br w:type="page"/>
      </w:r>
      <w:bookmarkStart w:id="0" w:name="_Toc23193753"/>
      <w:r w:rsidRPr="001554A2">
        <w:rPr>
          <w:lang w:val="en-GB"/>
        </w:rPr>
        <w:lastRenderedPageBreak/>
        <w:t>Data Sources</w:t>
      </w:r>
      <w:bookmarkEnd w:id="0"/>
    </w:p>
    <w:p w14:paraId="58C094FD" w14:textId="77777777" w:rsidR="00396B00" w:rsidRPr="001554A2" w:rsidRDefault="00396B00">
      <w:pPr>
        <w:rPr>
          <w:lang w:val="en-GB"/>
        </w:rPr>
      </w:pPr>
    </w:p>
    <w:p w14:paraId="6F209456" w14:textId="77777777" w:rsidR="00396B00" w:rsidRPr="001554A2" w:rsidRDefault="00396B00" w:rsidP="00396B00">
      <w:pPr>
        <w:pStyle w:val="Rubrik2"/>
        <w:rPr>
          <w:lang w:val="en-GB"/>
        </w:rPr>
      </w:pPr>
      <w:bookmarkStart w:id="1" w:name="_Toc23193754"/>
      <w:r w:rsidRPr="001554A2">
        <w:rPr>
          <w:lang w:val="en-GB"/>
        </w:rPr>
        <w:t>SWENTRY registry</w:t>
      </w:r>
      <w:bookmarkEnd w:id="1"/>
    </w:p>
    <w:p w14:paraId="4FE78CB2" w14:textId="77777777" w:rsidR="00396B00" w:rsidRPr="001554A2" w:rsidRDefault="00396B00">
      <w:pPr>
        <w:rPr>
          <w:lang w:val="en-GB"/>
        </w:rPr>
      </w:pPr>
    </w:p>
    <w:p w14:paraId="010D6069" w14:textId="1333E780" w:rsidR="00DC2205" w:rsidRPr="001554A2" w:rsidRDefault="00DC2205" w:rsidP="004D6203">
      <w:pPr>
        <w:spacing w:line="360" w:lineRule="auto"/>
        <w:rPr>
          <w:sz w:val="24"/>
          <w:szCs w:val="24"/>
          <w:lang w:val="en-GB"/>
        </w:rPr>
      </w:pPr>
      <w:r w:rsidRPr="001554A2">
        <w:rPr>
          <w:sz w:val="24"/>
          <w:szCs w:val="24"/>
          <w:lang w:val="en-GB"/>
        </w:rPr>
        <w:t xml:space="preserve">The SWEDEHEART registry (Swedish Web system for Enhancement and Development of Evidence-based care in Heart disease Evaluated According to Recommended Therapies) </w:t>
      </w:r>
      <w:r w:rsidR="00AE61B9" w:rsidRPr="001554A2">
        <w:rPr>
          <w:sz w:val="24"/>
          <w:szCs w:val="24"/>
          <w:lang w:val="en-GB"/>
        </w:rPr>
        <w:t xml:space="preserve">was founded </w:t>
      </w:r>
      <w:r w:rsidRPr="001554A2">
        <w:rPr>
          <w:sz w:val="24"/>
          <w:szCs w:val="24"/>
          <w:lang w:val="en-GB"/>
        </w:rPr>
        <w:t>in 1992 and now contain</w:t>
      </w:r>
      <w:r w:rsidR="00D10927" w:rsidRPr="001554A2">
        <w:rPr>
          <w:sz w:val="24"/>
          <w:szCs w:val="24"/>
          <w:lang w:val="en-GB"/>
        </w:rPr>
        <w:t>s</w:t>
      </w:r>
      <w:r w:rsidRPr="001554A2">
        <w:rPr>
          <w:sz w:val="24"/>
          <w:szCs w:val="24"/>
          <w:lang w:val="en-GB"/>
        </w:rPr>
        <w:t xml:space="preserve"> information </w:t>
      </w:r>
      <w:r w:rsidR="00D10927" w:rsidRPr="001554A2">
        <w:rPr>
          <w:sz w:val="24"/>
          <w:szCs w:val="24"/>
          <w:lang w:val="en-GB"/>
        </w:rPr>
        <w:t xml:space="preserve">on </w:t>
      </w:r>
      <w:r w:rsidRPr="001554A2">
        <w:rPr>
          <w:sz w:val="24"/>
          <w:szCs w:val="24"/>
          <w:lang w:val="en-GB"/>
        </w:rPr>
        <w:t xml:space="preserve">all patients undergoing coronary angiography, percutaneous coronary intervention, transcatheter aortic valve </w:t>
      </w:r>
      <w:r w:rsidR="001315E1" w:rsidRPr="001554A2">
        <w:rPr>
          <w:sz w:val="24"/>
          <w:szCs w:val="24"/>
          <w:lang w:val="en-GB"/>
        </w:rPr>
        <w:t>replacement</w:t>
      </w:r>
      <w:r w:rsidR="00D10927" w:rsidRPr="001554A2">
        <w:rPr>
          <w:sz w:val="24"/>
          <w:szCs w:val="24"/>
          <w:lang w:val="en-GB"/>
        </w:rPr>
        <w:t xml:space="preserve"> and </w:t>
      </w:r>
      <w:r w:rsidRPr="001554A2">
        <w:rPr>
          <w:sz w:val="24"/>
          <w:szCs w:val="24"/>
          <w:lang w:val="en-GB"/>
        </w:rPr>
        <w:t>cardiac surgery</w:t>
      </w:r>
      <w:r w:rsidR="00D10927" w:rsidRPr="001554A2">
        <w:rPr>
          <w:sz w:val="24"/>
          <w:szCs w:val="24"/>
          <w:lang w:val="en-GB"/>
        </w:rPr>
        <w:t xml:space="preserve"> as well as patients </w:t>
      </w:r>
      <w:r w:rsidRPr="001554A2">
        <w:rPr>
          <w:sz w:val="24"/>
          <w:szCs w:val="24"/>
          <w:lang w:val="en-GB"/>
        </w:rPr>
        <w:t xml:space="preserve">admitted to </w:t>
      </w:r>
      <w:r w:rsidR="00D10927" w:rsidRPr="001554A2">
        <w:rPr>
          <w:sz w:val="24"/>
          <w:szCs w:val="24"/>
          <w:lang w:val="en-GB"/>
        </w:rPr>
        <w:t xml:space="preserve">the </w:t>
      </w:r>
      <w:r w:rsidRPr="001554A2">
        <w:rPr>
          <w:sz w:val="24"/>
          <w:szCs w:val="24"/>
          <w:lang w:val="en-GB"/>
        </w:rPr>
        <w:t>cardiac intensive care unit</w:t>
      </w:r>
      <w:r w:rsidR="008C0A51" w:rsidRPr="001554A2">
        <w:rPr>
          <w:sz w:val="24"/>
          <w:szCs w:val="24"/>
          <w:lang w:val="en-GB"/>
        </w:rPr>
        <w:fldChar w:fldCharType="begin"/>
      </w:r>
      <w:r w:rsidR="001554A2">
        <w:rPr>
          <w:sz w:val="24"/>
          <w:szCs w:val="24"/>
          <w:lang w:val="en-GB"/>
        </w:rPr>
        <w:instrText xml:space="preserve"> ADDIN EN.CITE &lt;EndNote&gt;&lt;Cite&gt;&lt;Author&gt;Jernberg&lt;/Author&gt;&lt;Year&gt;2010&lt;/Year&gt;&lt;RecNum&gt;3249&lt;/RecNum&gt;&lt;DisplayText&gt;(1)&lt;/DisplayText&gt;&lt;record&gt;&lt;rec-number&gt;3249&lt;/rec-number&gt;&lt;foreign-keys&gt;&lt;key app="EN" db-id="2s5pewzsae50taed2e7prvaadf0fpv92t0re" timestamp="1554275548" guid="5fe0c270-48c0-47e3-8a3d-0610e0f43f80"&gt;3249&lt;/key&gt;&lt;/foreign-keys&gt;&lt;ref-type name="Journal Article"&gt;17&lt;/ref-type&gt;&lt;contributors&gt;&lt;authors&gt;&lt;author&gt;Jernberg, T.&lt;/author&gt;&lt;author&gt;Attebring, M. F.&lt;/author&gt;&lt;author&gt;Hambraeus, K.&lt;/author&gt;&lt;author&gt;Ivert, T.&lt;/author&gt;&lt;author&gt;James, S.&lt;/author&gt;&lt;author&gt;Jeppsson, A.&lt;/author&gt;&lt;author&gt;Lagerqvist, B.&lt;/author&gt;&lt;author&gt;Lindahl, B.&lt;/author&gt;&lt;author&gt;Stenestrand, U.&lt;/author&gt;&lt;author&gt;Wallentin, L.&lt;/author&gt;&lt;/authors&gt;&lt;/contributors&gt;&lt;auth-address&gt;Department of Cardiology, Karolinska University Hospital, Huddinge, Institution of Medicine (H7), Huddinge, Karolinska Institutet, Stockholm 141 86, Sweden. tomas.jernberg@karolinska.se&lt;/auth-address&gt;&lt;titles&gt;&lt;title&gt;The Swedish Web-system for enhancement and development of evidence-based care in heart disease evaluated according to recommended therapies (SWEDEHEART)&lt;/title&gt;&lt;secondary-title&gt;Heart&lt;/secondary-title&gt;&lt;/titles&gt;&lt;periodical&gt;&lt;full-title&gt;Heart&lt;/full-title&gt;&lt;abbr-1&gt;Heart&lt;/abbr-1&gt;&lt;/periodical&gt;&lt;pages&gt;1617-21&lt;/pages&gt;&lt;volume&gt;96&lt;/volume&gt;&lt;number&gt;20&lt;/number&gt;&lt;edition&gt;2010/08/31&lt;/edition&gt;&lt;keywords&gt;&lt;keyword&gt;Coronary Artery Disease/*therapy&lt;/keyword&gt;&lt;keyword&gt;Evidence-Based Medicine/*organization &amp;amp; administration&lt;/keyword&gt;&lt;keyword&gt;Humans&lt;/keyword&gt;&lt;keyword&gt;Internet&lt;/keyword&gt;&lt;keyword&gt;Registries&lt;/keyword&gt;&lt;keyword&gt;Sweden&lt;/keyword&gt;&lt;keyword&gt;Treatment Outcome&lt;/keyword&gt;&lt;/keywords&gt;&lt;dates&gt;&lt;year&gt;2010&lt;/year&gt;&lt;pub-dates&gt;&lt;date&gt;Oct&lt;/date&gt;&lt;/pub-dates&gt;&lt;/dates&gt;&lt;isbn&gt;1468-201X (Electronic)&amp;#xD;1355-6037 (Linking)&lt;/isbn&gt;&lt;accession-num&gt;20801780&lt;/accession-num&gt;&lt;urls&gt;&lt;related-urls&gt;&lt;url&gt;https://www.ncbi.nlm.nih.gov/pubmed/20801780&lt;/url&gt;&lt;/related-urls&gt;&lt;/urls&gt;&lt;electronic-resource-num&gt;10.1136/hrt.2010.198804&lt;/electronic-resource-num&gt;&lt;/record&gt;&lt;/Cite&gt;&lt;/EndNote&gt;</w:instrText>
      </w:r>
      <w:r w:rsidR="008C0A51" w:rsidRPr="001554A2">
        <w:rPr>
          <w:sz w:val="24"/>
          <w:szCs w:val="24"/>
          <w:lang w:val="en-GB"/>
        </w:rPr>
        <w:fldChar w:fldCharType="separate"/>
      </w:r>
      <w:r w:rsidR="001554A2">
        <w:rPr>
          <w:noProof/>
          <w:sz w:val="24"/>
          <w:szCs w:val="24"/>
          <w:lang w:val="en-GB"/>
        </w:rPr>
        <w:t>(1)</w:t>
      </w:r>
      <w:r w:rsidR="008C0A51" w:rsidRPr="001554A2">
        <w:rPr>
          <w:sz w:val="24"/>
          <w:szCs w:val="24"/>
          <w:lang w:val="en-GB"/>
        </w:rPr>
        <w:fldChar w:fldCharType="end"/>
      </w:r>
      <w:r w:rsidRPr="001554A2">
        <w:rPr>
          <w:sz w:val="24"/>
          <w:szCs w:val="24"/>
          <w:lang w:val="en-GB"/>
        </w:rPr>
        <w:t>. In 20</w:t>
      </w:r>
      <w:r w:rsidR="006D27AF" w:rsidRPr="001554A2">
        <w:rPr>
          <w:sz w:val="24"/>
          <w:szCs w:val="24"/>
          <w:lang w:val="en-GB"/>
        </w:rPr>
        <w:t>10</w:t>
      </w:r>
      <w:r w:rsidRPr="001554A2">
        <w:rPr>
          <w:sz w:val="24"/>
          <w:szCs w:val="24"/>
          <w:lang w:val="en-GB"/>
        </w:rPr>
        <w:t>, the SWENTRY registry (</w:t>
      </w:r>
      <w:proofErr w:type="spellStart"/>
      <w:r w:rsidRPr="001554A2">
        <w:rPr>
          <w:sz w:val="24"/>
          <w:szCs w:val="24"/>
          <w:lang w:val="en-GB"/>
        </w:rPr>
        <w:t>SWEdish</w:t>
      </w:r>
      <w:proofErr w:type="spellEnd"/>
      <w:r w:rsidRPr="001554A2">
        <w:rPr>
          <w:sz w:val="24"/>
          <w:szCs w:val="24"/>
          <w:lang w:val="en-GB"/>
        </w:rPr>
        <w:t xml:space="preserve"> </w:t>
      </w:r>
      <w:proofErr w:type="spellStart"/>
      <w:r w:rsidRPr="001554A2">
        <w:rPr>
          <w:sz w:val="24"/>
          <w:szCs w:val="24"/>
          <w:lang w:val="en-GB"/>
        </w:rPr>
        <w:t>traNscatheter</w:t>
      </w:r>
      <w:proofErr w:type="spellEnd"/>
      <w:r w:rsidRPr="001554A2">
        <w:rPr>
          <w:sz w:val="24"/>
          <w:szCs w:val="24"/>
          <w:lang w:val="en-GB"/>
        </w:rPr>
        <w:t xml:space="preserve"> cardiac intervention </w:t>
      </w:r>
      <w:proofErr w:type="spellStart"/>
      <w:r w:rsidRPr="001554A2">
        <w:rPr>
          <w:sz w:val="24"/>
          <w:szCs w:val="24"/>
          <w:lang w:val="en-GB"/>
        </w:rPr>
        <w:t>regisTRY</w:t>
      </w:r>
      <w:proofErr w:type="spellEnd"/>
      <w:r w:rsidRPr="001554A2">
        <w:rPr>
          <w:sz w:val="24"/>
          <w:szCs w:val="24"/>
          <w:lang w:val="en-GB"/>
        </w:rPr>
        <w:t>) was added to the SWEDEH</w:t>
      </w:r>
      <w:r w:rsidR="00AE61B9" w:rsidRPr="001554A2">
        <w:rPr>
          <w:sz w:val="24"/>
          <w:szCs w:val="24"/>
          <w:lang w:val="en-GB"/>
        </w:rPr>
        <w:t>E</w:t>
      </w:r>
      <w:r w:rsidRPr="001554A2">
        <w:rPr>
          <w:sz w:val="24"/>
          <w:szCs w:val="24"/>
          <w:lang w:val="en-GB"/>
        </w:rPr>
        <w:t xml:space="preserve">ART registry. </w:t>
      </w:r>
      <w:r w:rsidR="006F717E" w:rsidRPr="001554A2">
        <w:rPr>
          <w:sz w:val="24"/>
          <w:szCs w:val="24"/>
          <w:lang w:val="en-GB"/>
        </w:rPr>
        <w:t xml:space="preserve">As the </w:t>
      </w:r>
      <w:r w:rsidR="006D27AF" w:rsidRPr="001554A2">
        <w:rPr>
          <w:sz w:val="24"/>
          <w:szCs w:val="24"/>
          <w:lang w:val="en-GB"/>
        </w:rPr>
        <w:t xml:space="preserve">first </w:t>
      </w:r>
      <w:r w:rsidR="00747311" w:rsidRPr="001554A2">
        <w:rPr>
          <w:sz w:val="24"/>
          <w:szCs w:val="24"/>
          <w:lang w:val="en-GB"/>
        </w:rPr>
        <w:t>TAVI</w:t>
      </w:r>
      <w:r w:rsidR="006D27AF" w:rsidRPr="001554A2">
        <w:rPr>
          <w:sz w:val="24"/>
          <w:szCs w:val="24"/>
          <w:lang w:val="en-GB"/>
        </w:rPr>
        <w:t xml:space="preserve"> procedures were performed in 2008, data for the years 2008-2009 was entered retrospectively. From 2010</w:t>
      </w:r>
      <w:r w:rsidR="006F717E" w:rsidRPr="001554A2">
        <w:rPr>
          <w:sz w:val="24"/>
          <w:szCs w:val="24"/>
          <w:lang w:val="en-GB"/>
        </w:rPr>
        <w:t>,</w:t>
      </w:r>
      <w:r w:rsidR="006D27AF" w:rsidRPr="001554A2">
        <w:rPr>
          <w:sz w:val="24"/>
          <w:szCs w:val="24"/>
          <w:lang w:val="en-GB"/>
        </w:rPr>
        <w:t xml:space="preserve"> data have been added prospectively. </w:t>
      </w:r>
      <w:r w:rsidR="001315E1" w:rsidRPr="001554A2">
        <w:rPr>
          <w:sz w:val="24"/>
          <w:szCs w:val="24"/>
          <w:lang w:val="en-GB"/>
        </w:rPr>
        <w:t xml:space="preserve">The registry contains pre-procedural data, procedural data and outcome data at 30 days. </w:t>
      </w:r>
      <w:r w:rsidRPr="001554A2">
        <w:rPr>
          <w:sz w:val="24"/>
          <w:szCs w:val="24"/>
          <w:lang w:val="en-GB"/>
        </w:rPr>
        <w:t xml:space="preserve">All </w:t>
      </w:r>
      <w:r w:rsidR="001554A2" w:rsidRPr="001554A2">
        <w:rPr>
          <w:sz w:val="24"/>
          <w:szCs w:val="24"/>
          <w:lang w:val="en-GB"/>
        </w:rPr>
        <w:t>centres</w:t>
      </w:r>
      <w:r w:rsidRPr="001554A2">
        <w:rPr>
          <w:sz w:val="24"/>
          <w:szCs w:val="24"/>
          <w:lang w:val="en-GB"/>
        </w:rPr>
        <w:t xml:space="preserve"> performing </w:t>
      </w:r>
      <w:r w:rsidR="00747311" w:rsidRPr="001554A2">
        <w:rPr>
          <w:sz w:val="24"/>
          <w:szCs w:val="24"/>
          <w:lang w:val="en-GB"/>
        </w:rPr>
        <w:t>TAVI</w:t>
      </w:r>
      <w:r w:rsidRPr="001554A2">
        <w:rPr>
          <w:sz w:val="24"/>
          <w:szCs w:val="24"/>
          <w:lang w:val="en-GB"/>
        </w:rPr>
        <w:t xml:space="preserve"> enter all procedures performed. </w:t>
      </w:r>
      <w:r w:rsidR="004D6203" w:rsidRPr="001554A2">
        <w:rPr>
          <w:sz w:val="24"/>
          <w:szCs w:val="24"/>
          <w:lang w:val="en-GB"/>
        </w:rPr>
        <w:t xml:space="preserve">This registry also </w:t>
      </w:r>
      <w:r w:rsidR="006F717E" w:rsidRPr="001554A2">
        <w:rPr>
          <w:sz w:val="24"/>
          <w:szCs w:val="24"/>
          <w:lang w:val="en-GB"/>
        </w:rPr>
        <w:t xml:space="preserve">is </w:t>
      </w:r>
      <w:r w:rsidR="004D6203" w:rsidRPr="001554A2">
        <w:rPr>
          <w:sz w:val="24"/>
          <w:szCs w:val="24"/>
          <w:lang w:val="en-GB"/>
        </w:rPr>
        <w:t>updated</w:t>
      </w:r>
      <w:r w:rsidR="00D10927" w:rsidRPr="001554A2">
        <w:rPr>
          <w:sz w:val="24"/>
          <w:szCs w:val="24"/>
          <w:lang w:val="en-GB"/>
        </w:rPr>
        <w:t xml:space="preserve"> on a weekly basis </w:t>
      </w:r>
      <w:r w:rsidR="004D6203" w:rsidRPr="001554A2">
        <w:rPr>
          <w:sz w:val="24"/>
          <w:szCs w:val="24"/>
          <w:lang w:val="en-GB"/>
        </w:rPr>
        <w:t xml:space="preserve">against the national tax registry for deaths. </w:t>
      </w:r>
    </w:p>
    <w:p w14:paraId="79384427" w14:textId="77777777" w:rsidR="00DC2205" w:rsidRPr="001554A2" w:rsidRDefault="00DC2205" w:rsidP="00396B00">
      <w:pPr>
        <w:pStyle w:val="Rubrik2"/>
        <w:rPr>
          <w:lang w:val="en-GB"/>
        </w:rPr>
      </w:pPr>
    </w:p>
    <w:p w14:paraId="7E9B8C38" w14:textId="1C0BAEE9" w:rsidR="00396B00" w:rsidRPr="001554A2" w:rsidRDefault="008C0A51" w:rsidP="00396B00">
      <w:pPr>
        <w:pStyle w:val="Rubrik2"/>
        <w:rPr>
          <w:lang w:val="en-GB"/>
        </w:rPr>
      </w:pPr>
      <w:bookmarkStart w:id="2" w:name="_Toc23193755"/>
      <w:r w:rsidRPr="001554A2">
        <w:rPr>
          <w:lang w:val="en-GB"/>
        </w:rPr>
        <w:t>NPR</w:t>
      </w:r>
      <w:r w:rsidR="00802F93" w:rsidRPr="001554A2">
        <w:rPr>
          <w:lang w:val="en-GB"/>
        </w:rPr>
        <w:t xml:space="preserve"> registry</w:t>
      </w:r>
      <w:bookmarkEnd w:id="2"/>
    </w:p>
    <w:p w14:paraId="305F360F" w14:textId="2931C74B" w:rsidR="004D6203" w:rsidRPr="001554A2" w:rsidRDefault="00DC2205" w:rsidP="004D6203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1554A2">
        <w:rPr>
          <w:rFonts w:asciiTheme="minorHAnsi" w:hAnsiTheme="minorHAnsi" w:cstheme="minorHAnsi"/>
          <w:lang w:val="en-GB"/>
        </w:rPr>
        <w:t>The Swedish National Patient Register</w:t>
      </w:r>
      <w:r w:rsidR="008C0A51" w:rsidRPr="001554A2">
        <w:rPr>
          <w:rFonts w:asciiTheme="minorHAnsi" w:hAnsiTheme="minorHAnsi" w:cstheme="minorHAnsi"/>
          <w:lang w:val="en-GB"/>
        </w:rPr>
        <w:t xml:space="preserve"> (NPR)</w:t>
      </w:r>
      <w:r w:rsidRPr="001554A2">
        <w:rPr>
          <w:rFonts w:asciiTheme="minorHAnsi" w:hAnsiTheme="minorHAnsi" w:cstheme="minorHAnsi"/>
          <w:lang w:val="en-GB"/>
        </w:rPr>
        <w:t xml:space="preserve"> is maintained by a government agency, the Swedish National Board of Health and Welfare</w:t>
      </w:r>
      <w:r w:rsidR="00D10927" w:rsidRPr="001554A2">
        <w:rPr>
          <w:rFonts w:asciiTheme="minorHAnsi" w:hAnsiTheme="minorHAnsi" w:cstheme="minorHAnsi"/>
          <w:lang w:val="en-GB"/>
        </w:rPr>
        <w:t>,</w:t>
      </w:r>
      <w:r w:rsidR="00862C0C" w:rsidRPr="001554A2">
        <w:rPr>
          <w:rFonts w:asciiTheme="minorHAnsi" w:hAnsiTheme="minorHAnsi" w:cstheme="minorHAnsi"/>
          <w:lang w:val="en-GB"/>
        </w:rPr>
        <w:t xml:space="preserve"> and was </w:t>
      </w:r>
      <w:r w:rsidR="00AE61B9" w:rsidRPr="001554A2">
        <w:rPr>
          <w:rFonts w:asciiTheme="minorHAnsi" w:hAnsiTheme="minorHAnsi" w:cstheme="minorHAnsi"/>
          <w:lang w:val="en-GB"/>
        </w:rPr>
        <w:t xml:space="preserve">founded </w:t>
      </w:r>
      <w:r w:rsidR="00862C0C" w:rsidRPr="001554A2">
        <w:rPr>
          <w:rFonts w:asciiTheme="minorHAnsi" w:hAnsiTheme="minorHAnsi" w:cstheme="minorHAnsi"/>
          <w:lang w:val="en-GB"/>
        </w:rPr>
        <w:t>in 1987</w:t>
      </w:r>
      <w:r w:rsidR="004D6203" w:rsidRPr="001554A2">
        <w:rPr>
          <w:rFonts w:asciiTheme="minorHAnsi" w:hAnsiTheme="minorHAnsi" w:cstheme="minorHAnsi"/>
          <w:lang w:val="en-GB"/>
        </w:rPr>
        <w:t xml:space="preserve">. Hospitals are mandated by law to enter all period of hospitalizations. </w:t>
      </w:r>
      <w:r w:rsidR="00D10927" w:rsidRPr="001554A2">
        <w:rPr>
          <w:rFonts w:asciiTheme="minorHAnsi" w:hAnsiTheme="minorHAnsi" w:cstheme="minorHAnsi"/>
          <w:lang w:val="en-GB"/>
        </w:rPr>
        <w:t>Each entry includes a</w:t>
      </w:r>
      <w:r w:rsidR="004D6203" w:rsidRPr="001554A2">
        <w:rPr>
          <w:rFonts w:asciiTheme="minorHAnsi" w:hAnsiTheme="minorHAnsi" w:cstheme="minorHAnsi"/>
          <w:lang w:val="en-GB"/>
        </w:rPr>
        <w:t xml:space="preserve"> diagnosis </w:t>
      </w:r>
      <w:r w:rsidR="00D10927" w:rsidRPr="001554A2">
        <w:rPr>
          <w:rFonts w:asciiTheme="minorHAnsi" w:hAnsiTheme="minorHAnsi" w:cstheme="minorHAnsi"/>
          <w:lang w:val="en-GB"/>
        </w:rPr>
        <w:t>following</w:t>
      </w:r>
      <w:r w:rsidR="004D6203" w:rsidRPr="001554A2">
        <w:rPr>
          <w:rFonts w:asciiTheme="minorHAnsi" w:hAnsiTheme="minorHAnsi" w:cstheme="minorHAnsi"/>
          <w:lang w:val="en-GB"/>
        </w:rPr>
        <w:t xml:space="preserve"> </w:t>
      </w:r>
      <w:r w:rsidR="00F16327" w:rsidRPr="001554A2">
        <w:rPr>
          <w:rFonts w:asciiTheme="minorHAnsi" w:hAnsiTheme="minorHAnsi" w:cstheme="minorHAnsi"/>
          <w:lang w:val="en-GB"/>
        </w:rPr>
        <w:t>the International</w:t>
      </w:r>
      <w:r w:rsidRPr="001554A2">
        <w:rPr>
          <w:rFonts w:asciiTheme="minorHAnsi" w:hAnsiTheme="minorHAnsi" w:cstheme="minorHAnsi"/>
          <w:iCs/>
          <w:lang w:val="en-GB"/>
        </w:rPr>
        <w:t xml:space="preserve"> Classification of Diseases </w:t>
      </w:r>
      <w:r w:rsidRPr="001554A2">
        <w:rPr>
          <w:rFonts w:asciiTheme="minorHAnsi" w:hAnsiTheme="minorHAnsi" w:cstheme="minorHAnsi"/>
          <w:lang w:val="en-GB"/>
        </w:rPr>
        <w:t>(ICD) codes</w:t>
      </w:r>
      <w:r w:rsidR="004D6203" w:rsidRPr="001554A2">
        <w:rPr>
          <w:rFonts w:asciiTheme="minorHAnsi" w:hAnsiTheme="minorHAnsi" w:cstheme="minorHAnsi"/>
          <w:lang w:val="en-GB"/>
        </w:rPr>
        <w:t xml:space="preserve">, and up to </w:t>
      </w:r>
      <w:r w:rsidR="00A95435" w:rsidRPr="001554A2">
        <w:rPr>
          <w:rFonts w:asciiTheme="minorHAnsi" w:hAnsiTheme="minorHAnsi" w:cstheme="minorHAnsi"/>
          <w:lang w:val="en-GB"/>
        </w:rPr>
        <w:t>30</w:t>
      </w:r>
      <w:r w:rsidR="00862C0C" w:rsidRPr="001554A2">
        <w:rPr>
          <w:rFonts w:asciiTheme="minorHAnsi" w:hAnsiTheme="minorHAnsi" w:cstheme="minorHAnsi"/>
          <w:lang w:val="en-GB"/>
        </w:rPr>
        <w:t xml:space="preserve"> </w:t>
      </w:r>
      <w:r w:rsidR="00DA0BE7" w:rsidRPr="001554A2">
        <w:rPr>
          <w:rFonts w:asciiTheme="minorHAnsi" w:hAnsiTheme="minorHAnsi" w:cstheme="minorHAnsi"/>
          <w:lang w:val="en-GB"/>
        </w:rPr>
        <w:t>diagnoses</w:t>
      </w:r>
      <w:r w:rsidR="004D6203" w:rsidRPr="001554A2">
        <w:rPr>
          <w:rFonts w:asciiTheme="minorHAnsi" w:hAnsiTheme="minorHAnsi" w:cstheme="minorHAnsi"/>
          <w:lang w:val="en-GB"/>
        </w:rPr>
        <w:t xml:space="preserve"> can be entered. </w:t>
      </w:r>
      <w:r w:rsidR="00D10927" w:rsidRPr="001554A2">
        <w:rPr>
          <w:rFonts w:asciiTheme="minorHAnsi" w:hAnsiTheme="minorHAnsi" w:cstheme="minorHAnsi"/>
          <w:lang w:val="en-GB"/>
        </w:rPr>
        <w:t xml:space="preserve">A diagnosis is recorded </w:t>
      </w:r>
      <w:r w:rsidR="004D6203" w:rsidRPr="001554A2">
        <w:rPr>
          <w:rFonts w:asciiTheme="minorHAnsi" w:hAnsiTheme="minorHAnsi" w:cstheme="minorHAnsi"/>
          <w:lang w:val="en-GB"/>
        </w:rPr>
        <w:t xml:space="preserve">by a doctor </w:t>
      </w:r>
      <w:r w:rsidR="00D10927" w:rsidRPr="001554A2">
        <w:rPr>
          <w:rFonts w:asciiTheme="minorHAnsi" w:hAnsiTheme="minorHAnsi" w:cstheme="minorHAnsi"/>
          <w:lang w:val="en-GB"/>
        </w:rPr>
        <w:t xml:space="preserve">during hospitalization </w:t>
      </w:r>
      <w:r w:rsidR="004D6203" w:rsidRPr="001554A2">
        <w:rPr>
          <w:rFonts w:asciiTheme="minorHAnsi" w:hAnsiTheme="minorHAnsi" w:cstheme="minorHAnsi"/>
          <w:lang w:val="en-GB"/>
        </w:rPr>
        <w:t xml:space="preserve">and at the time of discharge. Interventions also </w:t>
      </w:r>
      <w:r w:rsidR="00AE61B9" w:rsidRPr="001554A2">
        <w:rPr>
          <w:rFonts w:asciiTheme="minorHAnsi" w:hAnsiTheme="minorHAnsi" w:cstheme="minorHAnsi"/>
          <w:lang w:val="en-GB"/>
        </w:rPr>
        <w:t xml:space="preserve">are </w:t>
      </w:r>
      <w:r w:rsidR="004D6203" w:rsidRPr="001554A2">
        <w:rPr>
          <w:rFonts w:asciiTheme="minorHAnsi" w:hAnsiTheme="minorHAnsi" w:cstheme="minorHAnsi"/>
          <w:lang w:val="en-GB"/>
        </w:rPr>
        <w:t xml:space="preserve">recorded according to the ICD classification. </w:t>
      </w:r>
    </w:p>
    <w:p w14:paraId="31265A3F" w14:textId="77777777" w:rsidR="00AE61B9" w:rsidRPr="001554A2" w:rsidRDefault="00AE61B9" w:rsidP="004D6203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</w:p>
    <w:p w14:paraId="4FA99EB6" w14:textId="20A1FCFD" w:rsidR="00DC2205" w:rsidRPr="001554A2" w:rsidRDefault="00DC2205" w:rsidP="004D6203">
      <w:pPr>
        <w:pStyle w:val="Default"/>
        <w:spacing w:line="360" w:lineRule="auto"/>
        <w:rPr>
          <w:rFonts w:asciiTheme="minorHAnsi" w:hAnsiTheme="minorHAnsi" w:cstheme="minorHAnsi"/>
          <w:lang w:val="en-GB"/>
        </w:rPr>
      </w:pPr>
      <w:r w:rsidRPr="001554A2">
        <w:rPr>
          <w:rFonts w:asciiTheme="minorHAnsi" w:hAnsiTheme="minorHAnsi" w:cstheme="minorHAnsi"/>
          <w:lang w:val="en-GB"/>
        </w:rPr>
        <w:t>The validity of</w:t>
      </w:r>
      <w:r w:rsidR="007934F6" w:rsidRPr="001554A2">
        <w:rPr>
          <w:rFonts w:asciiTheme="minorHAnsi" w:hAnsiTheme="minorHAnsi" w:cstheme="minorHAnsi"/>
          <w:lang w:val="en-GB"/>
        </w:rPr>
        <w:t xml:space="preserve"> many</w:t>
      </w:r>
      <w:r w:rsidRPr="001554A2">
        <w:rPr>
          <w:rFonts w:asciiTheme="minorHAnsi" w:hAnsiTheme="minorHAnsi" w:cstheme="minorHAnsi"/>
          <w:lang w:val="en-GB"/>
        </w:rPr>
        <w:t xml:space="preserve"> </w:t>
      </w:r>
      <w:r w:rsidR="00D10927" w:rsidRPr="001554A2">
        <w:rPr>
          <w:rFonts w:asciiTheme="minorHAnsi" w:hAnsiTheme="minorHAnsi" w:cstheme="minorHAnsi"/>
          <w:lang w:val="en-GB"/>
        </w:rPr>
        <w:t xml:space="preserve">the </w:t>
      </w:r>
      <w:r w:rsidRPr="001554A2">
        <w:rPr>
          <w:rFonts w:asciiTheme="minorHAnsi" w:hAnsiTheme="minorHAnsi" w:cstheme="minorHAnsi"/>
          <w:lang w:val="en-GB"/>
        </w:rPr>
        <w:t xml:space="preserve">diagnoses </w:t>
      </w:r>
      <w:r w:rsidR="004D6203" w:rsidRPr="001554A2">
        <w:rPr>
          <w:rFonts w:asciiTheme="minorHAnsi" w:hAnsiTheme="minorHAnsi" w:cstheme="minorHAnsi"/>
          <w:lang w:val="en-GB"/>
        </w:rPr>
        <w:t xml:space="preserve">in this registry </w:t>
      </w:r>
      <w:r w:rsidRPr="001554A2">
        <w:rPr>
          <w:rFonts w:asciiTheme="minorHAnsi" w:hAnsiTheme="minorHAnsi" w:cstheme="minorHAnsi"/>
          <w:lang w:val="en-GB"/>
        </w:rPr>
        <w:t>has been evaluated and was found to be 95% for a primary diagnosis of heart failure</w:t>
      </w:r>
      <w:r w:rsidR="00184D62" w:rsidRPr="001554A2">
        <w:rPr>
          <w:rFonts w:asciiTheme="minorHAnsi" w:hAnsiTheme="minorHAnsi" w:cstheme="minorHAnsi"/>
          <w:lang w:val="en-GB"/>
        </w:rPr>
        <w:t>. The</w:t>
      </w:r>
      <w:r w:rsidRPr="001554A2">
        <w:rPr>
          <w:rFonts w:asciiTheme="minorHAnsi" w:hAnsiTheme="minorHAnsi" w:cstheme="minorHAnsi"/>
          <w:lang w:val="en-GB"/>
        </w:rPr>
        <w:t xml:space="preserve"> positive predictive value was 98.6% for stroke and 98% to</w:t>
      </w:r>
      <w:r w:rsidR="00DA0BE7" w:rsidRPr="001554A2">
        <w:rPr>
          <w:rFonts w:asciiTheme="minorHAnsi" w:hAnsiTheme="minorHAnsi" w:cstheme="minorHAnsi"/>
          <w:lang w:val="en-GB"/>
        </w:rPr>
        <w:t xml:space="preserve"> 100% for myocardial infarction</w:t>
      </w:r>
      <w:r w:rsidR="008C0A51" w:rsidRPr="001554A2">
        <w:rPr>
          <w:rFonts w:asciiTheme="minorHAnsi" w:hAnsiTheme="minorHAnsi" w:cstheme="minorHAnsi"/>
          <w:lang w:val="en-GB"/>
        </w:rPr>
        <w:fldChar w:fldCharType="begin">
          <w:fldData xml:space="preserve">PEVuZE5vdGU+PENpdGU+PEF1dGhvcj5MdWR2aWdzc29uPC9BdXRob3I+PFllYXI+MjAxMTwvWWVh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</w:fldData>
        </w:fldChar>
      </w:r>
      <w:r w:rsidR="001554A2">
        <w:rPr>
          <w:rFonts w:asciiTheme="minorHAnsi" w:hAnsiTheme="minorHAnsi" w:cstheme="minorHAnsi"/>
          <w:lang w:val="en-GB"/>
        </w:rPr>
        <w:instrText xml:space="preserve"> ADDIN EN.CITE </w:instrText>
      </w:r>
      <w:r w:rsidR="001554A2">
        <w:rPr>
          <w:rFonts w:asciiTheme="minorHAnsi" w:hAnsiTheme="minorHAnsi" w:cstheme="minorHAnsi"/>
          <w:lang w:val="en-GB"/>
        </w:rPr>
        <w:fldChar w:fldCharType="begin">
          <w:fldData xml:space="preserve">PEVuZE5vdGU+PENpdGU+PEF1dGhvcj5MdWR2aWdzc29uPC9BdXRob3I+PFllYXI+MjAxMTwvWWVh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</w:fldData>
        </w:fldChar>
      </w:r>
      <w:r w:rsidR="001554A2">
        <w:rPr>
          <w:rFonts w:asciiTheme="minorHAnsi" w:hAnsiTheme="minorHAnsi" w:cstheme="minorHAnsi"/>
          <w:lang w:val="en-GB"/>
        </w:rPr>
        <w:instrText xml:space="preserve"> ADDIN EN.CITE.DATA </w:instrText>
      </w:r>
      <w:r w:rsidR="001554A2">
        <w:rPr>
          <w:rFonts w:asciiTheme="minorHAnsi" w:hAnsiTheme="minorHAnsi" w:cstheme="minorHAnsi"/>
          <w:lang w:val="en-GB"/>
        </w:rPr>
      </w:r>
      <w:r w:rsidR="001554A2">
        <w:rPr>
          <w:rFonts w:asciiTheme="minorHAnsi" w:hAnsiTheme="minorHAnsi" w:cstheme="minorHAnsi"/>
          <w:lang w:val="en-GB"/>
        </w:rPr>
        <w:fldChar w:fldCharType="end"/>
      </w:r>
      <w:r w:rsidR="008C0A51" w:rsidRPr="001554A2">
        <w:rPr>
          <w:rFonts w:asciiTheme="minorHAnsi" w:hAnsiTheme="minorHAnsi" w:cstheme="minorHAnsi"/>
          <w:lang w:val="en-GB"/>
        </w:rPr>
      </w:r>
      <w:r w:rsidR="008C0A51" w:rsidRPr="001554A2">
        <w:rPr>
          <w:rFonts w:asciiTheme="minorHAnsi" w:hAnsiTheme="minorHAnsi" w:cstheme="minorHAnsi"/>
          <w:lang w:val="en-GB"/>
        </w:rPr>
        <w:fldChar w:fldCharType="separate"/>
      </w:r>
      <w:r w:rsidR="001554A2">
        <w:rPr>
          <w:rFonts w:asciiTheme="minorHAnsi" w:hAnsiTheme="minorHAnsi" w:cstheme="minorHAnsi"/>
          <w:noProof/>
          <w:lang w:val="en-GB"/>
        </w:rPr>
        <w:t>(2, 3)</w:t>
      </w:r>
      <w:r w:rsidR="008C0A51" w:rsidRPr="001554A2">
        <w:rPr>
          <w:rFonts w:asciiTheme="minorHAnsi" w:hAnsiTheme="minorHAnsi" w:cstheme="minorHAnsi"/>
          <w:lang w:val="en-GB"/>
        </w:rPr>
        <w:fldChar w:fldCharType="end"/>
      </w:r>
      <w:r w:rsidR="00DA0BE7" w:rsidRPr="001554A2">
        <w:rPr>
          <w:rFonts w:asciiTheme="minorHAnsi" w:hAnsiTheme="minorHAnsi" w:cstheme="minorHAnsi"/>
          <w:lang w:val="en-GB"/>
        </w:rPr>
        <w:t>.</w:t>
      </w:r>
      <w:r w:rsidRPr="001554A2">
        <w:rPr>
          <w:rFonts w:asciiTheme="minorHAnsi" w:hAnsiTheme="minorHAnsi" w:cstheme="minorHAnsi"/>
          <w:lang w:val="en-GB"/>
        </w:rPr>
        <w:t xml:space="preserve"> </w:t>
      </w:r>
    </w:p>
    <w:p w14:paraId="393A8DF9" w14:textId="77777777" w:rsidR="00396B00" w:rsidRPr="001554A2" w:rsidRDefault="00396B00">
      <w:pPr>
        <w:rPr>
          <w:lang w:val="en-GB"/>
        </w:rPr>
      </w:pPr>
    </w:p>
    <w:p w14:paraId="4BE6DD8A" w14:textId="61BE07C9" w:rsidR="00211257" w:rsidRPr="001554A2" w:rsidRDefault="00FC7559" w:rsidP="00C9467C">
      <w:pPr>
        <w:pStyle w:val="Rubrik2"/>
        <w:rPr>
          <w:lang w:val="en-GB"/>
        </w:rPr>
      </w:pPr>
      <w:bookmarkStart w:id="3" w:name="_Toc23193756"/>
      <w:proofErr w:type="spellStart"/>
      <w:r w:rsidRPr="001554A2">
        <w:rPr>
          <w:lang w:val="en-GB"/>
        </w:rPr>
        <w:t>Riksstroke</w:t>
      </w:r>
      <w:bookmarkEnd w:id="3"/>
      <w:proofErr w:type="spellEnd"/>
    </w:p>
    <w:p w14:paraId="256116CD" w14:textId="77777777" w:rsidR="00802F93" w:rsidRPr="001554A2" w:rsidRDefault="00802F93" w:rsidP="00802F93">
      <w:pPr>
        <w:pStyle w:val="Rubrik2"/>
        <w:rPr>
          <w:lang w:val="en-GB"/>
        </w:rPr>
      </w:pPr>
    </w:p>
    <w:p w14:paraId="5BD9D78E" w14:textId="728ECE16" w:rsidR="00275082" w:rsidRPr="001554A2" w:rsidRDefault="00FC7559" w:rsidP="00802F93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101010"/>
          <w:sz w:val="24"/>
          <w:lang w:val="en-GB"/>
        </w:rPr>
      </w:pPr>
      <w:r w:rsidRPr="001554A2">
        <w:rPr>
          <w:rFonts w:cstheme="minorHAnsi"/>
          <w:color w:val="101010"/>
          <w:sz w:val="24"/>
          <w:lang w:val="en-GB"/>
        </w:rPr>
        <w:t>T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he </w:t>
      </w:r>
      <w:proofErr w:type="spellStart"/>
      <w:r w:rsidR="00B50DD0" w:rsidRPr="001554A2">
        <w:rPr>
          <w:rFonts w:cstheme="minorHAnsi"/>
          <w:color w:val="101010"/>
          <w:sz w:val="24"/>
          <w:lang w:val="en-GB"/>
        </w:rPr>
        <w:t>R</w:t>
      </w:r>
      <w:r w:rsidRPr="001554A2">
        <w:rPr>
          <w:rFonts w:cstheme="minorHAnsi"/>
          <w:color w:val="101010"/>
          <w:sz w:val="24"/>
          <w:lang w:val="en-GB"/>
        </w:rPr>
        <w:t>iks</w:t>
      </w:r>
      <w:r w:rsidR="00B50DD0" w:rsidRPr="001554A2">
        <w:rPr>
          <w:rFonts w:cstheme="minorHAnsi"/>
          <w:color w:val="101010"/>
          <w:sz w:val="24"/>
          <w:lang w:val="en-GB"/>
        </w:rPr>
        <w:t>s</w:t>
      </w:r>
      <w:r w:rsidRPr="001554A2">
        <w:rPr>
          <w:rFonts w:cstheme="minorHAnsi"/>
          <w:color w:val="101010"/>
          <w:sz w:val="24"/>
          <w:lang w:val="en-GB"/>
        </w:rPr>
        <w:t>troke</w:t>
      </w:r>
      <w:proofErr w:type="spellEnd"/>
      <w:r w:rsidRPr="001554A2">
        <w:rPr>
          <w:rFonts w:cstheme="minorHAnsi"/>
          <w:color w:val="101010"/>
          <w:sz w:val="24"/>
          <w:lang w:val="en-GB"/>
        </w:rPr>
        <w:t xml:space="preserve"> is </w:t>
      </w:r>
      <w:r w:rsidR="00B50DD0" w:rsidRPr="001554A2">
        <w:rPr>
          <w:rFonts w:cstheme="minorHAnsi"/>
          <w:color w:val="101010"/>
          <w:sz w:val="24"/>
          <w:lang w:val="en-GB"/>
        </w:rPr>
        <w:t>a national</w:t>
      </w:r>
      <w:r w:rsidRPr="001554A2">
        <w:rPr>
          <w:rFonts w:cstheme="minorHAnsi"/>
          <w:color w:val="101010"/>
          <w:sz w:val="24"/>
          <w:lang w:val="en-GB"/>
        </w:rPr>
        <w:t xml:space="preserve"> registry</w:t>
      </w:r>
      <w:r w:rsidR="00B16263" w:rsidRPr="001554A2">
        <w:rPr>
          <w:rFonts w:cstheme="minorHAnsi"/>
          <w:color w:val="101010"/>
          <w:sz w:val="24"/>
          <w:lang w:val="en-GB"/>
        </w:rPr>
        <w:t xml:space="preserve"> covering all</w:t>
      </w:r>
      <w:r w:rsidRPr="001554A2">
        <w:rPr>
          <w:rFonts w:cstheme="minorHAnsi"/>
          <w:color w:val="101010"/>
          <w:sz w:val="24"/>
          <w:lang w:val="en-GB"/>
        </w:rPr>
        <w:t xml:space="preserve"> hospitalization for stroke.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 The registry </w:t>
      </w:r>
      <w:r w:rsidR="00AE61B9" w:rsidRPr="001554A2">
        <w:rPr>
          <w:rFonts w:cstheme="minorHAnsi"/>
          <w:color w:val="101010"/>
          <w:sz w:val="24"/>
          <w:lang w:val="en-GB"/>
        </w:rPr>
        <w:t xml:space="preserve">was founded 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in 1994, </w:t>
      </w:r>
      <w:r w:rsidR="006F717E" w:rsidRPr="001554A2">
        <w:rPr>
          <w:rFonts w:cstheme="minorHAnsi"/>
          <w:color w:val="101010"/>
          <w:sz w:val="24"/>
          <w:lang w:val="en-GB"/>
        </w:rPr>
        <w:t xml:space="preserve">and </w:t>
      </w:r>
      <w:r w:rsidR="00B50DD0" w:rsidRPr="001554A2">
        <w:rPr>
          <w:rFonts w:cstheme="minorHAnsi"/>
          <w:color w:val="101010"/>
          <w:sz w:val="24"/>
          <w:lang w:val="en-GB"/>
        </w:rPr>
        <w:t>four year</w:t>
      </w:r>
      <w:r w:rsidR="006F717E" w:rsidRPr="001554A2">
        <w:rPr>
          <w:rFonts w:cstheme="minorHAnsi"/>
          <w:color w:val="101010"/>
          <w:sz w:val="24"/>
          <w:lang w:val="en-GB"/>
        </w:rPr>
        <w:t>s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 later</w:t>
      </w:r>
      <w:r w:rsidR="006F717E" w:rsidRPr="001554A2">
        <w:rPr>
          <w:rFonts w:cstheme="minorHAnsi"/>
          <w:color w:val="101010"/>
          <w:sz w:val="24"/>
          <w:lang w:val="en-GB"/>
        </w:rPr>
        <w:t>,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 all hospital</w:t>
      </w:r>
      <w:r w:rsidR="006F717E" w:rsidRPr="001554A2">
        <w:rPr>
          <w:rFonts w:cstheme="minorHAnsi"/>
          <w:color w:val="101010"/>
          <w:sz w:val="24"/>
          <w:lang w:val="en-GB"/>
        </w:rPr>
        <w:t>s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 managing stroke patients participated</w:t>
      </w:r>
      <w:r w:rsidR="006F717E" w:rsidRPr="001554A2">
        <w:rPr>
          <w:rFonts w:cstheme="minorHAnsi"/>
          <w:color w:val="101010"/>
          <w:sz w:val="24"/>
          <w:lang w:val="en-GB"/>
        </w:rPr>
        <w:t>. T</w:t>
      </w:r>
      <w:r w:rsidR="00B50DD0" w:rsidRPr="001554A2">
        <w:rPr>
          <w:rFonts w:cstheme="minorHAnsi"/>
          <w:color w:val="101010"/>
          <w:sz w:val="24"/>
          <w:lang w:val="en-GB"/>
        </w:rPr>
        <w:t>oday</w:t>
      </w:r>
      <w:r w:rsidR="006F717E" w:rsidRPr="001554A2">
        <w:rPr>
          <w:rFonts w:cstheme="minorHAnsi"/>
          <w:color w:val="101010"/>
          <w:sz w:val="24"/>
          <w:lang w:val="en-GB"/>
        </w:rPr>
        <w:t>,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 </w:t>
      </w:r>
      <w:r w:rsidR="00193E94" w:rsidRPr="001554A2">
        <w:rPr>
          <w:rFonts w:cstheme="minorHAnsi"/>
          <w:color w:val="101010"/>
          <w:sz w:val="24"/>
          <w:lang w:val="en-GB"/>
        </w:rPr>
        <w:lastRenderedPageBreak/>
        <w:t xml:space="preserve">all 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72 </w:t>
      </w:r>
      <w:r w:rsidR="00B16263" w:rsidRPr="001554A2">
        <w:rPr>
          <w:rFonts w:cstheme="minorHAnsi"/>
          <w:color w:val="101010"/>
          <w:sz w:val="24"/>
          <w:lang w:val="en-GB"/>
        </w:rPr>
        <w:t>hospitals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 </w:t>
      </w:r>
      <w:r w:rsidR="00193E94" w:rsidRPr="001554A2">
        <w:rPr>
          <w:rFonts w:cstheme="minorHAnsi"/>
          <w:color w:val="101010"/>
          <w:sz w:val="24"/>
          <w:lang w:val="en-GB"/>
        </w:rPr>
        <w:t xml:space="preserve">managing stroke patients </w:t>
      </w:r>
      <w:r w:rsidR="00B50DD0" w:rsidRPr="001554A2">
        <w:rPr>
          <w:rFonts w:cstheme="minorHAnsi"/>
          <w:color w:val="101010"/>
          <w:sz w:val="24"/>
          <w:lang w:val="en-GB"/>
        </w:rPr>
        <w:t>actively enter data in the database. The completeness of data has been estimated between 89-95%</w:t>
      </w:r>
      <w:r w:rsidR="00193E94" w:rsidRPr="001554A2">
        <w:rPr>
          <w:rFonts w:cstheme="minorHAnsi"/>
          <w:color w:val="101010"/>
          <w:sz w:val="24"/>
          <w:lang w:val="en-GB"/>
        </w:rPr>
        <w:t xml:space="preserve"> </w:t>
      </w:r>
      <w:r w:rsidR="00B50DD0" w:rsidRPr="001554A2">
        <w:rPr>
          <w:rFonts w:cstheme="minorHAnsi"/>
          <w:color w:val="101010"/>
          <w:sz w:val="24"/>
          <w:lang w:val="en-GB"/>
        </w:rPr>
        <w:fldChar w:fldCharType="begin"/>
      </w:r>
      <w:r w:rsidR="001554A2">
        <w:rPr>
          <w:rFonts w:cstheme="minorHAnsi"/>
          <w:color w:val="101010"/>
          <w:sz w:val="24"/>
          <w:lang w:val="en-GB"/>
        </w:rPr>
        <w:instrText xml:space="preserve"> ADDIN EN.CITE &lt;EndNote&gt;&lt;Cite&gt;&lt;Author&gt;Koster&lt;/Author&gt;&lt;Year&gt;2013&lt;/Year&gt;&lt;RecNum&gt;3371&lt;/RecNum&gt;&lt;DisplayText&gt;(4)&lt;/DisplayText&gt;&lt;record&gt;&lt;rec-number&gt;3371&lt;/rec-number&gt;&lt;foreign-keys&gt;&lt;key app="EN" db-id="2s5pewzsae50taed2e7prvaadf0fpv92t0re" timestamp="1569147394" guid="5e9f014a-6b85-4c61-9607-1984fe6640d6"&gt;3371&lt;/key&gt;&lt;/foreign-keys&gt;&lt;ref-type name="Journal Article"&gt;17&lt;/ref-type&gt;&lt;contributors&gt;&lt;authors&gt;&lt;author&gt;Koster, M.&lt;/author&gt;&lt;author&gt;Asplund, K.&lt;/author&gt;&lt;author&gt;Johansson, A.&lt;/author&gt;&lt;author&gt;Stegmayr, B.&lt;/author&gt;&lt;/authors&gt;&lt;/contributors&gt;&lt;auth-address&gt;National Board of Health and Welfare, Stockholm, Sweden.&lt;/auth-address&gt;&lt;titles&gt;&lt;title&gt;Refinement of Swedish administrative registers to monitor stroke events on the national level&lt;/title&gt;&lt;secondary-title&gt;Neuroepidemiology&lt;/secondary-title&gt;&lt;/titles&gt;&lt;periodical&gt;&lt;full-title&gt;Neuroepidemiology&lt;/full-title&gt;&lt;/periodical&gt;&lt;pages&gt;240-6&lt;/pages&gt;&lt;volume&gt;40&lt;/volume&gt;&lt;number&gt;4&lt;/number&gt;&lt;edition&gt;2013/02/01&lt;/edition&gt;&lt;keywords&gt;&lt;keyword&gt;Adult&lt;/keyword&gt;&lt;keyword&gt;Aged&lt;/keyword&gt;&lt;keyword&gt;Aged, 80 and over&lt;/keyword&gt;&lt;keyword&gt;Databases, Factual&lt;/keyword&gt;&lt;keyword&gt;Female&lt;/keyword&gt;&lt;keyword&gt;Humans&lt;/keyword&gt;&lt;keyword&gt;Incidence&lt;/keyword&gt;&lt;keyword&gt;Male&lt;/keyword&gt;&lt;keyword&gt;Middle Aged&lt;/keyword&gt;&lt;keyword&gt;Registries&lt;/keyword&gt;&lt;keyword&gt;Risk&lt;/keyword&gt;&lt;keyword&gt;Sensitivity and Specificity&lt;/keyword&gt;&lt;keyword&gt;Stroke/*epidemiology&lt;/keyword&gt;&lt;keyword&gt;Sweden/epidemiology&lt;/keyword&gt;&lt;/keywords&gt;&lt;dates&gt;&lt;year&gt;2013&lt;/year&gt;&lt;/dates&gt;&lt;isbn&gt;1423-0208 (Electronic)&amp;#xD;0251-5350 (Linking)&lt;/isbn&gt;&lt;accession-num&gt;23364278&lt;/accession-num&gt;&lt;urls&gt;&lt;related-urls&gt;&lt;url&gt;https://www.ncbi.nlm.nih.gov/pubmed/23364278&lt;/url&gt;&lt;/related-urls&gt;&lt;/urls&gt;&lt;electronic-resource-num&gt;10.1159/000345953&lt;/electronic-resource-num&gt;&lt;/record&gt;&lt;/Cite&gt;&lt;/EndNote&gt;</w:instrText>
      </w:r>
      <w:r w:rsidR="00B50DD0" w:rsidRPr="001554A2">
        <w:rPr>
          <w:rFonts w:cstheme="minorHAnsi"/>
          <w:color w:val="101010"/>
          <w:sz w:val="24"/>
          <w:lang w:val="en-GB"/>
        </w:rPr>
        <w:fldChar w:fldCharType="separate"/>
      </w:r>
      <w:r w:rsidR="001554A2">
        <w:rPr>
          <w:rFonts w:cstheme="minorHAnsi"/>
          <w:noProof/>
          <w:color w:val="101010"/>
          <w:sz w:val="24"/>
          <w:lang w:val="en-GB"/>
        </w:rPr>
        <w:t>(4)</w:t>
      </w:r>
      <w:r w:rsidR="00B50DD0" w:rsidRPr="001554A2">
        <w:rPr>
          <w:rFonts w:cstheme="minorHAnsi"/>
          <w:color w:val="101010"/>
          <w:sz w:val="24"/>
          <w:lang w:val="en-GB"/>
        </w:rPr>
        <w:fldChar w:fldCharType="end"/>
      </w:r>
      <w:r w:rsidR="00B50DD0" w:rsidRPr="001554A2">
        <w:rPr>
          <w:rFonts w:cstheme="minorHAnsi"/>
          <w:color w:val="101010"/>
          <w:sz w:val="24"/>
          <w:lang w:val="en-GB"/>
        </w:rPr>
        <w:t xml:space="preserve">. Data </w:t>
      </w:r>
      <w:r w:rsidR="006F717E" w:rsidRPr="001554A2">
        <w:rPr>
          <w:rFonts w:cstheme="minorHAnsi"/>
          <w:color w:val="101010"/>
          <w:sz w:val="24"/>
          <w:lang w:val="en-GB"/>
        </w:rPr>
        <w:t xml:space="preserve">entry 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is continuously monitored and validated </w:t>
      </w:r>
      <w:r w:rsidR="00B50DD0" w:rsidRPr="001554A2">
        <w:rPr>
          <w:rFonts w:cstheme="minorHAnsi"/>
          <w:color w:val="101010"/>
          <w:sz w:val="24"/>
          <w:lang w:val="en-GB"/>
        </w:rPr>
        <w:fldChar w:fldCharType="begin"/>
      </w:r>
      <w:r w:rsidR="001554A2">
        <w:rPr>
          <w:rFonts w:cstheme="minorHAnsi"/>
          <w:color w:val="101010"/>
          <w:sz w:val="24"/>
          <w:lang w:val="en-GB"/>
        </w:rPr>
        <w:instrText xml:space="preserve"> ADDIN EN.CITE &lt;EndNote&gt;&lt;Cite&gt;&lt;Author&gt;Soderholm&lt;/Author&gt;&lt;Year&gt;2016&lt;/Year&gt;&lt;RecNum&gt;3372&lt;/RecNum&gt;&lt;DisplayText&gt;(5)&lt;/DisplayText&gt;&lt;record&gt;&lt;rec-number&gt;3372&lt;/rec-number&gt;&lt;foreign-keys&gt;&lt;key app="EN" db-id="2s5pewzsae50taed2e7prvaadf0fpv92t0re" timestamp="1569147483" guid="393ab370-fa57-4b52-a91a-f5bbf5a1c5bc"&gt;3372&lt;/key&gt;&lt;/foreign-keys&gt;&lt;ref-type name="Journal Article"&gt;17&lt;/ref-type&gt;&lt;contributors&gt;&lt;authors&gt;&lt;author&gt;Soderholm, A.&lt;/author&gt;&lt;author&gt;Stegmayr, B.&lt;/author&gt;&lt;author&gt;Glader, E. L.&lt;/author&gt;&lt;author&gt;Asplund, K.&lt;/author&gt;&lt;author&gt;Riksstroke, Collaboration&lt;/author&gt;&lt;/authors&gt;&lt;/contributors&gt;&lt;auth-address&gt;Riksstroke, Medicine, Department of Public Health and Clinical Medicine, Umex00E5; University, Umex00E5;, Sweden.&lt;/auth-address&gt;&lt;titles&gt;&lt;title&gt;Validation of Hospital Performance Measures of Acute Stroke Care Quality. Riksstroke, the Swedish Stroke Register&lt;/title&gt;&lt;secondary-title&gt;Neuroepidemiology&lt;/secondary-title&gt;&lt;/titles&gt;&lt;periodical&gt;&lt;full-title&gt;Neuroepidemiology&lt;/full-title&gt;&lt;/periodical&gt;&lt;pages&gt;229-34&lt;/pages&gt;&lt;volume&gt;46&lt;/volume&gt;&lt;number&gt;4&lt;/number&gt;&lt;edition&gt;2016/03/15&lt;/edition&gt;&lt;keywords&gt;&lt;keyword&gt;Benchmarking&lt;/keyword&gt;&lt;keyword&gt;Hospitals/*standards/statistics &amp;amp; numerical data&lt;/keyword&gt;&lt;keyword&gt;Humans&lt;/keyword&gt;&lt;keyword&gt;Patient Discharge&lt;/keyword&gt;&lt;keyword&gt;Quality of Health Care/*standards/statistics &amp;amp; numerical data&lt;/keyword&gt;&lt;keyword&gt;*Registries&lt;/keyword&gt;&lt;keyword&gt;Stroke/*epidemiology&lt;/keyword&gt;&lt;keyword&gt;Sweden&lt;/keyword&gt;&lt;/keywords&gt;&lt;dates&gt;&lt;year&gt;2016&lt;/year&gt;&lt;/dates&gt;&lt;isbn&gt;1423-0208 (Electronic)&amp;#xD;0251-5350 (Linking)&lt;/isbn&gt;&lt;accession-num&gt;26975057&lt;/accession-num&gt;&lt;urls&gt;&lt;related-urls&gt;&lt;url&gt;https://www.ncbi.nlm.nih.gov/pubmed/26975057&lt;/url&gt;&lt;/related-urls&gt;&lt;/urls&gt;&lt;electronic-resource-num&gt;10.1159/000444679&lt;/electronic-resource-num&gt;&lt;/record&gt;&lt;/Cite&gt;&lt;/EndNote&gt;</w:instrText>
      </w:r>
      <w:r w:rsidR="00B50DD0" w:rsidRPr="001554A2">
        <w:rPr>
          <w:rFonts w:cstheme="minorHAnsi"/>
          <w:color w:val="101010"/>
          <w:sz w:val="24"/>
          <w:lang w:val="en-GB"/>
        </w:rPr>
        <w:fldChar w:fldCharType="separate"/>
      </w:r>
      <w:r w:rsidR="001554A2">
        <w:rPr>
          <w:rFonts w:cstheme="minorHAnsi"/>
          <w:noProof/>
          <w:color w:val="101010"/>
          <w:sz w:val="24"/>
          <w:lang w:val="en-GB"/>
        </w:rPr>
        <w:t>(5)</w:t>
      </w:r>
      <w:r w:rsidR="00B50DD0" w:rsidRPr="001554A2">
        <w:rPr>
          <w:rFonts w:cstheme="minorHAnsi"/>
          <w:color w:val="101010"/>
          <w:sz w:val="24"/>
          <w:lang w:val="en-GB"/>
        </w:rPr>
        <w:fldChar w:fldCharType="end"/>
      </w:r>
      <w:r w:rsidR="00B50DD0" w:rsidRPr="001554A2">
        <w:rPr>
          <w:rFonts w:cstheme="minorHAnsi"/>
          <w:color w:val="101010"/>
          <w:sz w:val="24"/>
          <w:lang w:val="en-GB"/>
        </w:rPr>
        <w:t>.</w:t>
      </w:r>
      <w:r w:rsidR="006F717E" w:rsidRPr="001554A2">
        <w:rPr>
          <w:rFonts w:cstheme="minorHAnsi"/>
          <w:color w:val="101010"/>
          <w:sz w:val="24"/>
          <w:lang w:val="en-GB"/>
        </w:rPr>
        <w:t xml:space="preserve"> </w:t>
      </w:r>
      <w:r w:rsidR="00B16263" w:rsidRPr="001554A2">
        <w:rPr>
          <w:rFonts w:cstheme="minorHAnsi"/>
          <w:color w:val="101010"/>
          <w:sz w:val="24"/>
          <w:lang w:val="en-GB"/>
        </w:rPr>
        <w:t xml:space="preserve">The registry also </w:t>
      </w:r>
      <w:r w:rsidR="006F717E" w:rsidRPr="001554A2">
        <w:rPr>
          <w:rFonts w:cstheme="minorHAnsi"/>
          <w:color w:val="101010"/>
          <w:sz w:val="24"/>
          <w:lang w:val="en-GB"/>
        </w:rPr>
        <w:t xml:space="preserve">is </w:t>
      </w:r>
      <w:r w:rsidR="00B16263" w:rsidRPr="001554A2">
        <w:rPr>
          <w:rFonts w:cstheme="minorHAnsi"/>
          <w:color w:val="101010"/>
          <w:sz w:val="24"/>
          <w:lang w:val="en-GB"/>
        </w:rPr>
        <w:t>used as a tool for clinical follow-up after stroke.</w:t>
      </w:r>
      <w:r w:rsidR="00B50DD0" w:rsidRPr="001554A2">
        <w:rPr>
          <w:rFonts w:cstheme="minorHAnsi"/>
          <w:color w:val="101010"/>
          <w:sz w:val="24"/>
          <w:lang w:val="en-GB"/>
        </w:rPr>
        <w:t xml:space="preserve"> Every year an annual report is presented that covers stroke incidence, outcome, treatment regimens and quality at different regions of the country. </w:t>
      </w:r>
    </w:p>
    <w:p w14:paraId="667521FF" w14:textId="77777777" w:rsidR="00275082" w:rsidRPr="001554A2" w:rsidRDefault="00275082">
      <w:pPr>
        <w:rPr>
          <w:rFonts w:cstheme="minorHAnsi"/>
          <w:color w:val="101010"/>
          <w:sz w:val="24"/>
          <w:lang w:val="en-GB"/>
        </w:rPr>
      </w:pPr>
      <w:r w:rsidRPr="001554A2">
        <w:rPr>
          <w:rFonts w:cstheme="minorHAnsi"/>
          <w:color w:val="101010"/>
          <w:sz w:val="24"/>
          <w:lang w:val="en-GB"/>
        </w:rPr>
        <w:br w:type="page"/>
      </w:r>
    </w:p>
    <w:p w14:paraId="5725F337" w14:textId="77777777" w:rsidR="00275082" w:rsidRPr="001554A2" w:rsidRDefault="00275082" w:rsidP="00D56C60">
      <w:pPr>
        <w:pStyle w:val="Rubrik1"/>
        <w:rPr>
          <w:lang w:val="en-GB"/>
        </w:rPr>
      </w:pPr>
      <w:bookmarkStart w:id="4" w:name="_Toc23193757"/>
      <w:r w:rsidRPr="001554A2">
        <w:rPr>
          <w:lang w:val="en-GB"/>
        </w:rPr>
        <w:lastRenderedPageBreak/>
        <w:t>Method for estimating standardized incidence for the study cohort</w:t>
      </w:r>
      <w:bookmarkEnd w:id="4"/>
    </w:p>
    <w:p w14:paraId="53105D56" w14:textId="77777777" w:rsidR="00275082" w:rsidRPr="001554A2" w:rsidRDefault="00275082" w:rsidP="00275082">
      <w:pPr>
        <w:pStyle w:val="Rubrik2"/>
        <w:rPr>
          <w:lang w:val="en-GB"/>
        </w:rPr>
      </w:pPr>
    </w:p>
    <w:tbl>
      <w:tblPr>
        <w:tblW w:w="8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788"/>
      </w:tblGrid>
      <w:tr w:rsidR="00D56C60" w:rsidRPr="001554A2" w14:paraId="273001DD" w14:textId="77777777" w:rsidTr="002B7A41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F55C8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val="en-GB" w:eastAsia="sv-SE"/>
              </w:rPr>
              <w:t>Step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A8FFB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25E1C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2E69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E74F9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A2DA1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43AB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1CA38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78AAE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56C60" w:rsidRPr="001554A2" w14:paraId="1FB5DA66" w14:textId="77777777" w:rsidTr="002B7A41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4E27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A53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Number in population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8B3D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Number suffering stroke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A23E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 xml:space="preserve">Standardized risk </w:t>
            </w:r>
          </w:p>
        </w:tc>
      </w:tr>
      <w:tr w:rsidR="00D56C60" w:rsidRPr="001554A2" w14:paraId="5D967456" w14:textId="77777777" w:rsidTr="00DF2A80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84589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Age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0615F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Men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47A16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Women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C9283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D4A17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Men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00510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Women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F03D6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31E74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Men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42FB1" w14:textId="77777777" w:rsidR="00D56C60" w:rsidRPr="001554A2" w:rsidRDefault="00D56C60" w:rsidP="00D5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Women</w:t>
            </w:r>
          </w:p>
        </w:tc>
      </w:tr>
      <w:tr w:rsidR="00D56C60" w:rsidRPr="001554A2" w14:paraId="664904A0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FBAE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663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56782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9E9E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52151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20DD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5BA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D96F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6180" w14:textId="77777777" w:rsidR="00D56C60" w:rsidRPr="001554A2" w:rsidRDefault="00D56C60" w:rsidP="00D5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2DBC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0,00%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7505" w14:textId="77777777" w:rsidR="00D56C60" w:rsidRPr="001554A2" w:rsidRDefault="00D56C60" w:rsidP="00D56C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0,00%</w:t>
            </w:r>
          </w:p>
        </w:tc>
      </w:tr>
      <w:tr w:rsidR="00D56C60" w:rsidRPr="001554A2" w14:paraId="001B9B70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56BA" w14:textId="77777777" w:rsidR="00D56C60" w:rsidRPr="001554A2" w:rsidRDefault="00D56C6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E6ED" w14:textId="25C59668" w:rsidR="00D56C6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E546" w14:textId="3EA0DA35" w:rsidR="00D56C6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535E" w14:textId="77777777" w:rsidR="00D56C60" w:rsidRPr="001554A2" w:rsidRDefault="00D56C6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2C0B" w14:textId="3BDFEA49" w:rsidR="00D56C6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0B4" w14:textId="182BD3DB" w:rsidR="00D56C6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6A02" w14:textId="77777777" w:rsidR="00D56C60" w:rsidRPr="001554A2" w:rsidRDefault="00D56C6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8DD" w14:textId="646B2A29" w:rsidR="00D56C6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13D4" w14:textId="7E3D4A2C" w:rsidR="00D56C6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</w:tr>
      <w:tr w:rsidR="00DF2A80" w:rsidRPr="001554A2" w14:paraId="0517E49C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EF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7555" w14:textId="31DB35B3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39AA" w14:textId="41A7E09B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4E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64D0" w14:textId="60606636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5E33" w14:textId="6D3DFF87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DE3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229E" w14:textId="7E80DD0B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E97C" w14:textId="30ACEAB4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</w:tr>
      <w:tr w:rsidR="00DF2A80" w:rsidRPr="001554A2" w14:paraId="12DD2C8A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EEBF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C019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37482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471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40689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11B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645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4635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289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BBD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0,95%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8C6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0,68%</w:t>
            </w:r>
          </w:p>
        </w:tc>
      </w:tr>
      <w:tr w:rsidR="00DF2A80" w:rsidRPr="001554A2" w14:paraId="62D9A839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5DF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5AB2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34368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49D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38033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80AA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B3E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417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7CF5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D4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5FD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1,21%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085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0,80%</w:t>
            </w:r>
          </w:p>
        </w:tc>
      </w:tr>
      <w:tr w:rsidR="00DF2A80" w:rsidRPr="001554A2" w14:paraId="5DB2E9DF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80DA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057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32825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3B2A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37459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A149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3DF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410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1642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CBC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570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1,25%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6BA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0,88%</w:t>
            </w:r>
          </w:p>
        </w:tc>
      </w:tr>
      <w:tr w:rsidR="00DF2A80" w:rsidRPr="001554A2" w14:paraId="0B173FD5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ED0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DC6F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29894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7A72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35393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56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452B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85E6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8505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010F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1,19%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7A3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0,81%</w:t>
            </w:r>
          </w:p>
        </w:tc>
      </w:tr>
      <w:tr w:rsidR="00DF2A80" w:rsidRPr="001554A2" w14:paraId="4F92519B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914B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A596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27002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664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32489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6B9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9D74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213D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008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B71A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1,32%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3BC9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0,99%</w:t>
            </w:r>
          </w:p>
        </w:tc>
      </w:tr>
      <w:tr w:rsidR="00DF2A80" w:rsidRPr="001554A2" w14:paraId="7F251C84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7B0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B68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24520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E2E3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30728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09FD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FB7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65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F50D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356" w14:textId="7EC0C893" w:rsidR="00DF2A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GB"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FF4CF" wp14:editId="631BFDD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98425</wp:posOffset>
                      </wp:positionV>
                      <wp:extent cx="563880" cy="327660"/>
                      <wp:effectExtent l="0" t="0" r="26670" b="15240"/>
                      <wp:wrapNone/>
                      <wp:docPr id="2" name="Ellip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42E0A" w14:textId="77777777" w:rsidR="006F717E" w:rsidRDefault="006F717E" w:rsidP="00B831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FF4CF" id="Ellips 2" o:spid="_x0000_s1026" style="position:absolute;left:0;text-align:left;margin-left:7.8pt;margin-top:7.75pt;width:44.4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" filled="f" strokecolor="#70ad47 [3209]" strokeweight="1pt">
                      <v:stroke joinstyle="miter"/>
                      <v:textbox>
                        <w:txbxContent>
                          <w:p w14:paraId="0D642E0A" w14:textId="77777777" w:rsidR="006F717E" w:rsidRDefault="006F717E" w:rsidP="00B83180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F2A80"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1,46%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506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1,08%</w:t>
            </w:r>
          </w:p>
        </w:tc>
      </w:tr>
      <w:tr w:rsidR="00B83180" w:rsidRPr="001554A2" w14:paraId="4A497CF0" w14:textId="77777777" w:rsidTr="00B83180">
        <w:trPr>
          <w:trHeight w:hRule="exact" w:val="28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2D81" w14:textId="51509B42" w:rsidR="00B831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87B3" w14:textId="298C7857" w:rsidR="00B83180" w:rsidRPr="001554A2" w:rsidRDefault="00B83180" w:rsidP="00B8318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22041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D611" w14:textId="64D19EE5" w:rsidR="00B83180" w:rsidRPr="001554A2" w:rsidRDefault="00B83180" w:rsidP="00B83180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27919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6FD5B" w14:textId="77777777" w:rsidR="00B831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41DB" w14:textId="3E79A907" w:rsidR="00B831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586F" w14:textId="62F24A10" w:rsidR="00B831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E670D" w14:textId="77777777" w:rsidR="00B831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3790" w14:textId="00402D65" w:rsidR="00B831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1,45%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60FC" w14:textId="562BCD95" w:rsidR="00B831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1,27%</w:t>
            </w:r>
          </w:p>
        </w:tc>
      </w:tr>
      <w:tr w:rsidR="00DF2A80" w:rsidRPr="001554A2" w14:paraId="1C71ECED" w14:textId="77777777" w:rsidTr="00DF2A80">
        <w:trPr>
          <w:trHeight w:val="288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F2D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Up to 99 year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987D" w14:textId="44FA43B6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D6C3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F1A5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3BFC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B63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837" w14:textId="2FA8EE0A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D91D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2DCF0C45" w14:textId="77777777" w:rsidTr="002B7A41">
        <w:trPr>
          <w:trHeight w:val="288"/>
        </w:trPr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0D33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3D9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8E7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AD2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6E8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E11A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6ECB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6578" w14:textId="00B450A4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9305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2E5C0CBE" w14:textId="77777777" w:rsidTr="002B7A41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68ACE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val="en-GB" w:eastAsia="sv-SE"/>
              </w:rPr>
              <w:t>Step 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7F59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4E23E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3633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3F58E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016D1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0C52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D68B3" w14:textId="40D4DC05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67CBB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2B273B35" w14:textId="77777777" w:rsidTr="002B7A41">
        <w:trPr>
          <w:trHeight w:val="552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1A3C7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Patient number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B918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Sex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DC99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Age at implant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EFE8" w14:textId="6BA258B5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 xml:space="preserve">Year post </w:t>
            </w:r>
            <w:r w:rsidR="00747311"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TAVI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798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7572" w14:textId="36EBB42B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94F8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BFFE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493C5A43" w14:textId="77777777" w:rsidTr="00DF2A80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7221E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4A5C6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884B5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DD2F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D2E36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2BB2A" w14:textId="4FAC1A08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032A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D31FB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34E3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6</w:t>
            </w:r>
          </w:p>
        </w:tc>
      </w:tr>
      <w:tr w:rsidR="00DF2A80" w:rsidRPr="001554A2" w14:paraId="2ECD732E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A4B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B4C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ABC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E1D6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1FD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392E" w14:textId="41860B43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847B" w14:textId="5B8F6AC6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5CAB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DADF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03F6C653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8135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8B66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Female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83E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39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668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FC0B" w14:textId="42871D6A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F9E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E153" w14:textId="7CB0B399" w:rsidR="00DF2A80" w:rsidRPr="001554A2" w:rsidRDefault="00DF2A80" w:rsidP="002B7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</w:t>
            </w:r>
            <w:r w:rsidR="002B7A41"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A07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</w:tr>
      <w:tr w:rsidR="00DF2A80" w:rsidRPr="001554A2" w14:paraId="553468A6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014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B5B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151F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0F8A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13B4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87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8974" w14:textId="1F3DA4DC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EF4C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D61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02C0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6A1F4101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D88" w14:textId="77777777" w:rsidR="00DF2A80" w:rsidRPr="001554A2" w:rsidRDefault="00DF2A80" w:rsidP="00DF2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8375" w14:textId="13E59A44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EC4E" w14:textId="60319483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4D25" w14:textId="55EA0A4B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51FE" w14:textId="35A9D646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570B" w14:textId="14814442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E556" w14:textId="14BF6CAA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F1C1" w14:textId="5561C0AE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6F7" w14:textId="370E18CC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</w:tr>
      <w:tr w:rsidR="00DF2A80" w:rsidRPr="001554A2" w14:paraId="3D9CD9DB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A3F2" w14:textId="1516117D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4205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9EC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Female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98DD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FD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95D" w14:textId="10397AA3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77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33BA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303A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E9C1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BEF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0E01C3AD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6BB8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3E6B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8122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F5A2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FA20" w14:textId="6B0F1EDB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9942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47BB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80BD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827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702C6F99" w14:textId="77777777" w:rsidTr="002B7A41">
        <w:trPr>
          <w:trHeight w:val="288"/>
        </w:trPr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7FB6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6E56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D7F3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3EC0" w14:textId="29CB0308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0B70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0AA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2F97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98C8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2432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3177735E" w14:textId="77777777" w:rsidTr="002B7A41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22DD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val="en-GB" w:eastAsia="sv-SE"/>
              </w:rPr>
              <w:t>Step 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4F18F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3E92B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4F7F4" w14:textId="614A17C1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9239C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7D497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3722F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39EE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B5CE4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3FC4C8EF" w14:textId="77777777" w:rsidTr="002B7A41">
        <w:trPr>
          <w:trHeight w:val="552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19D2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Patient number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263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Sex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4E3D" w14:textId="7107B82E" w:rsidR="00DF2A80" w:rsidRPr="001554A2" w:rsidRDefault="00B831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GB"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3248BE" wp14:editId="1450DB6D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-2526665</wp:posOffset>
                      </wp:positionV>
                      <wp:extent cx="2811780" cy="3025140"/>
                      <wp:effectExtent l="38100" t="0" r="26670" b="60960"/>
                      <wp:wrapNone/>
                      <wp:docPr id="7" name="Rak pilkoppl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11780" cy="30251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A6B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7" o:spid="_x0000_s1026" type="#_x0000_t32" style="position:absolute;margin-left:45.25pt;margin-top:-198.95pt;width:221.4pt;height:238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 w:rsidR="00DF2A80"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 xml:space="preserve">Year post </w:t>
            </w:r>
            <w:r w:rsidR="00747311"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TAVI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096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006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DE74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B6C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F2C9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2E048BDF" w14:textId="77777777" w:rsidTr="00DF2A80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D5056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FF970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123D1" w14:textId="17256DBA" w:rsidR="00DF2A80" w:rsidRPr="001554A2" w:rsidRDefault="00B831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GB" w:eastAsia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D0AE30" wp14:editId="5B86521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132715</wp:posOffset>
                      </wp:positionV>
                      <wp:extent cx="480060" cy="266700"/>
                      <wp:effectExtent l="0" t="0" r="15240" b="19050"/>
                      <wp:wrapNone/>
                      <wp:docPr id="6" name="Ellip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2667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AE318" id="Ellips 6" o:spid="_x0000_s1026" style="position:absolute;margin-left:12.25pt;margin-top:10.45pt;width:37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DF2A80"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7D28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386F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C8A7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9CD6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ABDA5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A1DC3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6</w:t>
            </w:r>
          </w:p>
        </w:tc>
      </w:tr>
      <w:tr w:rsidR="00DF2A80" w:rsidRPr="001554A2" w14:paraId="34700C92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AF2B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F791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1B5E" w14:textId="3BFDEACC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1,45%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A6A3" w14:textId="0B37A8E3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1,53%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8B9E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1,73%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C0F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1,96%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CCA4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1,85%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9B5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A0C8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2B6EACA0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16E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8768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Female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A08A" w14:textId="59521381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0,80%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761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0,88%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6343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0,81%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C93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0,99%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646C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1,08%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546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1,27%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029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</w:tr>
      <w:tr w:rsidR="00DF2A80" w:rsidRPr="001554A2" w14:paraId="5A321E89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4D44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D10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CCBE" w14:textId="372DB90A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1,96%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7C1F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1,85%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F11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1,94%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F81E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61AE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0E53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7640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49074FC1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4AD4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97C9" w14:textId="3236AA0B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BBA8" w14:textId="76263F5C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FA5E" w14:textId="3459A4AF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B5ED" w14:textId="6E0F9594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0D67" w14:textId="66EA3DF5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0D20" w14:textId="4357CF1F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3CE6" w14:textId="1AB1C06A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06D8" w14:textId="302F686B" w:rsidR="00DF2A80" w:rsidRPr="001554A2" w:rsidRDefault="00DF2A80" w:rsidP="00DF2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  <w:r w:rsidRPr="001554A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t>-</w:t>
            </w:r>
          </w:p>
        </w:tc>
      </w:tr>
      <w:tr w:rsidR="00DF2A80" w:rsidRPr="001554A2" w14:paraId="77519763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D4D" w14:textId="0F47F552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4205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B2CF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Female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A61D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0,64%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642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0,68%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54D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0,80%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4778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  <w:t>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A109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2F7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627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7BE1FEA7" w14:textId="77777777" w:rsidTr="00DF2A8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AD46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1718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C430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68CA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D0E6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ADEC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EA36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EB4A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4F45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DF2A80" w:rsidRPr="001554A2" w14:paraId="78482F99" w14:textId="77777777" w:rsidTr="00DF2A80">
        <w:trPr>
          <w:trHeight w:val="288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33EC9" w14:textId="0A35A151" w:rsidR="00DF2A80" w:rsidRPr="001554A2" w:rsidRDefault="00DF2A80" w:rsidP="002B7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Standardized risk for the</w:t>
            </w:r>
            <w:r w:rsidR="002B7A41"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 xml:space="preserve"> </w:t>
            </w: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population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7113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1,46%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765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1,55%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77BB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1,65%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F097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1,74%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86A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1,78%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DFE4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1,81%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0F50" w14:textId="77777777" w:rsidR="00DF2A80" w:rsidRPr="001554A2" w:rsidRDefault="00DF2A80" w:rsidP="00DF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  <w:t>1,93%</w:t>
            </w:r>
          </w:p>
        </w:tc>
      </w:tr>
      <w:tr w:rsidR="00DF2A80" w:rsidRPr="001554A2" w14:paraId="6D714E69" w14:textId="77777777" w:rsidTr="00DF2A80">
        <w:trPr>
          <w:trHeight w:val="288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01FD" w14:textId="467A503B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EEB3" w14:textId="77777777" w:rsidR="00DF2A80" w:rsidRPr="001554A2" w:rsidRDefault="00DF2A80" w:rsidP="00DF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0DCF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B4AA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7E6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50F5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B153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B3B0" w14:textId="77777777" w:rsidR="00DF2A80" w:rsidRPr="001554A2" w:rsidRDefault="00DF2A80" w:rsidP="00DF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</w:tbl>
    <w:p w14:paraId="2C8931BC" w14:textId="2EDA0C6E" w:rsidR="00275082" w:rsidRPr="001554A2" w:rsidRDefault="00275082" w:rsidP="00275082">
      <w:pPr>
        <w:pStyle w:val="Rubrik2"/>
        <w:rPr>
          <w:lang w:val="en-GB"/>
        </w:rPr>
      </w:pPr>
    </w:p>
    <w:p w14:paraId="7E1B9C38" w14:textId="77777777" w:rsidR="00D56C60" w:rsidRPr="001554A2" w:rsidRDefault="00D56C60" w:rsidP="00D56C60">
      <w:pPr>
        <w:rPr>
          <w:lang w:val="en-GB"/>
        </w:rPr>
      </w:pPr>
    </w:p>
    <w:p w14:paraId="0B12F3E0" w14:textId="4A8999DD" w:rsidR="00275082" w:rsidRPr="001554A2" w:rsidRDefault="00275082" w:rsidP="00275082">
      <w:pPr>
        <w:spacing w:line="360" w:lineRule="auto"/>
        <w:rPr>
          <w:lang w:val="en-GB"/>
        </w:rPr>
      </w:pPr>
      <w:r w:rsidRPr="001554A2">
        <w:rPr>
          <w:b/>
          <w:lang w:val="en-GB"/>
        </w:rPr>
        <w:t>Step 1</w:t>
      </w:r>
      <w:r w:rsidRPr="001554A2">
        <w:rPr>
          <w:lang w:val="en-GB"/>
        </w:rPr>
        <w:t xml:space="preserve">: Census data on number of persons in each age group and sex is extracted from </w:t>
      </w:r>
      <w:r w:rsidR="006F717E" w:rsidRPr="001554A2">
        <w:rPr>
          <w:lang w:val="en-GB"/>
        </w:rPr>
        <w:t xml:space="preserve">the </w:t>
      </w:r>
      <w:r w:rsidRPr="001554A2">
        <w:rPr>
          <w:lang w:val="en-GB"/>
        </w:rPr>
        <w:t xml:space="preserve">national tax registry </w:t>
      </w:r>
      <w:r w:rsidR="00D56C60" w:rsidRPr="001554A2">
        <w:rPr>
          <w:lang w:val="en-GB"/>
        </w:rPr>
        <w:t xml:space="preserve">for </w:t>
      </w:r>
      <w:r w:rsidRPr="001554A2">
        <w:rPr>
          <w:lang w:val="en-GB"/>
        </w:rPr>
        <w:t>2017. Number of stroke</w:t>
      </w:r>
      <w:r w:rsidR="006F717E" w:rsidRPr="001554A2">
        <w:rPr>
          <w:lang w:val="en-GB"/>
        </w:rPr>
        <w:t>s</w:t>
      </w:r>
      <w:r w:rsidRPr="001554A2">
        <w:rPr>
          <w:lang w:val="en-GB"/>
        </w:rPr>
        <w:t xml:space="preserve"> for each age group and sex for 2017 is extracted from </w:t>
      </w:r>
      <w:proofErr w:type="spellStart"/>
      <w:r w:rsidRPr="001554A2">
        <w:rPr>
          <w:lang w:val="en-GB"/>
        </w:rPr>
        <w:t>Riksstroke</w:t>
      </w:r>
      <w:proofErr w:type="spellEnd"/>
      <w:r w:rsidRPr="001554A2">
        <w:rPr>
          <w:lang w:val="en-GB"/>
        </w:rPr>
        <w:t>.</w:t>
      </w:r>
    </w:p>
    <w:p w14:paraId="3E37D5E9" w14:textId="1FFB053E" w:rsidR="00275082" w:rsidRPr="001554A2" w:rsidRDefault="00275082" w:rsidP="00275082">
      <w:pPr>
        <w:spacing w:line="360" w:lineRule="auto"/>
        <w:rPr>
          <w:lang w:val="en-GB"/>
        </w:rPr>
      </w:pPr>
      <w:r w:rsidRPr="001554A2">
        <w:rPr>
          <w:b/>
          <w:lang w:val="en-GB"/>
        </w:rPr>
        <w:lastRenderedPageBreak/>
        <w:t xml:space="preserve">Step 2: </w:t>
      </w:r>
      <w:r w:rsidRPr="001554A2">
        <w:rPr>
          <w:lang w:val="en-GB"/>
        </w:rPr>
        <w:t xml:space="preserve">The study cohort depicted with time in study for individuals and their age at each year post </w:t>
      </w:r>
      <w:r w:rsidR="00747311" w:rsidRPr="001554A2">
        <w:rPr>
          <w:lang w:val="en-GB"/>
        </w:rPr>
        <w:t>TAVI</w:t>
      </w:r>
      <w:r w:rsidRPr="001554A2">
        <w:rPr>
          <w:lang w:val="en-GB"/>
        </w:rPr>
        <w:t xml:space="preserve">. </w:t>
      </w:r>
      <w:r w:rsidRPr="001554A2">
        <w:rPr>
          <w:rFonts w:cstheme="minorHAnsi"/>
          <w:lang w:val="en-GB"/>
        </w:rPr>
        <w:t>|</w:t>
      </w:r>
      <w:r w:rsidRPr="001554A2">
        <w:rPr>
          <w:lang w:val="en-GB"/>
        </w:rPr>
        <w:t>* denotes that the patient leaves the study (dead or censored)</w:t>
      </w:r>
      <w:r w:rsidR="00D56C60" w:rsidRPr="001554A2">
        <w:rPr>
          <w:lang w:val="en-GB"/>
        </w:rPr>
        <w:t>.</w:t>
      </w:r>
    </w:p>
    <w:p w14:paraId="0151EBF3" w14:textId="60D2615F" w:rsidR="00275082" w:rsidRPr="001554A2" w:rsidRDefault="00275082" w:rsidP="00275082">
      <w:pPr>
        <w:spacing w:line="360" w:lineRule="auto"/>
        <w:rPr>
          <w:b/>
          <w:lang w:val="en-GB"/>
        </w:rPr>
      </w:pPr>
      <w:r w:rsidRPr="001554A2">
        <w:rPr>
          <w:b/>
          <w:lang w:val="en-GB"/>
        </w:rPr>
        <w:t>Step 3:</w:t>
      </w:r>
      <w:r w:rsidRPr="001554A2">
        <w:rPr>
          <w:lang w:val="en-GB"/>
        </w:rPr>
        <w:t xml:space="preserve"> Each age/sex point is substituted with the corresponding risk from Step 1. A mean is calculated for the study population and used as standardized risk for comparison. </w:t>
      </w:r>
    </w:p>
    <w:p w14:paraId="5B5B4333" w14:textId="48DAC060" w:rsidR="00862C0C" w:rsidRPr="001554A2" w:rsidRDefault="00275082" w:rsidP="00275082">
      <w:pPr>
        <w:rPr>
          <w:lang w:val="en-GB"/>
        </w:rPr>
      </w:pPr>
      <w:r w:rsidRPr="001554A2">
        <w:rPr>
          <w:lang w:val="en-GB"/>
        </w:rPr>
        <w:t xml:space="preserve"> </w:t>
      </w:r>
      <w:r w:rsidR="00862C0C" w:rsidRPr="001554A2">
        <w:rPr>
          <w:lang w:val="en-GB"/>
        </w:rPr>
        <w:br w:type="page"/>
      </w:r>
    </w:p>
    <w:p w14:paraId="572DDBF5" w14:textId="6A6F8DE5" w:rsidR="00471CEC" w:rsidRPr="001554A2" w:rsidRDefault="00D05ADE" w:rsidP="002654E3">
      <w:pPr>
        <w:pStyle w:val="Rubrik1"/>
        <w:rPr>
          <w:lang w:val="en-GB"/>
        </w:rPr>
      </w:pPr>
      <w:bookmarkStart w:id="5" w:name="_Toc23193758"/>
      <w:proofErr w:type="spellStart"/>
      <w:r w:rsidRPr="001554A2">
        <w:rPr>
          <w:lang w:val="en-GB"/>
        </w:rPr>
        <w:lastRenderedPageBreak/>
        <w:t>eTable</w:t>
      </w:r>
      <w:proofErr w:type="spellEnd"/>
      <w:r w:rsidRPr="001554A2">
        <w:rPr>
          <w:lang w:val="en-GB"/>
        </w:rPr>
        <w:t xml:space="preserve"> 1 </w:t>
      </w:r>
      <w:r w:rsidR="00F63ADF" w:rsidRPr="001554A2">
        <w:rPr>
          <w:lang w:val="en-GB"/>
        </w:rPr>
        <w:t xml:space="preserve">– </w:t>
      </w:r>
      <w:r w:rsidR="00C266B3" w:rsidRPr="001554A2">
        <w:rPr>
          <w:lang w:val="en-GB"/>
        </w:rPr>
        <w:t>Variables used in the analys</w:t>
      </w:r>
      <w:r w:rsidR="002323EA" w:rsidRPr="001554A2">
        <w:rPr>
          <w:lang w:val="en-GB"/>
        </w:rPr>
        <w:t>is</w:t>
      </w:r>
      <w:bookmarkEnd w:id="5"/>
    </w:p>
    <w:p w14:paraId="43D021F1" w14:textId="77777777" w:rsidR="002323EA" w:rsidRPr="001554A2" w:rsidRDefault="002323EA" w:rsidP="002323EA">
      <w:pPr>
        <w:rPr>
          <w:lang w:val="en-GB"/>
        </w:rPr>
      </w:pPr>
    </w:p>
    <w:p w14:paraId="4BAD9471" w14:textId="0FF7F7C8" w:rsidR="006B3B17" w:rsidRPr="001554A2" w:rsidRDefault="006B3B17" w:rsidP="006B3B17">
      <w:pPr>
        <w:rPr>
          <w:lang w:val="en-GB"/>
        </w:rPr>
      </w:pPr>
    </w:p>
    <w:tbl>
      <w:tblPr>
        <w:tblW w:w="10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60"/>
        <w:gridCol w:w="1420"/>
        <w:gridCol w:w="1360"/>
        <w:gridCol w:w="1360"/>
        <w:gridCol w:w="709"/>
        <w:gridCol w:w="1701"/>
      </w:tblGrid>
      <w:tr w:rsidR="002323EA" w:rsidRPr="001554A2" w14:paraId="14FA0773" w14:textId="77777777" w:rsidTr="009A078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716E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F59E2" w14:textId="022467DA" w:rsidR="002323EA" w:rsidRPr="001554A2" w:rsidRDefault="00B7305C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81389" w14:textId="7777777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D9B06" w14:textId="77777777" w:rsidR="002323EA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No Stroke</w:t>
            </w:r>
          </w:p>
          <w:p w14:paraId="7B623FEA" w14:textId="47C3277E" w:rsidR="009A078A" w:rsidRPr="001554A2" w:rsidRDefault="009A078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n=3970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97CA4" w14:textId="77777777" w:rsidR="002323EA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Stroke</w:t>
            </w:r>
          </w:p>
          <w:p w14:paraId="033AE959" w14:textId="5C6AF95E" w:rsidR="009A078A" w:rsidRPr="001554A2" w:rsidRDefault="009A078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n=235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7EEDF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P-value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82901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95% CI</w:t>
            </w:r>
          </w:p>
        </w:tc>
      </w:tr>
      <w:tr w:rsidR="002323EA" w:rsidRPr="001554A2" w14:paraId="5782F6DC" w14:textId="77777777" w:rsidTr="009A078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7276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Age (years)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EEBD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8248" w14:textId="1EF57C5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 ± 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D1C8" w14:textId="1E397A8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 ± 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C664" w14:textId="4019DAD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 ± 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B888" w14:textId="3FC6B960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0434" w14:textId="5FCB71E6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02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04)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5740C9C2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4A0F" w14:textId="0CAFE785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Male </w:t>
            </w:r>
            <w:r w:rsidR="00193E94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101E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39A" w14:textId="0F367E1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2150 (51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995" w14:textId="1C9244F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2022 (51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0C6B" w14:textId="0B16545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128 (54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9881" w14:textId="1997B54C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691A" w14:textId="1ADD6A63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96-1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61)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61FB0CCD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03F8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Height (cm)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41E6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D152" w14:textId="47AACF8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 ± 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C8B" w14:textId="74115B4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 ± 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E49A" w14:textId="5CF93E8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236B" w14:textId="012CCEAE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784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6A75" w14:textId="675B751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98-1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01)</w:t>
            </w:r>
          </w:p>
        </w:tc>
      </w:tr>
      <w:tr w:rsidR="002323EA" w:rsidRPr="001554A2" w14:paraId="313A86CA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0FE0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Weight (kg)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0ACC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08DA" w14:textId="170A910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 ± 16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7DBF" w14:textId="4441893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 ± 16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C740" w14:textId="5F5EFA6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 ± 15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15EC" w14:textId="1EA4CDF0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4CFE" w14:textId="3961937A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00)</w:t>
            </w:r>
          </w:p>
        </w:tc>
      </w:tr>
      <w:tr w:rsidR="002323EA" w:rsidRPr="001554A2" w14:paraId="5E909531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B70B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BSA (m2)†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FBA9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53FF" w14:textId="09845D7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8 ± 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09B2" w14:textId="63D73BFC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± 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C402" w14:textId="0824D4D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± 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53E" w14:textId="7EA9E598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0CE5" w14:textId="77CA135C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38-1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29)</w:t>
            </w:r>
          </w:p>
        </w:tc>
      </w:tr>
      <w:tr w:rsidR="002323EA" w:rsidRPr="001554A2" w14:paraId="41E514DE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5722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Body mass 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A77E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553B" w14:textId="37E40BD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84B7" w14:textId="201A7ED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1083" w14:textId="64F1BFD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 ± 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1243" w14:textId="6A15E07F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804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79E4" w14:textId="763E7E56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97-1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05)</w:t>
            </w:r>
          </w:p>
        </w:tc>
      </w:tr>
      <w:tr w:rsidR="002323EA" w:rsidRPr="001554A2" w14:paraId="1499D128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5800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Serum creatinine (µmol/L)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B931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153" w14:textId="103A19C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65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F3A8" w14:textId="16A3881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 ± 64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3A17" w14:textId="52EF58B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116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 ± 88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20D5" w14:textId="58792DFF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8157" w14:textId="38B923C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00)</w:t>
            </w:r>
          </w:p>
        </w:tc>
      </w:tr>
      <w:tr w:rsidR="002323EA" w:rsidRPr="001554A2" w14:paraId="28C9F7F7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AA3E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eGFR (ml/min/1.73 m2) 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0DFF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B0B" w14:textId="3C7A91E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 ± 19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50F" w14:textId="674F5A3D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19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EAF" w14:textId="41DF080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 ± 21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C69C" w14:textId="5429C720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A5B" w14:textId="14CED5CA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00)</w:t>
            </w:r>
          </w:p>
        </w:tc>
      </w:tr>
      <w:tr w:rsidR="002323EA" w:rsidRPr="001554A2" w14:paraId="0F0FAAEB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8F93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eGFR&lt;30 ml/min/1.73 m2 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FA3B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7EA1" w14:textId="526D99F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313 (7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AE1F" w14:textId="57AF864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286 (7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A79D" w14:textId="5BBCAC3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 (11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BF8" w14:textId="226299B1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3082" w14:textId="3B4705AC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03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36-3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03)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442F1250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BBFB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eGFR&lt;60 ml/min/1.73 m2 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7861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62B" w14:textId="7B43DDF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2289 (54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6CCB" w14:textId="34217AC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2159 (54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AB64" w14:textId="2206E84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130 (55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895" w14:textId="5A6DCCD0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9E28" w14:textId="0F5256B4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08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84-1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40)</w:t>
            </w:r>
          </w:p>
        </w:tc>
      </w:tr>
      <w:tr w:rsidR="002323EA" w:rsidRPr="001554A2" w14:paraId="4B173120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603A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Hypertension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87C1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EC86" w14:textId="5696A01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3113 (74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C2B9" w14:textId="5CEA75C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2931 (73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F837" w14:textId="1BE0BE2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182 (77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A9B1" w14:textId="39356C3B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E8EA" w14:textId="20F729B0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91-1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68)</w:t>
            </w:r>
          </w:p>
        </w:tc>
      </w:tr>
      <w:tr w:rsidR="002323EA" w:rsidRPr="001554A2" w14:paraId="6703566F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6EF1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Diabetes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F6FB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D673" w14:textId="3BE1593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1019 (24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665" w14:textId="6C34558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946 (23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1883" w14:textId="12ACC05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73 (31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E9C" w14:textId="4D91D1B2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F8C5" w14:textId="2EB169AF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59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09)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44E601CA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DB5C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Previous cardiac surgery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15A3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76A" w14:textId="177B35DD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989 (23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7840" w14:textId="384DF90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928 (23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E173" w14:textId="1C28DA2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61 (26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DAC6" w14:textId="4EC5B202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454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F147" w14:textId="54CA1E21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89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67-1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20)</w:t>
            </w:r>
          </w:p>
        </w:tc>
      </w:tr>
      <w:tr w:rsidR="002323EA" w:rsidRPr="001554A2" w14:paraId="079A6690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89C9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Myocardial infarction 3 months prior to procedure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B0F9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08D7" w14:textId="45CD137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235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E56A" w14:textId="4DC5305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219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EE06" w14:textId="6FB9C25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 (6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55C5" w14:textId="16902444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5AD" w14:textId="73296AA2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78-2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16)</w:t>
            </w:r>
          </w:p>
        </w:tc>
      </w:tr>
      <w:tr w:rsidR="002323EA" w:rsidRPr="001554A2" w14:paraId="641CE06C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4754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Previous PCI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104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3594" w14:textId="15E404A9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1148 (27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4169" w14:textId="1FE62E4C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1076 (27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4066" w14:textId="57BECA90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72 (30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AB29" w14:textId="0AE5422D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503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E98F" w14:textId="11E2FD8A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83-1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45)</w:t>
            </w:r>
          </w:p>
        </w:tc>
      </w:tr>
      <w:tr w:rsidR="002323EA" w:rsidRPr="001554A2" w14:paraId="1B1BC9AD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8865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COPD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5984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FA16" w14:textId="4ED1472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827 (19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15BB" w14:textId="142D855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784 (19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6473" w14:textId="69733FE2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43 (18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7BAA" w14:textId="4D44565C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826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18DD" w14:textId="27D5BF89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96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69-1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34)</w:t>
            </w:r>
          </w:p>
        </w:tc>
      </w:tr>
      <w:tr w:rsidR="002323EA" w:rsidRPr="001554A2" w14:paraId="68A73735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C133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Previous stroke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2B6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815F" w14:textId="7C53167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568 (13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D9BA" w14:textId="501F674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522 (13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819A" w14:textId="76B6BA1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46 (19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2703" w14:textId="6C3B0253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F553" w14:textId="67301C03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60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0C5C0A52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E616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Critical preoperative 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C12B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6D1B" w14:textId="3103656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125 (3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8086" w14:textId="060B9B7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116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54BE" w14:textId="0859365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 (3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39E9" w14:textId="60E10C00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A559" w14:textId="5939E8F9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59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82-3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09)</w:t>
            </w:r>
          </w:p>
        </w:tc>
      </w:tr>
      <w:tr w:rsidR="002323EA" w:rsidRPr="001554A2" w14:paraId="53DCACA5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AE1A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Peripheral vascular disease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EBC5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B39F" w14:textId="5735494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798 (19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8014" w14:textId="5123198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743 (18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4446" w14:textId="4C95037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55 (23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7479" w14:textId="5BAED691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0A29" w14:textId="3BAF9D32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82)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5B37F3EC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2968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Reduced mobility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511A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0F83" w14:textId="709E8AF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593 (14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FDB" w14:textId="3E53B1A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559 (14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612C" w14:textId="4D0D1AA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34 (14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C799" w14:textId="15A15197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7010" w14:textId="13F5D31B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25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87-1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80)</w:t>
            </w:r>
          </w:p>
        </w:tc>
      </w:tr>
      <w:tr w:rsidR="002323EA" w:rsidRPr="001554A2" w14:paraId="45A6ECC2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83F9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Atrial fibrillation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5C3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3D6B" w14:textId="032E263D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1561 (37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1B13" w14:textId="19A762A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1482 (37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5C47" w14:textId="5C9ADAA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79 (33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DFB8" w14:textId="6DB449B8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803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0852" w14:textId="5B2E558A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97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74-1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6625A457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A672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Porcelain aorta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2055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2A35" w14:textId="3AD34FB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85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F81C" w14:textId="140A3F9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73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479A" w14:textId="0BE8827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844B" w14:textId="161B69DE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866C" w14:textId="1B9468D3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36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76-2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45)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0F9BB50C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9CE8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Steroid treatment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616D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0B7" w14:textId="788688E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341 (8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4635" w14:textId="7306C80D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327 (8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5545" w14:textId="3006F91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14 (6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F9B" w14:textId="2980930B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60A" w14:textId="18BF42C4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43-1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28)</w:t>
            </w:r>
          </w:p>
        </w:tc>
      </w:tr>
      <w:tr w:rsidR="002323EA" w:rsidRPr="001554A2" w14:paraId="0F6E833A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55AA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History of malignancy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F76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7081" w14:textId="1C22114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447 (10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C826" w14:textId="6F6D755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 (10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37FE" w14:textId="7D31482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 (11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816" w14:textId="0CBB6D17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492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86AE" w14:textId="38D206A2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15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77-1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72)</w:t>
            </w:r>
          </w:p>
        </w:tc>
      </w:tr>
      <w:tr w:rsidR="002323EA" w:rsidRPr="001554A2" w14:paraId="571DAA37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FC86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History of radiation treatment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59DA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CA5F" w14:textId="1FB2EE3C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97F9" w14:textId="3A9C6CA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EFCB" w14:textId="2AA1450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1AEE" w14:textId="2B98E715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643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C2D8" w14:textId="5FF75B76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26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47-3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40)</w:t>
            </w:r>
          </w:p>
        </w:tc>
      </w:tr>
      <w:tr w:rsidR="002323EA" w:rsidRPr="001554A2" w14:paraId="1650DD94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E057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Mean aortic gradient (mmHg)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33B6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9940" w14:textId="6B352590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15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E58" w14:textId="0A8A0B6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15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D240" w14:textId="282E6CB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15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3B31" w14:textId="01ED4190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711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09E8" w14:textId="178D6371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01)</w:t>
            </w:r>
          </w:p>
        </w:tc>
      </w:tr>
      <w:tr w:rsidR="002323EA" w:rsidRPr="001554A2" w14:paraId="79FA04F7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3781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AVA (cm2)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274E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434" w14:textId="6D7E451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66 ± 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F2B3" w14:textId="5D2349C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66 ± 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5A1" w14:textId="0817FBA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64 ± 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63A3" w14:textId="0BD2E8FC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317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7B5" w14:textId="6FB3C925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72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38-1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36)</w:t>
            </w:r>
          </w:p>
        </w:tc>
      </w:tr>
      <w:tr w:rsidR="002323EA" w:rsidRPr="001554A2" w14:paraId="75291802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6C3F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LVEF normal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71BF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8375" w14:textId="15239D8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2582 (61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D586" w14:textId="570705A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2443 (61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7476" w14:textId="011881E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139 (59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1965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7E32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Reference</w:t>
            </w:r>
          </w:p>
        </w:tc>
      </w:tr>
      <w:tr w:rsidR="002323EA" w:rsidRPr="001554A2" w14:paraId="3948A1A1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E862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LVEF slightly depressed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C18F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4923" w14:textId="4CE52952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726 (17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BAC6" w14:textId="55D17CD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677 (17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2FE6" w14:textId="60B4169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49 (20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B836" w14:textId="7C8C8C47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2E8D" w14:textId="27862A64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97-1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86)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6500CB56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5F20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LVEF moderately depressed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CF6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A725" w14:textId="769D4AC0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558 (13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FEBE" w14:textId="2421A8F0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528 (13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CA16" w14:textId="47EBEE3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30 (12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7DA3" w14:textId="76F8765B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780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2971" w14:textId="0BB33479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06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71-1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57)</w:t>
            </w:r>
          </w:p>
        </w:tc>
      </w:tr>
      <w:tr w:rsidR="002323EA" w:rsidRPr="001554A2" w14:paraId="582DACD7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82AC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LVEF severely depressed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F7EC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E0BD" w14:textId="554B235C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333 (7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A1DB" w14:textId="79FE9DA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316 (8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1751" w14:textId="706182D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17 (7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43E4" w14:textId="42E6E215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83D8" w14:textId="035D5AC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61-1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68)</w:t>
            </w:r>
          </w:p>
        </w:tc>
      </w:tr>
      <w:tr w:rsidR="002323EA" w:rsidRPr="001554A2" w14:paraId="1FAA7A4A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96DC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  <w:t>Procedural variables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5F31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2F1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3967" w14:textId="77777777" w:rsidR="002323EA" w:rsidRPr="001554A2" w:rsidRDefault="002323EA" w:rsidP="0023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F603" w14:textId="77777777" w:rsidR="002323EA" w:rsidRPr="001554A2" w:rsidRDefault="002323EA" w:rsidP="0023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468B9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5DD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2323EA" w:rsidRPr="001554A2" w14:paraId="330811BF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3BE7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Contrast (ml)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F0A6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E114" w14:textId="7324BC0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± 65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8EC3" w14:textId="021ADB32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 ± 65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A828" w14:textId="3C97E8E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± 66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E42" w14:textId="4388FA06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873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232C" w14:textId="7EACD922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00)</w:t>
            </w:r>
          </w:p>
        </w:tc>
      </w:tr>
      <w:tr w:rsidR="002323EA" w:rsidRPr="001554A2" w14:paraId="72401C5B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A028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proofErr w:type="spellStart"/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Flouro</w:t>
            </w:r>
            <w:proofErr w:type="spellEnd"/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time (sec)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FB37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6145" w14:textId="2B52F80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1269± 845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6A4F" w14:textId="3339AAC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1264± 847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3529" w14:textId="6ACF9A7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1342± 804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9765" w14:textId="1A21A779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780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895A" w14:textId="3C05F9C0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00)</w:t>
            </w:r>
          </w:p>
        </w:tc>
      </w:tr>
      <w:tr w:rsidR="002323EA" w:rsidRPr="001554A2" w14:paraId="303D08A2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C705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Transfemoral access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DD50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1F60" w14:textId="767EA0B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3621 (86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937E" w14:textId="03A2DAA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3433 (86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3F02" w14:textId="7C9FF6D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188 (80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2772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3521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Reference</w:t>
            </w:r>
          </w:p>
        </w:tc>
      </w:tr>
      <w:tr w:rsidR="002323EA" w:rsidRPr="001554A2" w14:paraId="2F7F5172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F9EE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lastRenderedPageBreak/>
              <w:t>Transapical access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F973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9063" w14:textId="28AB18E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405 (9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71E" w14:textId="11C01DF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370 (9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E283" w14:textId="3C9B0A00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35 (14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D31B" w14:textId="56E33308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BD93" w14:textId="463A8FA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29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90-1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86)</w:t>
            </w:r>
          </w:p>
        </w:tc>
      </w:tr>
      <w:tr w:rsidR="002323EA" w:rsidRPr="001554A2" w14:paraId="05589085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6039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Direct aortic access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546F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E51C" w14:textId="2806300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80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B9E" w14:textId="40BF5339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76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5D65" w14:textId="218C138D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0CAB" w14:textId="6DA5E8C3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922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0BF5" w14:textId="4BEEE9E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05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39-2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83)</w:t>
            </w:r>
          </w:p>
        </w:tc>
      </w:tr>
      <w:tr w:rsidR="002323EA" w:rsidRPr="001554A2" w14:paraId="4730A8DE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01FA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Subclavian access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AE7C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CA4" w14:textId="057D311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385E" w14:textId="07E2685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91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1A23" w14:textId="4DAE8C2C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(3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CD6E" w14:textId="23508A7D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0D44" w14:textId="70847846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79-3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27)</w:t>
            </w:r>
          </w:p>
        </w:tc>
      </w:tr>
      <w:tr w:rsidR="002323EA" w:rsidRPr="001554A2" w14:paraId="484340BB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2B36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Device SEV 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89EF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956D" w14:textId="1B90BCB4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2209 (52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5D54" w14:textId="23DC1CC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2088 (52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1432" w14:textId="6BF4859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121 (51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9A8E" w14:textId="47CE7BD8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955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77F8" w14:textId="6114F998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78-1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30)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38AD5003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2564" w14:textId="45FDAAD5" w:rsidR="002323EA" w:rsidRPr="001554A2" w:rsidRDefault="001721A0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Valve-in-valve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56E7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B323" w14:textId="37F0511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168 (4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9AE" w14:textId="4EC57E7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159 (4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0205" w14:textId="5CCC964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4E2A" w14:textId="2DB2A14F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22C9" w14:textId="6205B714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09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01-0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65)</w:t>
            </w:r>
          </w:p>
        </w:tc>
      </w:tr>
      <w:tr w:rsidR="002323EA" w:rsidRPr="001554A2" w14:paraId="28D6B80E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5881" w14:textId="22C1CC77" w:rsidR="002323EA" w:rsidRPr="001554A2" w:rsidRDefault="001721A0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proofErr w:type="spellStart"/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re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dilatation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4FC4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3605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244" w14:textId="03B4298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1700 (47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6029" w14:textId="09CBEDA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1631 (47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B645" w14:textId="15F6FFB2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69 (39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DDAC" w14:textId="2C133F44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416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52B6" w14:textId="463032BF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88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65-1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20)</w:t>
            </w:r>
          </w:p>
        </w:tc>
      </w:tr>
      <w:tr w:rsidR="002323EA" w:rsidRPr="001554A2" w14:paraId="2DC2211B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C3CE" w14:textId="6C992778" w:rsidR="002323EA" w:rsidRPr="001554A2" w:rsidRDefault="001721A0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proofErr w:type="spellStart"/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Postdilatation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A40F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8E58" w14:textId="207EB28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734 (17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96F7" w14:textId="11A8471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699 (17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6921" w14:textId="6AE74C7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35 (14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AB7" w14:textId="63B30AAC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989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14C3" w14:textId="675CA65A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70-1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44)</w:t>
            </w:r>
          </w:p>
        </w:tc>
      </w:tr>
      <w:tr w:rsidR="002323EA" w:rsidRPr="001554A2" w14:paraId="765441B9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DF5B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Second valve implanted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68AB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5451" w14:textId="490CFC0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125 (3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8C5A" w14:textId="058427BD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116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4C4F" w14:textId="0BECBA1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 (3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A9D4" w14:textId="4E05FC45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896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167B" w14:textId="3929C93A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05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54-2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04)</w:t>
            </w:r>
          </w:p>
        </w:tc>
      </w:tr>
      <w:tr w:rsidR="002323EA" w:rsidRPr="001554A2" w14:paraId="7198F4FF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5CA2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Intubation </w:t>
            </w:r>
            <w:proofErr w:type="spellStart"/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anesthesia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613C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FEFC" w14:textId="53B051F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1662 (39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C842" w14:textId="43421CC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1557 (39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8D74" w14:textId="000540C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105 (44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9B23" w14:textId="7F88DB20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801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8F86" w14:textId="2D85DB4D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97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75-1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25)</w:t>
            </w:r>
          </w:p>
        </w:tc>
      </w:tr>
      <w:tr w:rsidR="002323EA" w:rsidRPr="001554A2" w14:paraId="55A77D7C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DB5E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Heart-lung machine (unplanned)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5B06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BFA8" w14:textId="05799EA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7F00" w14:textId="0081DBF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22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D49" w14:textId="7EFABCA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807" w14:textId="58CFF6FF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663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4770" w14:textId="720D1401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73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18-2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95)</w:t>
            </w:r>
          </w:p>
        </w:tc>
      </w:tr>
      <w:tr w:rsidR="002323EA" w:rsidRPr="001554A2" w14:paraId="006DD469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EA2C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Acute vascular surgery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5195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926E" w14:textId="0337072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3C83" w14:textId="3FC76D8D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2A0F" w14:textId="23B13BB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B319" w14:textId="003DFF83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F8BB" w14:textId="599FD01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39-20.0)</w:t>
            </w:r>
          </w:p>
        </w:tc>
      </w:tr>
      <w:tr w:rsidR="002323EA" w:rsidRPr="001554A2" w14:paraId="57CF6923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75A6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Acute conversion to cardiac surgery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08F1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EE44" w14:textId="0D87F83C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60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674A" w14:textId="335A9CA3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59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71C0" w14:textId="1BE72C96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A1DB" w14:textId="1B9E72FD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466C" w14:textId="5432458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32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05-2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29)</w:t>
            </w:r>
          </w:p>
        </w:tc>
      </w:tr>
      <w:tr w:rsidR="002323EA" w:rsidRPr="001554A2" w14:paraId="1C51B571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54A2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  <w:t>Outcome 30 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9A6E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1DB2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DD4" w14:textId="77777777" w:rsidR="002323EA" w:rsidRPr="001554A2" w:rsidRDefault="002323EA" w:rsidP="0023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CF48" w14:textId="77777777" w:rsidR="002323EA" w:rsidRPr="001554A2" w:rsidRDefault="002323EA" w:rsidP="0023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9AB0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C477" w14:textId="77777777" w:rsidR="002323EA" w:rsidRPr="001554A2" w:rsidRDefault="002323EA" w:rsidP="0023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2323EA" w:rsidRPr="001554A2" w14:paraId="1F6186A3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69F9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New atrial fibrillation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897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EF79" w14:textId="13C4D31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58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6C1" w14:textId="78CFBE8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50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1A84" w14:textId="3E3EBEE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(3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4DEA" w14:textId="200DBDD9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B9D9" w14:textId="4118823F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78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88-3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60)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29C2057B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D5A8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Vascular complication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81F3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FAC1" w14:textId="56B7B1E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89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8FC8" w14:textId="41005F7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82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EB68" w14:textId="4990516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 (3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8D22" w14:textId="41B1C25C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A55E" w14:textId="3C33DCC3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56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73-3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31)</w:t>
            </w:r>
          </w:p>
        </w:tc>
      </w:tr>
      <w:tr w:rsidR="002323EA" w:rsidRPr="001554A2" w14:paraId="3F9D0E70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FCC1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Myocardial infarction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2D03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AF13" w14:textId="6C1C556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D5B" w14:textId="715826B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26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0167" w14:textId="79B15099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2B05" w14:textId="6EBC9036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946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0F34" w14:textId="7D9D391D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93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13-6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66)</w:t>
            </w:r>
          </w:p>
        </w:tc>
      </w:tr>
      <w:tr w:rsidR="002323EA" w:rsidRPr="001554A2" w14:paraId="6603250D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C2A5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New permanent pacemaker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342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11D" w14:textId="3A8C05C2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252 (6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999C" w14:textId="432DD2EB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199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D8BB" w14:textId="60B5C589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19 (8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D207" w14:textId="0931A10F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964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8871" w14:textId="3640BEFA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01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63-1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62)</w:t>
            </w:r>
          </w:p>
        </w:tc>
      </w:tr>
      <w:tr w:rsidR="002323EA" w:rsidRPr="001554A2" w14:paraId="0D09D563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40F0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Bleeding needing treatment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E92B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D004" w14:textId="1CCCD30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101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088A" w14:textId="44C18DC9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97 (2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5CDE" w14:textId="6EE41401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 (1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242" w14:textId="41795907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60E4" w14:textId="34CB06C3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53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42)</w:t>
            </w:r>
          </w:p>
        </w:tc>
      </w:tr>
      <w:tr w:rsidR="002323EA" w:rsidRPr="001554A2" w14:paraId="492BFB3D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E02D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Infection needing treatment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F470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6194" w14:textId="06EBBC2A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170 (4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2C07" w14:textId="0188CA3F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157 (4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EA66" w14:textId="22B0335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13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A7DC" w14:textId="2767C96B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F356" w14:textId="74C937FB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27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72-2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22)</w:t>
            </w:r>
          </w:p>
        </w:tc>
      </w:tr>
      <w:tr w:rsidR="002323EA" w:rsidRPr="001554A2" w14:paraId="4DC422A2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3A90" w14:textId="77777777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New dialysis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7343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015" w14:textId="443C4F90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D14E" w14:textId="1D1A0C67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18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5190" w14:textId="2D40E0A5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B318" w14:textId="16890D23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6233" w14:textId="7CB8300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81-13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1)</w:t>
            </w:r>
            <w:r w:rsidR="00697CC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*</w:t>
            </w:r>
          </w:p>
        </w:tc>
      </w:tr>
      <w:tr w:rsidR="002323EA" w:rsidRPr="001554A2" w14:paraId="1F9C7F15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E19" w14:textId="26C0730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Aortic regurgitation - grade I-III†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BFB3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115D" w14:textId="7D71631E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1926 (45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6BD" w14:textId="17025C32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1812 (45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2DFD" w14:textId="677877DC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114 (48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6852" w14:textId="3E8A6369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803" w14:textId="74909C8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89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69-1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15)</w:t>
            </w:r>
          </w:p>
        </w:tc>
      </w:tr>
      <w:tr w:rsidR="002323EA" w:rsidRPr="001554A2" w14:paraId="47E6F199" w14:textId="77777777" w:rsidTr="002323EA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02FF" w14:textId="72B756DE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Aortic regurgitation - grade II-III†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DD95" w14:textId="77777777" w:rsidR="002323EA" w:rsidRPr="001554A2" w:rsidRDefault="002323EA" w:rsidP="00B7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7B03" w14:textId="36A38360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216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12C8" w14:textId="5AAEDDE9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203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63B0" w14:textId="41DDE188" w:rsidR="002323EA" w:rsidRPr="001554A2" w:rsidRDefault="002323EA" w:rsidP="00232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13 (5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A518" w14:textId="475207A6" w:rsidR="002323EA" w:rsidRPr="001554A2" w:rsidRDefault="002323EA" w:rsidP="00232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lang w:val="en-GB" w:eastAsia="sv-SE"/>
              </w:rPr>
              <w:t>827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AECE" w14:textId="02B6761C" w:rsidR="002323EA" w:rsidRPr="001554A2" w:rsidRDefault="002323EA" w:rsidP="00232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94 (0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52-1</w:t>
            </w:r>
            <w:r w:rsidR="00B16263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68)</w:t>
            </w:r>
          </w:p>
        </w:tc>
      </w:tr>
    </w:tbl>
    <w:p w14:paraId="36E98016" w14:textId="77777777" w:rsidR="002323EA" w:rsidRPr="001554A2" w:rsidRDefault="002323EA" w:rsidP="006B3B17">
      <w:pPr>
        <w:rPr>
          <w:lang w:val="en-GB"/>
        </w:rPr>
      </w:pPr>
    </w:p>
    <w:p w14:paraId="5F7FCA04" w14:textId="77777777" w:rsidR="006B3B17" w:rsidRPr="001554A2" w:rsidRDefault="006B3B17" w:rsidP="006B3B17">
      <w:pPr>
        <w:rPr>
          <w:lang w:val="en-GB"/>
        </w:rPr>
      </w:pPr>
    </w:p>
    <w:p w14:paraId="7E87E450" w14:textId="730BECD5" w:rsidR="00EF7BEF" w:rsidRPr="001554A2" w:rsidRDefault="008C0A51" w:rsidP="001E4C48">
      <w:pPr>
        <w:spacing w:line="360" w:lineRule="auto"/>
        <w:rPr>
          <w:rFonts w:eastAsia="Times New Roman" w:cstheme="minorHAnsi"/>
          <w:color w:val="000000" w:themeColor="text1"/>
          <w:szCs w:val="20"/>
          <w:lang w:val="en-GB" w:eastAsia="sv-SE"/>
        </w:rPr>
      </w:pPr>
      <w:proofErr w:type="spellStart"/>
      <w:r w:rsidRPr="001554A2">
        <w:rPr>
          <w:rFonts w:cstheme="minorHAnsi"/>
          <w:b/>
          <w:szCs w:val="20"/>
          <w:lang w:val="en-GB"/>
        </w:rPr>
        <w:t>eTable</w:t>
      </w:r>
      <w:proofErr w:type="spellEnd"/>
      <w:r w:rsidRPr="001554A2">
        <w:rPr>
          <w:rFonts w:cstheme="minorHAnsi"/>
          <w:b/>
          <w:szCs w:val="20"/>
          <w:lang w:val="en-GB"/>
        </w:rPr>
        <w:t xml:space="preserve"> 1</w:t>
      </w:r>
      <w:r w:rsidR="00F63ADF" w:rsidRPr="001554A2">
        <w:rPr>
          <w:rFonts w:cstheme="minorHAnsi"/>
          <w:szCs w:val="20"/>
          <w:lang w:val="en-GB"/>
        </w:rPr>
        <w:t>:</w:t>
      </w:r>
      <w:r w:rsidRPr="001554A2">
        <w:rPr>
          <w:rFonts w:cstheme="minorHAnsi"/>
          <w:szCs w:val="20"/>
          <w:lang w:val="en-GB"/>
        </w:rPr>
        <w:t xml:space="preserve"> </w:t>
      </w:r>
      <w:r w:rsidR="00FB2189" w:rsidRPr="001554A2">
        <w:rPr>
          <w:rFonts w:cstheme="minorHAnsi"/>
          <w:szCs w:val="20"/>
          <w:lang w:val="en-GB"/>
        </w:rPr>
        <w:t>Variables from the SWENTRY registry used in the analysis presented both for the whole as well as grouped on the presence of PVE and described as mean</w:t>
      </w:r>
      <w:r w:rsidR="00FB2189" w:rsidRPr="001554A2">
        <w:rPr>
          <w:rFonts w:eastAsia="Times New Roman" w:cstheme="minorHAnsi"/>
          <w:color w:val="000000" w:themeColor="text1"/>
          <w:szCs w:val="20"/>
          <w:lang w:val="en-GB" w:eastAsia="sv-SE"/>
        </w:rPr>
        <w:t xml:space="preserve"> ±SD</w:t>
      </w:r>
      <w:r w:rsidR="00F63ADF" w:rsidRPr="001554A2">
        <w:rPr>
          <w:rFonts w:eastAsia="Times New Roman" w:cstheme="minorHAnsi"/>
          <w:color w:val="000000" w:themeColor="text1"/>
          <w:szCs w:val="20"/>
          <w:lang w:val="en-GB" w:eastAsia="sv-SE"/>
        </w:rPr>
        <w:t xml:space="preserve">, </w:t>
      </w:r>
      <w:r w:rsidR="00FB2189" w:rsidRPr="001554A2">
        <w:rPr>
          <w:rFonts w:eastAsia="Times New Roman" w:cstheme="minorHAnsi"/>
          <w:color w:val="000000" w:themeColor="text1"/>
          <w:szCs w:val="20"/>
          <w:lang w:val="en-GB" w:eastAsia="sv-SE"/>
        </w:rPr>
        <w:t>number (%) or median (IQR)</w:t>
      </w:r>
      <w:r w:rsidR="00FB2189" w:rsidRPr="001554A2">
        <w:rPr>
          <w:rFonts w:cstheme="minorHAnsi"/>
          <w:szCs w:val="20"/>
          <w:lang w:val="en-GB"/>
        </w:rPr>
        <w:t xml:space="preserve">. </w:t>
      </w:r>
      <w:r w:rsidR="006E724C" w:rsidRPr="001554A2">
        <w:rPr>
          <w:rFonts w:cstheme="minorHAnsi"/>
          <w:szCs w:val="20"/>
          <w:lang w:val="en-GB"/>
        </w:rPr>
        <w:t xml:space="preserve">P-levels and HR from </w:t>
      </w:r>
      <w:r w:rsidR="00BC2C17" w:rsidRPr="001554A2">
        <w:rPr>
          <w:rFonts w:cstheme="minorHAnsi"/>
          <w:szCs w:val="20"/>
          <w:lang w:val="en-GB"/>
        </w:rPr>
        <w:t>Univariable</w:t>
      </w:r>
      <w:r w:rsidR="006E724C" w:rsidRPr="001554A2">
        <w:rPr>
          <w:rFonts w:cstheme="minorHAnsi"/>
          <w:szCs w:val="20"/>
          <w:lang w:val="en-GB"/>
        </w:rPr>
        <w:t xml:space="preserve"> Cox-regression. eGFR= Estimated </w:t>
      </w:r>
      <w:r w:rsidR="00EB3E5D" w:rsidRPr="001554A2">
        <w:rPr>
          <w:rFonts w:cstheme="minorHAnsi"/>
          <w:szCs w:val="20"/>
          <w:lang w:val="en-GB"/>
        </w:rPr>
        <w:t>glomerular filtration rate</w:t>
      </w:r>
      <w:r w:rsidR="00C14F20" w:rsidRPr="001554A2">
        <w:rPr>
          <w:rFonts w:cstheme="minorHAnsi"/>
          <w:szCs w:val="20"/>
          <w:lang w:val="en-GB"/>
        </w:rPr>
        <w:t>.</w:t>
      </w:r>
      <w:r w:rsidR="006E724C" w:rsidRPr="001554A2">
        <w:rPr>
          <w:rFonts w:cstheme="minorHAnsi"/>
          <w:szCs w:val="20"/>
          <w:lang w:val="en-GB"/>
        </w:rPr>
        <w:t xml:space="preserve"> PCI=</w:t>
      </w:r>
      <w:r w:rsidR="00EB3E5D" w:rsidRPr="001554A2">
        <w:rPr>
          <w:rFonts w:cstheme="minorHAnsi"/>
          <w:szCs w:val="20"/>
          <w:lang w:val="en-GB"/>
        </w:rPr>
        <w:t>percutaneous coronary intervention</w:t>
      </w:r>
      <w:r w:rsidR="00C14F20" w:rsidRPr="001554A2">
        <w:rPr>
          <w:rFonts w:cstheme="minorHAnsi"/>
          <w:szCs w:val="20"/>
          <w:lang w:val="en-GB"/>
        </w:rPr>
        <w:t>.</w:t>
      </w:r>
      <w:r w:rsidR="006E724C" w:rsidRPr="001554A2">
        <w:rPr>
          <w:rFonts w:cstheme="minorHAnsi"/>
          <w:szCs w:val="20"/>
          <w:lang w:val="en-GB"/>
        </w:rPr>
        <w:t xml:space="preserve"> COPD=</w:t>
      </w:r>
      <w:r w:rsidR="00EB3E5D" w:rsidRPr="001554A2">
        <w:rPr>
          <w:rFonts w:cstheme="minorHAnsi"/>
          <w:szCs w:val="20"/>
          <w:lang w:val="en-GB"/>
        </w:rPr>
        <w:t>chronic obstructive pulmonary disease</w:t>
      </w:r>
      <w:r w:rsidR="006E724C" w:rsidRPr="001554A2">
        <w:rPr>
          <w:rFonts w:cstheme="minorHAnsi"/>
          <w:szCs w:val="20"/>
          <w:lang w:val="en-GB"/>
        </w:rPr>
        <w:t>. AVA=</w:t>
      </w:r>
      <w:r w:rsidR="00EB3E5D" w:rsidRPr="001554A2">
        <w:rPr>
          <w:rFonts w:cstheme="minorHAnsi"/>
          <w:szCs w:val="20"/>
          <w:lang w:val="en-GB"/>
        </w:rPr>
        <w:t>aortic valve area</w:t>
      </w:r>
      <w:r w:rsidR="00C14F20" w:rsidRPr="001554A2">
        <w:rPr>
          <w:rFonts w:cstheme="minorHAnsi"/>
          <w:szCs w:val="20"/>
          <w:lang w:val="en-GB"/>
        </w:rPr>
        <w:t>.</w:t>
      </w:r>
      <w:r w:rsidR="006E724C" w:rsidRPr="001554A2">
        <w:rPr>
          <w:rFonts w:cstheme="minorHAnsi"/>
          <w:szCs w:val="20"/>
          <w:lang w:val="en-GB"/>
        </w:rPr>
        <w:t xml:space="preserve"> LVEF=</w:t>
      </w:r>
      <w:r w:rsidR="00EB3E5D" w:rsidRPr="001554A2">
        <w:rPr>
          <w:rFonts w:cstheme="minorHAnsi"/>
          <w:szCs w:val="20"/>
          <w:lang w:val="en-GB"/>
        </w:rPr>
        <w:t>left ventricular ejection fraction</w:t>
      </w:r>
      <w:r w:rsidR="00C14F20" w:rsidRPr="001554A2">
        <w:rPr>
          <w:rFonts w:cstheme="minorHAnsi"/>
          <w:szCs w:val="20"/>
          <w:lang w:val="en-GB"/>
        </w:rPr>
        <w:t>.</w:t>
      </w:r>
      <w:r w:rsidR="006E724C" w:rsidRPr="001554A2">
        <w:rPr>
          <w:rFonts w:cstheme="minorHAnsi"/>
          <w:szCs w:val="20"/>
          <w:lang w:val="en-GB"/>
        </w:rPr>
        <w:t xml:space="preserve"> SEV=Self </w:t>
      </w:r>
      <w:r w:rsidR="00EB3E5D" w:rsidRPr="001554A2">
        <w:rPr>
          <w:rFonts w:cstheme="minorHAnsi"/>
          <w:szCs w:val="20"/>
          <w:lang w:val="en-GB"/>
        </w:rPr>
        <w:t>expanding valve</w:t>
      </w:r>
      <w:r w:rsidR="006E724C" w:rsidRPr="001554A2">
        <w:rPr>
          <w:rFonts w:cstheme="minorHAnsi"/>
          <w:szCs w:val="20"/>
          <w:lang w:val="en-GB"/>
        </w:rPr>
        <w:t xml:space="preserve">. Variables </w:t>
      </w:r>
      <w:r w:rsidR="00F63ADF" w:rsidRPr="001554A2">
        <w:rPr>
          <w:rFonts w:cstheme="minorHAnsi"/>
          <w:szCs w:val="20"/>
          <w:lang w:val="en-GB"/>
        </w:rPr>
        <w:t xml:space="preserve">denoted </w:t>
      </w:r>
      <w:r w:rsidR="006E724C" w:rsidRPr="001554A2">
        <w:rPr>
          <w:rFonts w:cstheme="minorHAnsi"/>
          <w:szCs w:val="20"/>
          <w:lang w:val="en-GB"/>
        </w:rPr>
        <w:t xml:space="preserve">with * were entered in the </w:t>
      </w:r>
      <w:r w:rsidR="00BC2C17" w:rsidRPr="001554A2">
        <w:rPr>
          <w:rFonts w:cstheme="minorHAnsi"/>
          <w:szCs w:val="20"/>
          <w:lang w:val="en-GB"/>
        </w:rPr>
        <w:t>multivariable</w:t>
      </w:r>
      <w:r w:rsidR="006E724C" w:rsidRPr="001554A2">
        <w:rPr>
          <w:rFonts w:cstheme="minorHAnsi"/>
          <w:szCs w:val="20"/>
          <w:lang w:val="en-GB"/>
        </w:rPr>
        <w:t xml:space="preserve"> analysis. </w:t>
      </w:r>
      <w:r w:rsidR="002B5C4A" w:rsidRPr="001554A2">
        <w:rPr>
          <w:rFonts w:eastAsia="Times New Roman" w:cstheme="minorHAnsi"/>
          <w:color w:val="000000" w:themeColor="text1"/>
          <w:szCs w:val="20"/>
          <w:lang w:val="en-GB" w:eastAsia="sv-SE"/>
        </w:rPr>
        <w:t xml:space="preserve">† variables calculated form other variables in the SWENTRY registry. </w:t>
      </w:r>
    </w:p>
    <w:p w14:paraId="655CB4FE" w14:textId="77777777" w:rsidR="00EF7BEF" w:rsidRPr="001554A2" w:rsidRDefault="00EF7BEF">
      <w:pPr>
        <w:rPr>
          <w:rFonts w:eastAsia="Times New Roman" w:cstheme="minorHAnsi"/>
          <w:color w:val="000000" w:themeColor="text1"/>
          <w:szCs w:val="20"/>
          <w:lang w:val="en-GB" w:eastAsia="sv-SE"/>
        </w:rPr>
      </w:pPr>
      <w:r w:rsidRPr="001554A2">
        <w:rPr>
          <w:rFonts w:eastAsia="Times New Roman" w:cstheme="minorHAnsi"/>
          <w:color w:val="000000" w:themeColor="text1"/>
          <w:szCs w:val="20"/>
          <w:lang w:val="en-GB" w:eastAsia="sv-SE"/>
        </w:rPr>
        <w:br w:type="page"/>
      </w:r>
    </w:p>
    <w:p w14:paraId="68371ACF" w14:textId="77777777" w:rsidR="002654E3" w:rsidRPr="001554A2" w:rsidRDefault="002654E3" w:rsidP="008C0A51">
      <w:pPr>
        <w:spacing w:line="360" w:lineRule="auto"/>
        <w:rPr>
          <w:rFonts w:cstheme="minorHAnsi"/>
          <w:sz w:val="20"/>
          <w:szCs w:val="20"/>
          <w:lang w:val="en-GB"/>
        </w:rPr>
      </w:pPr>
    </w:p>
    <w:p w14:paraId="3E4EBE02" w14:textId="2B899839" w:rsidR="002654E3" w:rsidRPr="001554A2" w:rsidRDefault="00D05ADE" w:rsidP="002654E3">
      <w:pPr>
        <w:pStyle w:val="Rubrik1"/>
        <w:rPr>
          <w:lang w:val="en-GB"/>
        </w:rPr>
      </w:pPr>
      <w:bookmarkStart w:id="6" w:name="_Toc23193759"/>
      <w:proofErr w:type="spellStart"/>
      <w:r w:rsidRPr="001554A2">
        <w:rPr>
          <w:lang w:val="en-GB"/>
        </w:rPr>
        <w:t>eTable</w:t>
      </w:r>
      <w:proofErr w:type="spellEnd"/>
      <w:r w:rsidRPr="001554A2">
        <w:rPr>
          <w:lang w:val="en-GB"/>
        </w:rPr>
        <w:t xml:space="preserve"> 2</w:t>
      </w:r>
      <w:r w:rsidR="00F63ADF" w:rsidRPr="001554A2">
        <w:rPr>
          <w:lang w:val="en-GB"/>
        </w:rPr>
        <w:t xml:space="preserve"> – </w:t>
      </w:r>
      <w:r w:rsidR="002654E3" w:rsidRPr="001554A2">
        <w:rPr>
          <w:lang w:val="en-GB"/>
        </w:rPr>
        <w:t>Implantations per valve type and year</w:t>
      </w:r>
      <w:bookmarkEnd w:id="6"/>
    </w:p>
    <w:p w14:paraId="6DDC30C2" w14:textId="77777777" w:rsidR="002654E3" w:rsidRPr="001554A2" w:rsidRDefault="002654E3" w:rsidP="002654E3">
      <w:pPr>
        <w:rPr>
          <w:lang w:val="en-GB"/>
        </w:rPr>
      </w:pPr>
    </w:p>
    <w:tbl>
      <w:tblPr>
        <w:tblW w:w="10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2"/>
        <w:gridCol w:w="567"/>
        <w:gridCol w:w="567"/>
        <w:gridCol w:w="709"/>
        <w:gridCol w:w="709"/>
        <w:gridCol w:w="708"/>
        <w:gridCol w:w="567"/>
        <w:gridCol w:w="709"/>
        <w:gridCol w:w="567"/>
        <w:gridCol w:w="567"/>
        <w:gridCol w:w="567"/>
        <w:gridCol w:w="960"/>
      </w:tblGrid>
      <w:tr w:rsidR="00C40103" w:rsidRPr="001554A2" w14:paraId="36191F76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7A50" w14:textId="77777777" w:rsidR="00C40103" w:rsidRPr="001554A2" w:rsidRDefault="00C40103" w:rsidP="00C40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Valve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E2F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Year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52F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8E11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E397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E14A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87A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2594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7AB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0135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324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E0C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00FF" w14:textId="77777777" w:rsidR="00C40103" w:rsidRPr="001554A2" w:rsidRDefault="00C40103" w:rsidP="00C4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C40103" w:rsidRPr="001554A2" w14:paraId="4021DB5E" w14:textId="77777777" w:rsidTr="003C4605">
        <w:trPr>
          <w:trHeight w:val="51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8D020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GB" w:eastAsia="sv-SE"/>
              </w:rPr>
              <w:t>Mechanical/Balloon Expandable (MEV/BEV)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48CC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869C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F9F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7D22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341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1D66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DB9F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4F7C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111A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F01B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179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0F9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GB" w:eastAsia="sv-SE"/>
              </w:rPr>
              <w:t>Total</w:t>
            </w:r>
          </w:p>
        </w:tc>
      </w:tr>
      <w:tr w:rsidR="00C40103" w:rsidRPr="001554A2" w14:paraId="4B863C6B" w14:textId="77777777" w:rsidTr="003C4605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7D1D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Boston Lotus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71A4D1" w14:textId="5BA9A4DD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CB353" w14:textId="33AF0042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86958" w14:textId="3EB1524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E27EA" w14:textId="2F5A851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E18C6" w14:textId="36427A4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1276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60AF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068BE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434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BC67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F8034" w14:textId="5054DE4F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61AFC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211</w:t>
            </w:r>
          </w:p>
        </w:tc>
      </w:tr>
      <w:tr w:rsidR="00C40103" w:rsidRPr="001554A2" w14:paraId="447591B5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8ACE9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Edwards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Sapien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3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89E50E4" w14:textId="7E8C4F2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22A8C" w14:textId="19376E39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71008" w14:textId="48EF23A6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ECE36" w14:textId="5CAF3773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9B626" w14:textId="31C7E52A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DA30D" w14:textId="61952561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4FBFF" w14:textId="162697AA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42A0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DE1FB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28EF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62EFE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59BC3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922</w:t>
            </w:r>
          </w:p>
        </w:tc>
      </w:tr>
      <w:tr w:rsidR="00C40103" w:rsidRPr="001554A2" w14:paraId="12F639E1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3AEFC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Edwards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Sapien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3 Ultra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43CD868" w14:textId="3F8444E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6E61F" w14:textId="130B9C9F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71305" w14:textId="5E62E582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185E7" w14:textId="3CE2A864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AB5A6" w14:textId="24C5372E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78D20" w14:textId="38D37F3E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DED14" w14:textId="0DE582B1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CD3AF" w14:textId="31C28142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1BBFC" w14:textId="21862191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5A377" w14:textId="67C59230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2CDBE1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23CC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2</w:t>
            </w:r>
          </w:p>
        </w:tc>
      </w:tr>
      <w:tr w:rsidR="00C40103" w:rsidRPr="001554A2" w14:paraId="3C8CF7FA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72E74" w14:textId="57CBF278" w:rsidR="00C40103" w:rsidRPr="001554A2" w:rsidRDefault="00C40103" w:rsidP="003C4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Edwards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Sapien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r w:rsidR="003C4605"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/</w:t>
            </w: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Sapien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XT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5DD715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0A49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45B33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B94B6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4D426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B7AF6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9225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FCC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399A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49958" w14:textId="62E16EF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7B9AF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A377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861</w:t>
            </w:r>
          </w:p>
        </w:tc>
      </w:tr>
      <w:tr w:rsidR="00C40103" w:rsidRPr="001554A2" w14:paraId="18C4B134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21375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Self-expanding (SEV)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1169D" w14:textId="1A692CE6" w:rsidR="00C40103" w:rsidRPr="001554A2" w:rsidRDefault="00C40103" w:rsidP="00C40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D7E33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F12FC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8510C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A21BB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D042F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66594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3A4D2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061F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2BA7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3919" w14:textId="4FEC45E6" w:rsidR="00C40103" w:rsidRPr="001554A2" w:rsidRDefault="00C40103" w:rsidP="00C40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648D4" w14:textId="77777777" w:rsidR="00C40103" w:rsidRPr="001554A2" w:rsidRDefault="00C40103" w:rsidP="00C40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  <w:t> </w:t>
            </w:r>
          </w:p>
        </w:tc>
      </w:tr>
      <w:tr w:rsidR="00C40103" w:rsidRPr="001554A2" w14:paraId="100FC3BF" w14:textId="77777777" w:rsidTr="003C4605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D69B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Abbot Portico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60BD36C" w14:textId="178F9E5B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AAB46" w14:textId="5FD2082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9A2DA" w14:textId="7B329D86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959F0" w14:textId="4F1BDE79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C36BC" w14:textId="06463996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AF6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0D0F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E4EF5" w14:textId="7D6AD3A4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7C6B3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E95A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ED15F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316D6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89</w:t>
            </w:r>
          </w:p>
        </w:tc>
      </w:tr>
      <w:tr w:rsidR="00C40103" w:rsidRPr="001554A2" w14:paraId="3F82A87C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52C1C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JenaValve</w:t>
            </w:r>
            <w:proofErr w:type="spellEnd"/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80A1113" w14:textId="27048B9B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DFD1E" w14:textId="27349352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41B01" w14:textId="153B839B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CA432" w14:textId="433CF97A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3D9CB" w14:textId="47B9F01A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73377" w14:textId="7BBAC8E5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E134E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75E38" w14:textId="61A0F2C0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65DBD" w14:textId="1F24CB88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6FBDF" w14:textId="7F70A2D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09562D" w14:textId="746C727A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BF714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1</w:t>
            </w:r>
          </w:p>
        </w:tc>
      </w:tr>
      <w:tr w:rsidR="00C40103" w:rsidRPr="001554A2" w14:paraId="036052EB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67E4F" w14:textId="1B714C31" w:rsidR="00C40103" w:rsidRPr="001554A2" w:rsidRDefault="00C40103" w:rsidP="003C4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Medtronic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CoreValve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r w:rsidR="003C4605"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/</w:t>
            </w: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Evolut</w:t>
            </w:r>
            <w:proofErr w:type="spellEnd"/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A84755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56F47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AEA1C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3FCA2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78C4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8CD9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3871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61ECB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8202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51EF3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13A61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961F9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1000</w:t>
            </w:r>
          </w:p>
        </w:tc>
      </w:tr>
      <w:tr w:rsidR="00C40103" w:rsidRPr="001554A2" w14:paraId="3E000638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9C376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Medtronic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Evolut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PRO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BAC414A" w14:textId="5E7BCE0D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168EE" w14:textId="0C70CD2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36361" w14:textId="745F70A1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84FD0" w14:textId="25CAE928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AB4A8" w14:textId="33502C94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15F8E" w14:textId="51FEB41A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BB237" w14:textId="6DF102A0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0A38C" w14:textId="32792E46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F1B35" w14:textId="768DA17D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3A8E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482C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A2812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35</w:t>
            </w:r>
          </w:p>
        </w:tc>
      </w:tr>
      <w:tr w:rsidR="00C40103" w:rsidRPr="001554A2" w14:paraId="39EB8166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B575B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Medtronic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Evolut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R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252FCB3" w14:textId="62D49548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332D" w14:textId="193A0B6A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8F826" w14:textId="6B8CF258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4A97D" w14:textId="3996DC44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6F886" w14:textId="7B7E5BDB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91DE5" w14:textId="6A4BDD86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CC5A3" w14:textId="4E9CA3F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6EA30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0376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89F6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2834F1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3EB6D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662</w:t>
            </w:r>
          </w:p>
        </w:tc>
      </w:tr>
      <w:tr w:rsidR="00C40103" w:rsidRPr="001554A2" w14:paraId="2020907A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67E0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Symetis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Acurate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neo/TF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C75CBF4" w14:textId="2EA4A692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DFF5F" w14:textId="00A0A9F4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AAE08" w14:textId="1B03ECD0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376E6" w14:textId="25431EDE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51120" w14:textId="20C449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EBB9D" w14:textId="690931B1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04F59" w14:textId="43BA9C41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0F6F5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BE84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998E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72D7FE" w14:textId="35B1125B" w:rsidR="00C40103" w:rsidRPr="001554A2" w:rsidRDefault="00902B90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50B54" w14:textId="04E3C33B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4</w:t>
            </w:r>
            <w:r w:rsidR="00902B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21</w:t>
            </w:r>
          </w:p>
        </w:tc>
      </w:tr>
      <w:tr w:rsidR="00C40103" w:rsidRPr="001554A2" w14:paraId="5E6E5ECE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34EA5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Symetis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Acurate</w:t>
            </w:r>
            <w:proofErr w:type="spellEnd"/>
            <w:r w:rsidRPr="001554A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 xml:space="preserve"> TA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FCDDDE" w14:textId="4587C592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D863E3" w14:textId="3DFD9D49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7CFE49" w14:textId="390CE01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343C6B" w14:textId="1CEC873D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FE9F20" w14:textId="55CFB8AC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2B68B1" w14:textId="2D88025F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5C0E85" w14:textId="4A7960EB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A5AAFB" w14:textId="356DA5AB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9D2E88" w14:textId="40D48E8E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0EFEF4" w14:textId="240076A6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D7E4" w14:textId="1175D419" w:rsidR="00C40103" w:rsidRPr="001554A2" w:rsidRDefault="00DD3DE8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22C68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3</w:t>
            </w:r>
          </w:p>
        </w:tc>
      </w:tr>
      <w:tr w:rsidR="00C40103" w:rsidRPr="001554A2" w14:paraId="6671177D" w14:textId="77777777" w:rsidTr="003C4605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7FA8C" w14:textId="77777777" w:rsidR="00C40103" w:rsidRPr="001554A2" w:rsidRDefault="00C40103" w:rsidP="00C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Total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93B469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CFB0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74868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1AA35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B605D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263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C9099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1BFE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CB06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604C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22983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EF61A1" w14:textId="77777777" w:rsidR="00C40103" w:rsidRPr="001554A2" w:rsidRDefault="00C40103" w:rsidP="00C40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12B91" w14:textId="77777777" w:rsidR="00C40103" w:rsidRPr="001554A2" w:rsidRDefault="00C40103" w:rsidP="00C401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sv-SE"/>
              </w:rPr>
              <w:t>4208</w:t>
            </w:r>
          </w:p>
        </w:tc>
      </w:tr>
    </w:tbl>
    <w:p w14:paraId="569518F7" w14:textId="77777777" w:rsidR="002654E3" w:rsidRPr="001554A2" w:rsidRDefault="002654E3" w:rsidP="002654E3">
      <w:pPr>
        <w:rPr>
          <w:lang w:val="en-GB"/>
        </w:rPr>
      </w:pPr>
    </w:p>
    <w:p w14:paraId="30EBA4C8" w14:textId="6B06E962" w:rsidR="00994093" w:rsidRPr="001554A2" w:rsidRDefault="00994093" w:rsidP="004B2ED1">
      <w:pPr>
        <w:spacing w:line="360" w:lineRule="auto"/>
        <w:rPr>
          <w:rStyle w:val="st"/>
          <w:lang w:val="en-GB"/>
        </w:rPr>
      </w:pPr>
      <w:proofErr w:type="spellStart"/>
      <w:r w:rsidRPr="001554A2">
        <w:rPr>
          <w:b/>
          <w:lang w:val="en-GB"/>
        </w:rPr>
        <w:t>eTable</w:t>
      </w:r>
      <w:proofErr w:type="spellEnd"/>
      <w:r w:rsidRPr="001554A2">
        <w:rPr>
          <w:b/>
          <w:lang w:val="en-GB"/>
        </w:rPr>
        <w:t xml:space="preserve"> 2</w:t>
      </w:r>
      <w:r w:rsidR="00F63ADF" w:rsidRPr="001554A2">
        <w:rPr>
          <w:b/>
          <w:lang w:val="en-GB"/>
        </w:rPr>
        <w:t>:</w:t>
      </w:r>
      <w:r w:rsidRPr="001554A2">
        <w:rPr>
          <w:lang w:val="en-GB"/>
        </w:rPr>
        <w:t xml:space="preserve"> </w:t>
      </w:r>
      <w:r w:rsidR="004B2ED1" w:rsidRPr="001554A2">
        <w:rPr>
          <w:lang w:val="en-GB"/>
        </w:rPr>
        <w:t xml:space="preserve">Boston Lotus and </w:t>
      </w:r>
      <w:proofErr w:type="spellStart"/>
      <w:r w:rsidR="004B2ED1" w:rsidRPr="001554A2">
        <w:rPr>
          <w:lang w:val="en-GB"/>
        </w:rPr>
        <w:t>Symetis</w:t>
      </w:r>
      <w:proofErr w:type="spellEnd"/>
      <w:r w:rsidR="004B2ED1" w:rsidRPr="001554A2">
        <w:rPr>
          <w:lang w:val="en-GB"/>
        </w:rPr>
        <w:t xml:space="preserve"> </w:t>
      </w:r>
      <w:proofErr w:type="spellStart"/>
      <w:r w:rsidR="006471D0" w:rsidRPr="001554A2">
        <w:rPr>
          <w:lang w:val="en-GB"/>
        </w:rPr>
        <w:t>Acurate</w:t>
      </w:r>
      <w:proofErr w:type="spellEnd"/>
      <w:r w:rsidR="006471D0" w:rsidRPr="001554A2">
        <w:rPr>
          <w:lang w:val="en-GB"/>
        </w:rPr>
        <w:t xml:space="preserve"> are</w:t>
      </w:r>
      <w:r w:rsidR="004B2ED1" w:rsidRPr="001554A2">
        <w:rPr>
          <w:lang w:val="en-GB"/>
        </w:rPr>
        <w:t xml:space="preserve"> trademarks of Boston Scientific (Boston</w:t>
      </w:r>
      <w:r w:rsidR="00C14F20" w:rsidRPr="001554A2">
        <w:rPr>
          <w:lang w:val="en-GB"/>
        </w:rPr>
        <w:t>.</w:t>
      </w:r>
      <w:r w:rsidR="004B2ED1" w:rsidRPr="001554A2">
        <w:rPr>
          <w:lang w:val="en-GB"/>
        </w:rPr>
        <w:t xml:space="preserve"> MA). Edwards </w:t>
      </w:r>
      <w:proofErr w:type="spellStart"/>
      <w:r w:rsidR="004B2ED1" w:rsidRPr="001554A2">
        <w:rPr>
          <w:lang w:val="en-GB"/>
        </w:rPr>
        <w:t>Sapien</w:t>
      </w:r>
      <w:proofErr w:type="spellEnd"/>
      <w:r w:rsidR="00F63ADF" w:rsidRPr="001554A2">
        <w:rPr>
          <w:lang w:val="en-GB"/>
        </w:rPr>
        <w:t xml:space="preserve">, </w:t>
      </w:r>
      <w:proofErr w:type="spellStart"/>
      <w:r w:rsidR="004B2ED1" w:rsidRPr="001554A2">
        <w:rPr>
          <w:lang w:val="en-GB"/>
        </w:rPr>
        <w:t>Sapien</w:t>
      </w:r>
      <w:proofErr w:type="spellEnd"/>
      <w:r w:rsidR="004B2ED1" w:rsidRPr="001554A2">
        <w:rPr>
          <w:lang w:val="en-GB"/>
        </w:rPr>
        <w:t xml:space="preserve"> XT</w:t>
      </w:r>
      <w:r w:rsidR="00F63ADF" w:rsidRPr="001554A2">
        <w:rPr>
          <w:lang w:val="en-GB"/>
        </w:rPr>
        <w:t xml:space="preserve">, </w:t>
      </w:r>
      <w:proofErr w:type="spellStart"/>
      <w:r w:rsidR="004B2ED1" w:rsidRPr="001554A2">
        <w:rPr>
          <w:lang w:val="en-GB"/>
        </w:rPr>
        <w:t>Sapien</w:t>
      </w:r>
      <w:proofErr w:type="spellEnd"/>
      <w:r w:rsidR="004B2ED1" w:rsidRPr="001554A2">
        <w:rPr>
          <w:lang w:val="en-GB"/>
        </w:rPr>
        <w:t xml:space="preserve"> 3</w:t>
      </w:r>
      <w:r w:rsidR="00F63ADF" w:rsidRPr="001554A2">
        <w:rPr>
          <w:lang w:val="en-GB"/>
        </w:rPr>
        <w:t xml:space="preserve"> </w:t>
      </w:r>
      <w:r w:rsidR="004B2ED1" w:rsidRPr="001554A2">
        <w:rPr>
          <w:lang w:val="en-GB"/>
        </w:rPr>
        <w:t xml:space="preserve">and </w:t>
      </w:r>
      <w:proofErr w:type="spellStart"/>
      <w:r w:rsidR="004B2ED1" w:rsidRPr="001554A2">
        <w:rPr>
          <w:lang w:val="en-GB"/>
        </w:rPr>
        <w:t>Sapien</w:t>
      </w:r>
      <w:proofErr w:type="spellEnd"/>
      <w:r w:rsidR="004B2ED1" w:rsidRPr="001554A2">
        <w:rPr>
          <w:lang w:val="en-GB"/>
        </w:rPr>
        <w:t xml:space="preserve"> Ultra are trademarks of Edwards Lifesciences (Irvine</w:t>
      </w:r>
      <w:r w:rsidR="00C14F20" w:rsidRPr="001554A2">
        <w:rPr>
          <w:lang w:val="en-GB"/>
        </w:rPr>
        <w:t>.</w:t>
      </w:r>
      <w:r w:rsidR="004B2ED1" w:rsidRPr="001554A2">
        <w:rPr>
          <w:lang w:val="en-GB"/>
        </w:rPr>
        <w:t xml:space="preserve"> Ca). Abbot Portico is a trademark of Abbot </w:t>
      </w:r>
      <w:r w:rsidR="004B2ED1" w:rsidRPr="001554A2">
        <w:rPr>
          <w:rStyle w:val="st"/>
          <w:lang w:val="en-GB"/>
        </w:rPr>
        <w:t>Vascular (Santa Clara</w:t>
      </w:r>
      <w:r w:rsidR="00F63ADF" w:rsidRPr="001554A2">
        <w:rPr>
          <w:rStyle w:val="st"/>
          <w:lang w:val="en-GB"/>
        </w:rPr>
        <w:t xml:space="preserve">, </w:t>
      </w:r>
      <w:r w:rsidR="004B2ED1" w:rsidRPr="001554A2">
        <w:rPr>
          <w:rStyle w:val="st"/>
          <w:lang w:val="en-GB"/>
        </w:rPr>
        <w:t xml:space="preserve">CA). </w:t>
      </w:r>
      <w:proofErr w:type="spellStart"/>
      <w:r w:rsidR="004B2ED1" w:rsidRPr="001554A2">
        <w:rPr>
          <w:rStyle w:val="st"/>
          <w:lang w:val="en-GB"/>
        </w:rPr>
        <w:t>Jenavalve</w:t>
      </w:r>
      <w:proofErr w:type="spellEnd"/>
      <w:r w:rsidR="004B2ED1" w:rsidRPr="001554A2">
        <w:rPr>
          <w:rStyle w:val="st"/>
          <w:lang w:val="en-GB"/>
        </w:rPr>
        <w:t xml:space="preserve"> is a trademark of </w:t>
      </w:r>
      <w:proofErr w:type="spellStart"/>
      <w:r w:rsidR="004B2ED1" w:rsidRPr="001554A2">
        <w:rPr>
          <w:rStyle w:val="st"/>
          <w:lang w:val="en-GB"/>
        </w:rPr>
        <w:t>JenaValve</w:t>
      </w:r>
      <w:proofErr w:type="spellEnd"/>
      <w:r w:rsidR="004B2ED1" w:rsidRPr="001554A2">
        <w:rPr>
          <w:rStyle w:val="st"/>
          <w:lang w:val="en-GB"/>
        </w:rPr>
        <w:t xml:space="preserve"> Technology (Munich</w:t>
      </w:r>
      <w:r w:rsidR="00F63ADF" w:rsidRPr="001554A2">
        <w:rPr>
          <w:rStyle w:val="st"/>
          <w:lang w:val="en-GB"/>
        </w:rPr>
        <w:t xml:space="preserve">, </w:t>
      </w:r>
      <w:r w:rsidR="004B2ED1" w:rsidRPr="001554A2">
        <w:rPr>
          <w:rStyle w:val="st"/>
          <w:lang w:val="en-GB"/>
        </w:rPr>
        <w:t xml:space="preserve">Germany). Medtronic </w:t>
      </w:r>
      <w:proofErr w:type="spellStart"/>
      <w:r w:rsidR="004B2ED1" w:rsidRPr="001554A2">
        <w:rPr>
          <w:rStyle w:val="st"/>
          <w:lang w:val="en-GB"/>
        </w:rPr>
        <w:t>Corevalve</w:t>
      </w:r>
      <w:proofErr w:type="spellEnd"/>
      <w:r w:rsidR="006471D0" w:rsidRPr="001554A2">
        <w:rPr>
          <w:rStyle w:val="st"/>
          <w:lang w:val="en-GB"/>
        </w:rPr>
        <w:t xml:space="preserve"> and E</w:t>
      </w:r>
      <w:r w:rsidR="004B2ED1" w:rsidRPr="001554A2">
        <w:rPr>
          <w:rStyle w:val="st"/>
          <w:lang w:val="en-GB"/>
        </w:rPr>
        <w:t>volute are trademarks of Medtronic Inc (Minneapolis</w:t>
      </w:r>
      <w:r w:rsidR="00F63ADF" w:rsidRPr="001554A2">
        <w:rPr>
          <w:rStyle w:val="st"/>
          <w:lang w:val="en-GB"/>
        </w:rPr>
        <w:t xml:space="preserve">, </w:t>
      </w:r>
      <w:r w:rsidR="004B2ED1" w:rsidRPr="001554A2">
        <w:rPr>
          <w:rStyle w:val="st"/>
          <w:lang w:val="en-GB"/>
        </w:rPr>
        <w:t>MN).</w:t>
      </w:r>
    </w:p>
    <w:p w14:paraId="5B1D5975" w14:textId="77777777" w:rsidR="00994093" w:rsidRPr="001554A2" w:rsidRDefault="00994093">
      <w:pPr>
        <w:rPr>
          <w:rStyle w:val="st"/>
          <w:lang w:val="en-GB"/>
        </w:rPr>
      </w:pPr>
      <w:r w:rsidRPr="001554A2">
        <w:rPr>
          <w:rStyle w:val="st"/>
          <w:lang w:val="en-GB"/>
        </w:rPr>
        <w:br w:type="page"/>
      </w:r>
    </w:p>
    <w:p w14:paraId="5E5C0B52" w14:textId="605D9AF9" w:rsidR="00667904" w:rsidRPr="001554A2" w:rsidRDefault="00994093" w:rsidP="00A22EB0">
      <w:pPr>
        <w:pStyle w:val="Rubrik1"/>
        <w:rPr>
          <w:lang w:val="en-GB"/>
        </w:rPr>
      </w:pPr>
      <w:bookmarkStart w:id="7" w:name="_Toc23193760"/>
      <w:proofErr w:type="spellStart"/>
      <w:r w:rsidRPr="001554A2">
        <w:rPr>
          <w:lang w:val="en-GB"/>
        </w:rPr>
        <w:lastRenderedPageBreak/>
        <w:t>eTable</w:t>
      </w:r>
      <w:proofErr w:type="spellEnd"/>
      <w:r w:rsidRPr="001554A2">
        <w:rPr>
          <w:lang w:val="en-GB"/>
        </w:rPr>
        <w:t xml:space="preserve"> 3 – </w:t>
      </w:r>
      <w:r w:rsidR="00667904" w:rsidRPr="001554A2">
        <w:rPr>
          <w:lang w:val="en-GB"/>
        </w:rPr>
        <w:t xml:space="preserve">Hazard rate and standardized incidence for stroke after </w:t>
      </w:r>
      <w:r w:rsidR="00747311" w:rsidRPr="001554A2">
        <w:rPr>
          <w:lang w:val="en-GB"/>
        </w:rPr>
        <w:t>TAVI</w:t>
      </w:r>
      <w:bookmarkEnd w:id="7"/>
    </w:p>
    <w:tbl>
      <w:tblPr>
        <w:tblW w:w="7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555"/>
        <w:gridCol w:w="1341"/>
        <w:gridCol w:w="1341"/>
      </w:tblGrid>
      <w:tr w:rsidR="00667904" w:rsidRPr="001554A2" w14:paraId="5A6A86FB" w14:textId="77777777" w:rsidTr="001E4C48">
        <w:trPr>
          <w:trHeight w:val="16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AE96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bCs/>
                <w:color w:val="000000"/>
                <w:lang w:val="en-GB" w:eastAsia="sv-SE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80F7" w14:textId="77777777" w:rsidR="00667904" w:rsidRPr="001554A2" w:rsidRDefault="00667904" w:rsidP="00667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Hazard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60B7" w14:textId="77777777" w:rsidR="00667904" w:rsidRPr="001554A2" w:rsidRDefault="00667904" w:rsidP="00667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Lo 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648" w14:textId="77777777" w:rsidR="00667904" w:rsidRPr="001554A2" w:rsidRDefault="00667904" w:rsidP="00667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Hi CI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2DE9" w14:textId="77777777" w:rsidR="00667904" w:rsidRPr="001554A2" w:rsidRDefault="00667904" w:rsidP="00667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47F9" w14:textId="77777777" w:rsidR="00667904" w:rsidRPr="001554A2" w:rsidRDefault="00667904" w:rsidP="00667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Standardized incidence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C68B" w14:textId="77777777" w:rsidR="00667904" w:rsidRPr="001554A2" w:rsidRDefault="00667904" w:rsidP="00667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Standardized Incidence ratio</w:t>
            </w:r>
          </w:p>
        </w:tc>
      </w:tr>
      <w:tr w:rsidR="00667904" w:rsidRPr="001554A2" w14:paraId="6379D221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25C6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E790" w14:textId="37B299AA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2F7E" w14:textId="66ECD79A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1.54%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C6BF" w14:textId="65C7371F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2.46%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5C49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409F" w14:textId="1250465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1.46%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0761" w14:textId="193434A8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1.37</w:t>
            </w:r>
          </w:p>
        </w:tc>
      </w:tr>
      <w:tr w:rsidR="00667904" w:rsidRPr="001554A2" w14:paraId="10338C6A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172D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F55C" w14:textId="372A64E9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65B" w14:textId="46C302DB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1.65%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EC63" w14:textId="49103BB1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2.80%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16A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8E96" w14:textId="2D04BFBD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1.55%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ECBC" w14:textId="6C0A24D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1.43</w:t>
            </w:r>
          </w:p>
        </w:tc>
      </w:tr>
      <w:tr w:rsidR="00667904" w:rsidRPr="001554A2" w14:paraId="381CA7C7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71E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3DBF" w14:textId="4D7FBB50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CE8" w14:textId="4EB0DC52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AEC7" w14:textId="304DE7CE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2.80%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DF5C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B446" w14:textId="3EC94FA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1.65%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B1FB" w14:textId="66394D0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1.29</w:t>
            </w:r>
          </w:p>
        </w:tc>
      </w:tr>
      <w:tr w:rsidR="00667904" w:rsidRPr="001554A2" w14:paraId="7CCEB26A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3C9C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F2CF" w14:textId="78A5BD10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2.76%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346" w14:textId="4E8B8B34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1.77%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977C" w14:textId="6B5D0A01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3.75%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4ED6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1299" w14:textId="529DAFA2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1.74%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73E3" w14:textId="572B338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1.59</w:t>
            </w:r>
          </w:p>
        </w:tc>
      </w:tr>
      <w:tr w:rsidR="00667904" w:rsidRPr="001554A2" w14:paraId="542E6141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7C61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500F" w14:textId="35A24A30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3.12%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97A" w14:textId="0CD91C6F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1.75%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48D8" w14:textId="16F8801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4.48%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530B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BF42" w14:textId="5849983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1.78%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4742" w14:textId="16B2220A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1.75</w:t>
            </w:r>
          </w:p>
        </w:tc>
      </w:tr>
      <w:tr w:rsidR="00667904" w:rsidRPr="001554A2" w14:paraId="0082C226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CFE3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DFB5" w14:textId="40C77A0E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C4A0" w14:textId="4FC223B1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0.64%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E581" w14:textId="608B75C2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3.53%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2765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1F40" w14:textId="4210190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1.81%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D35F" w14:textId="58E5B73B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1.15</w:t>
            </w:r>
          </w:p>
        </w:tc>
      </w:tr>
      <w:tr w:rsidR="00667904" w:rsidRPr="001554A2" w14:paraId="478BEF8A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F17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38A" w14:textId="1B931E9E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2.31%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56D7" w14:textId="03874E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EE7" w14:textId="585BA1C5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4.33%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219F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9219" w14:textId="6BC7ACA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1.93%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B1E8" w14:textId="7945C688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1.20</w:t>
            </w:r>
          </w:p>
        </w:tc>
      </w:tr>
      <w:tr w:rsidR="00667904" w:rsidRPr="001554A2" w14:paraId="179BC0FF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E4D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72C3" w14:textId="6136331B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2.75%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872C" w14:textId="5B52D63C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-0.36%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5EC7" w14:textId="39FFF21B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5.87%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D02F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7764" w14:textId="7FAC678F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1.88%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26A" w14:textId="7319B5DC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1.46</w:t>
            </w:r>
          </w:p>
        </w:tc>
      </w:tr>
      <w:tr w:rsidR="00667904" w:rsidRPr="001554A2" w14:paraId="706CD603" w14:textId="77777777" w:rsidTr="001E4C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AADC" w14:textId="77777777" w:rsidR="00667904" w:rsidRPr="001554A2" w:rsidRDefault="00667904" w:rsidP="00B162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AAEA" w14:textId="30624973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2.08%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A98D" w14:textId="6BBFC4ED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-2.00%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5833" w14:textId="18F40F61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6.17%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4510" w14:textId="77777777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5AEA" w14:textId="793453CB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1.85%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B69F" w14:textId="21EDC034" w:rsidR="00667904" w:rsidRPr="001554A2" w:rsidRDefault="00667904" w:rsidP="00667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1.13</w:t>
            </w:r>
          </w:p>
        </w:tc>
      </w:tr>
    </w:tbl>
    <w:p w14:paraId="6D16E7A4" w14:textId="77777777" w:rsidR="00A22EB0" w:rsidRPr="001554A2" w:rsidRDefault="00A22EB0">
      <w:pPr>
        <w:rPr>
          <w:lang w:val="en-GB"/>
        </w:rPr>
      </w:pPr>
    </w:p>
    <w:p w14:paraId="71C82BD1" w14:textId="77777777" w:rsidR="00A22EB0" w:rsidRPr="001554A2" w:rsidRDefault="00A22EB0">
      <w:pPr>
        <w:rPr>
          <w:lang w:val="en-GB"/>
        </w:rPr>
      </w:pPr>
    </w:p>
    <w:p w14:paraId="6DD8F2A1" w14:textId="0DF0E0A8" w:rsidR="00667904" w:rsidRPr="001554A2" w:rsidRDefault="00A22EB0" w:rsidP="001E4C48">
      <w:pPr>
        <w:spacing w:line="360" w:lineRule="auto"/>
        <w:rPr>
          <w:lang w:val="en-GB"/>
        </w:rPr>
      </w:pPr>
      <w:proofErr w:type="spellStart"/>
      <w:r w:rsidRPr="001554A2">
        <w:rPr>
          <w:lang w:val="en-GB"/>
        </w:rPr>
        <w:t>eTable</w:t>
      </w:r>
      <w:proofErr w:type="spellEnd"/>
      <w:r w:rsidRPr="001554A2">
        <w:rPr>
          <w:lang w:val="en-GB"/>
        </w:rPr>
        <w:t xml:space="preserve"> 3: </w:t>
      </w:r>
      <w:r w:rsidR="0096511C" w:rsidRPr="001554A2">
        <w:rPr>
          <w:lang w:val="en-GB"/>
        </w:rPr>
        <w:t>Hazard rate for stroke for the cohort together with a standardized incidence (and ratio) estimated for this cohort.</w:t>
      </w:r>
      <w:r w:rsidR="00667904" w:rsidRPr="001554A2">
        <w:rPr>
          <w:lang w:val="en-GB"/>
        </w:rPr>
        <w:br w:type="page"/>
      </w:r>
    </w:p>
    <w:p w14:paraId="6B3E592F" w14:textId="0334563B" w:rsidR="00667904" w:rsidRPr="001554A2" w:rsidRDefault="00667904" w:rsidP="00667904">
      <w:pPr>
        <w:pStyle w:val="Rubrik1"/>
        <w:rPr>
          <w:lang w:val="en-GB"/>
        </w:rPr>
      </w:pPr>
      <w:bookmarkStart w:id="8" w:name="_Toc23193761"/>
      <w:proofErr w:type="spellStart"/>
      <w:r w:rsidRPr="001554A2">
        <w:rPr>
          <w:lang w:val="en-GB"/>
        </w:rPr>
        <w:lastRenderedPageBreak/>
        <w:t>eTable</w:t>
      </w:r>
      <w:proofErr w:type="spellEnd"/>
      <w:r w:rsidRPr="001554A2">
        <w:rPr>
          <w:lang w:val="en-GB"/>
        </w:rPr>
        <w:t xml:space="preserve"> 4 – Risk factors for </w:t>
      </w:r>
      <w:r w:rsidR="00F63ADF" w:rsidRPr="001554A2">
        <w:rPr>
          <w:lang w:val="en-GB"/>
        </w:rPr>
        <w:t>30-</w:t>
      </w:r>
      <w:r w:rsidRPr="001554A2">
        <w:rPr>
          <w:lang w:val="en-GB"/>
        </w:rPr>
        <w:t>day death after stroke</w:t>
      </w:r>
      <w:bookmarkEnd w:id="8"/>
    </w:p>
    <w:p w14:paraId="705BB187" w14:textId="77777777" w:rsidR="00667904" w:rsidRPr="001554A2" w:rsidRDefault="00667904" w:rsidP="00667904">
      <w:pPr>
        <w:rPr>
          <w:lang w:val="en-GB"/>
        </w:rPr>
      </w:pPr>
    </w:p>
    <w:p w14:paraId="043FAC28" w14:textId="19BC1F66" w:rsidR="00391581" w:rsidRPr="001554A2" w:rsidRDefault="00391581" w:rsidP="00391581">
      <w:pPr>
        <w:rPr>
          <w:lang w:val="en-GB"/>
        </w:rPr>
      </w:pPr>
    </w:p>
    <w:tbl>
      <w:tblPr>
        <w:tblW w:w="10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120"/>
        <w:gridCol w:w="160"/>
        <w:gridCol w:w="1086"/>
        <w:gridCol w:w="160"/>
        <w:gridCol w:w="1486"/>
        <w:gridCol w:w="99"/>
        <w:gridCol w:w="1054"/>
        <w:gridCol w:w="1714"/>
      </w:tblGrid>
      <w:tr w:rsidR="00FC7559" w:rsidRPr="001554A2" w14:paraId="71411A5B" w14:textId="77777777" w:rsidTr="003F0553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D312" w14:textId="77777777" w:rsidR="00FC7559" w:rsidRPr="001554A2" w:rsidRDefault="00FC7559" w:rsidP="003F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3506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1F10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9AA0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E908" w14:textId="77777777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Univariable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A9F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CB8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Multivariable</w:t>
            </w:r>
          </w:p>
        </w:tc>
      </w:tr>
      <w:tr w:rsidR="00FC7559" w:rsidRPr="001554A2" w14:paraId="0E74A272" w14:textId="77777777" w:rsidTr="003F0553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16FB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9A30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Alive (n=184)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F8B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Dead (n=44)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065A" w14:textId="77777777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p-value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994A" w14:textId="77777777" w:rsidR="00FC7559" w:rsidRPr="001554A2" w:rsidRDefault="00FC7559" w:rsidP="003F0553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OR (95% CI)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899F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p-value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52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OR (95% CI)</w:t>
            </w:r>
          </w:p>
        </w:tc>
      </w:tr>
      <w:tr w:rsidR="00FC7559" w:rsidRPr="001554A2" w14:paraId="53C7D696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AAC2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A8EC" w14:textId="163267ED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83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(7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469" w14:textId="50D08D6E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83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 (7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F5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5C96" w14:textId="6E577F7F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908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A342" w14:textId="71C8A21C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96-1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00BB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D309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5B0DEA01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1BEC" w14:textId="38B1478C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Male</w:t>
            </w:r>
            <w:r w:rsidR="00193E94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sex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0800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103 (56.0%)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49F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22 (50.0%)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1937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2853" w14:textId="51C23261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475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CDB8" w14:textId="4120899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79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41-1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52)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F652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5F8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18D24D28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FD1C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TIA/Amaurosis Fugax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DF5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23 (12.6%)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8B24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 (9.3%)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98D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D20F" w14:textId="192DC8F8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554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6995" w14:textId="1F277AB2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71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23-2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18)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4B0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E2CA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09B8BA30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AEFA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Previous stroke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968B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44 (24.0%)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7A6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 (22.7%)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BD8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0FA1" w14:textId="75B8D252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854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6BD4" w14:textId="249565C1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93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42-2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03)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83C7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220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6CC76D11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88E6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Atrial fibrillation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A1A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91 (48.1%)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F25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21 (45.7%)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8ED6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724D" w14:textId="0B346EEE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761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9D30" w14:textId="14014E52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90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47-1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73)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EA2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4226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24DDC3AD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0708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Hypertension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A070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143 (78.6%)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BD0E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31 (72.1%)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029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C1EE" w14:textId="06804770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363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814F" w14:textId="40231C5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70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33-1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50)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FDD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C04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1B73B59C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7EBD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Diabetes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100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62 (33.9%)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773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19 (44.2%)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6C4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67FD" w14:textId="753B082E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4094" w14:textId="38DAB93C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55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79-3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04)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EA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739B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6FC9BC0C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F345" w14:textId="4283694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On </w:t>
            </w:r>
            <w:r w:rsidR="00F63ADF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lipids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707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92 (50.5%)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3DC1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22 (50.0%)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06DB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F0F" w14:textId="52A279AA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948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4193" w14:textId="12D9C015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98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51-1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89)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770D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EE9D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39814DDB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0F59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On ASA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8DE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87 (47.8%)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456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 (45.5%)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AD79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D1E0" w14:textId="1C33164A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780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4CD4" w14:textId="1D9FF344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91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47-1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76)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1B50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8BAD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3E103BB6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9484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On </w:t>
            </w:r>
            <w:proofErr w:type="spellStart"/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clopidrogel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4A2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25 (13.7%)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3E2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 (22.7%)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B69A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35BE" w14:textId="7FB4C44F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143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A758" w14:textId="6490EB65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85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81-4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20)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B554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59F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0ED083CB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8CF0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On antihypertensives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992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148 (89.2%)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F97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35 (85.4%)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559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0F02" w14:textId="68EEE90B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499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71A2" w14:textId="48968AA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71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26-1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92)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1D4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2D4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09242CE3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CBA6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On OAC/NOAC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956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43 (23.6%)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015B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 (22.7%)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ECB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9DC4" w14:textId="2CB603BD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899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4305" w14:textId="19C8DE5F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95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43-2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08)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6FE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F6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397B59B5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C4B9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Thrombolysis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D941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10 (5.5%)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699B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 (4.5%)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34BA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A01B" w14:textId="20D273EB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122A" w14:textId="6C72D001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82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17-3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88)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8D62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9DF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2A10962B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3F4F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Thrombectomy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894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5 (2.9%)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188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 (0.0%)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B47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E164" w14:textId="7C064D36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999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70B3" w14:textId="6141E5F6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 (0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00-0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00)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5C8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92EE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FC7559" w:rsidRPr="001554A2" w14:paraId="4AF2A605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C410" w14:textId="4B4B06D4" w:rsidR="00FC7559" w:rsidRPr="001554A2" w:rsidRDefault="0093592A" w:rsidP="00935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Level of c</w:t>
            </w:r>
            <w:r w:rsidR="00FC7559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onsciousness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8ED9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1065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CC62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F56" w14:textId="77777777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B7DF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E577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DF06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  <w:tr w:rsidR="00240C6C" w:rsidRPr="001554A2" w14:paraId="77264A00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FA89" w14:textId="77777777" w:rsidR="00240C6C" w:rsidRPr="001554A2" w:rsidRDefault="00240C6C" w:rsidP="0024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  Unknown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91D" w14:textId="40408FB2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(4.2%)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B439" w14:textId="226CA981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3 (6.5%)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4FA" w14:textId="77777777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07D7" w14:textId="2C68808F" w:rsidR="00240C6C" w:rsidRPr="001554A2" w:rsidRDefault="00240C6C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0.145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7F5" w14:textId="5461828D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2.44 (0.72-8.16)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4E93" w14:textId="6645114E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0.145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EE2" w14:textId="1403FFB3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2.44 (0.72-8.16)</w:t>
            </w:r>
          </w:p>
        </w:tc>
      </w:tr>
      <w:tr w:rsidR="00240C6C" w:rsidRPr="001554A2" w14:paraId="29F1A6CD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E367" w14:textId="77777777" w:rsidR="00240C6C" w:rsidRPr="001554A2" w:rsidRDefault="00240C6C" w:rsidP="0024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  Unconscious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B491" w14:textId="35FD13BE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 (0.0%)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09D2" w14:textId="7FCA8AFA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12 (26.1%)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B3C0" w14:textId="471C8CC1" w:rsidR="00240C6C" w:rsidRPr="001554A2" w:rsidRDefault="00240C6C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&lt;0.001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AAD56" w14:textId="0525A0B2" w:rsidR="00240C6C" w:rsidRPr="001554A2" w:rsidRDefault="00240C6C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19.8 (8.26-47.5)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74E4" w14:textId="23A5EAEC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&lt;0.001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E97" w14:textId="30C13D26" w:rsidR="00240C6C" w:rsidRPr="001554A2" w:rsidRDefault="00240C6C" w:rsidP="00240C6C">
            <w:pPr>
              <w:spacing w:after="0" w:line="240" w:lineRule="auto"/>
              <w:ind w:left="-132" w:firstLine="142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19.8 (8.26-47.5)</w:t>
            </w:r>
          </w:p>
        </w:tc>
      </w:tr>
      <w:tr w:rsidR="00240C6C" w:rsidRPr="001554A2" w14:paraId="486A4BD6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C830" w14:textId="77777777" w:rsidR="00240C6C" w:rsidRPr="001554A2" w:rsidRDefault="00240C6C" w:rsidP="00240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  Decreased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861" w14:textId="12375F84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11 (5.8%)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8AE5" w14:textId="573BB9F8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8 (17.4%)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3BDF" w14:textId="77777777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BB32" w14:textId="23E6E7F8" w:rsidR="00240C6C" w:rsidRPr="001554A2" w:rsidRDefault="00240C6C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&lt;0.001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731" w14:textId="12D5CC00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4.89 (2.17-11.0)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3E53" w14:textId="4DC63423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&lt;0.001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C2BB" w14:textId="4FFD1421" w:rsidR="00240C6C" w:rsidRPr="001554A2" w:rsidRDefault="00240C6C" w:rsidP="00240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4.89 (2.17-11.0)</w:t>
            </w:r>
          </w:p>
        </w:tc>
      </w:tr>
      <w:tr w:rsidR="00FC7559" w:rsidRPr="001554A2" w14:paraId="7875C6BE" w14:textId="77777777" w:rsidTr="003F0553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C2AA8" w14:textId="77777777" w:rsidR="00FC7559" w:rsidRPr="001554A2" w:rsidRDefault="00FC7559" w:rsidP="003F0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  Awake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47AB" w14:textId="7BF6664A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170 (89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9%)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366C1" w14:textId="5E072E6D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23 (50</w:t>
            </w:r>
            <w:r w:rsidR="00DF43A7"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.</w:t>
            </w: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0%)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C8D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B9C74" w14:textId="77777777" w:rsidR="00FC7559" w:rsidRPr="001554A2" w:rsidRDefault="00FC7559" w:rsidP="00240C6C">
            <w:pPr>
              <w:spacing w:after="0" w:line="240" w:lineRule="auto"/>
              <w:ind w:hanging="75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Reference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DE3A3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2A15C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Reference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5024B" w14:textId="77777777" w:rsidR="00FC7559" w:rsidRPr="001554A2" w:rsidRDefault="00FC7559" w:rsidP="003F0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</w:tr>
    </w:tbl>
    <w:p w14:paraId="421C7C50" w14:textId="77777777" w:rsidR="00994093" w:rsidRPr="001554A2" w:rsidRDefault="00994093" w:rsidP="004B2ED1">
      <w:pPr>
        <w:spacing w:line="360" w:lineRule="auto"/>
        <w:rPr>
          <w:lang w:val="en-GB"/>
        </w:rPr>
      </w:pPr>
      <w:r w:rsidRPr="001554A2">
        <w:rPr>
          <w:lang w:val="en-GB"/>
        </w:rPr>
        <w:t xml:space="preserve"> </w:t>
      </w:r>
    </w:p>
    <w:p w14:paraId="59D9DCC2" w14:textId="2F30E162" w:rsidR="00994093" w:rsidRPr="001554A2" w:rsidRDefault="00994093" w:rsidP="004B2ED1">
      <w:pPr>
        <w:spacing w:line="360" w:lineRule="auto"/>
        <w:rPr>
          <w:lang w:val="en-GB"/>
        </w:rPr>
      </w:pPr>
      <w:proofErr w:type="spellStart"/>
      <w:r w:rsidRPr="001554A2">
        <w:rPr>
          <w:b/>
          <w:lang w:val="en-GB"/>
        </w:rPr>
        <w:t>eTable</w:t>
      </w:r>
      <w:proofErr w:type="spellEnd"/>
      <w:r w:rsidRPr="001554A2">
        <w:rPr>
          <w:b/>
          <w:lang w:val="en-GB"/>
        </w:rPr>
        <w:t xml:space="preserve"> </w:t>
      </w:r>
      <w:r w:rsidR="0096511C" w:rsidRPr="001554A2">
        <w:rPr>
          <w:b/>
          <w:lang w:val="en-GB"/>
        </w:rPr>
        <w:t>4</w:t>
      </w:r>
      <w:r w:rsidR="00F63ADF" w:rsidRPr="001554A2">
        <w:rPr>
          <w:lang w:val="en-GB"/>
        </w:rPr>
        <w:t xml:space="preserve">: </w:t>
      </w:r>
      <w:r w:rsidR="0096511C" w:rsidRPr="001554A2">
        <w:rPr>
          <w:lang w:val="en-GB"/>
        </w:rPr>
        <w:t>Risk factors for 30-day death after stroke. TIA=Transient Ischemic Attack</w:t>
      </w:r>
      <w:r w:rsidR="00F63ADF" w:rsidRPr="001554A2">
        <w:rPr>
          <w:lang w:val="en-GB"/>
        </w:rPr>
        <w:t xml:space="preserve">. </w:t>
      </w:r>
      <w:r w:rsidR="00602C7D" w:rsidRPr="001554A2">
        <w:rPr>
          <w:rFonts w:cs="Arial"/>
          <w:bCs/>
          <w:lang w:val="en-GB"/>
        </w:rPr>
        <w:t xml:space="preserve">ASA= </w:t>
      </w:r>
      <w:r w:rsidR="00602C7D" w:rsidRPr="001554A2">
        <w:rPr>
          <w:lang w:val="en-GB"/>
        </w:rPr>
        <w:t>acetylsalicylic</w:t>
      </w:r>
      <w:r w:rsidR="00602C7D" w:rsidRPr="001554A2">
        <w:rPr>
          <w:rFonts w:cs="Arial"/>
          <w:bCs/>
          <w:lang w:val="en-GB"/>
        </w:rPr>
        <w:t xml:space="preserve"> acid</w:t>
      </w:r>
      <w:r w:rsidR="00F63ADF" w:rsidRPr="001554A2">
        <w:rPr>
          <w:lang w:val="en-GB"/>
        </w:rPr>
        <w:t xml:space="preserve">. </w:t>
      </w:r>
      <w:r w:rsidR="0096511C" w:rsidRPr="001554A2">
        <w:rPr>
          <w:lang w:val="en-GB"/>
        </w:rPr>
        <w:t>(N)OAC=(New) Oral Anticoagulation</w:t>
      </w:r>
      <w:r w:rsidR="00F63ADF" w:rsidRPr="001554A2">
        <w:rPr>
          <w:lang w:val="en-GB"/>
        </w:rPr>
        <w:t>.</w:t>
      </w:r>
    </w:p>
    <w:p w14:paraId="15F6D433" w14:textId="77777777" w:rsidR="00994093" w:rsidRPr="001554A2" w:rsidRDefault="00994093">
      <w:pPr>
        <w:rPr>
          <w:lang w:val="en-GB"/>
        </w:rPr>
      </w:pPr>
      <w:r w:rsidRPr="001554A2">
        <w:rPr>
          <w:lang w:val="en-GB"/>
        </w:rPr>
        <w:br w:type="page"/>
      </w:r>
    </w:p>
    <w:p w14:paraId="39375436" w14:textId="01433656" w:rsidR="00862C0C" w:rsidRPr="001554A2" w:rsidRDefault="00FC7559" w:rsidP="00DF43A7">
      <w:pPr>
        <w:pStyle w:val="Rubrik1"/>
        <w:rPr>
          <w:lang w:val="en-GB"/>
        </w:rPr>
      </w:pPr>
      <w:bookmarkStart w:id="9" w:name="_Toc23193762"/>
      <w:proofErr w:type="spellStart"/>
      <w:r w:rsidRPr="001554A2">
        <w:rPr>
          <w:lang w:val="en-GB"/>
        </w:rPr>
        <w:lastRenderedPageBreak/>
        <w:t>eTable</w:t>
      </w:r>
      <w:proofErr w:type="spellEnd"/>
      <w:r w:rsidRPr="001554A2">
        <w:rPr>
          <w:lang w:val="en-GB"/>
        </w:rPr>
        <w:t xml:space="preserve"> </w:t>
      </w:r>
      <w:r w:rsidR="00667904" w:rsidRPr="001554A2">
        <w:rPr>
          <w:lang w:val="en-GB"/>
        </w:rPr>
        <w:t>5</w:t>
      </w:r>
      <w:r w:rsidRPr="001554A2">
        <w:rPr>
          <w:lang w:val="en-GB"/>
        </w:rPr>
        <w:t xml:space="preserve"> – Risk factors for </w:t>
      </w:r>
      <w:r w:rsidR="00F63ADF" w:rsidRPr="001554A2">
        <w:rPr>
          <w:lang w:val="en-GB"/>
        </w:rPr>
        <w:t>1-</w:t>
      </w:r>
      <w:r w:rsidRPr="001554A2">
        <w:rPr>
          <w:lang w:val="en-GB"/>
        </w:rPr>
        <w:t>year death after stroke</w:t>
      </w:r>
      <w:bookmarkEnd w:id="9"/>
    </w:p>
    <w:p w14:paraId="345CC7CB" w14:textId="3D02D70A" w:rsidR="00FC7559" w:rsidRPr="001554A2" w:rsidRDefault="00FC7559">
      <w:pPr>
        <w:rPr>
          <w:lang w:val="en-GB"/>
        </w:rPr>
      </w:pPr>
    </w:p>
    <w:tbl>
      <w:tblPr>
        <w:tblW w:w="11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40"/>
        <w:gridCol w:w="984"/>
        <w:gridCol w:w="327"/>
        <w:gridCol w:w="710"/>
        <w:gridCol w:w="1686"/>
        <w:gridCol w:w="694"/>
        <w:gridCol w:w="2156"/>
        <w:gridCol w:w="148"/>
        <w:gridCol w:w="843"/>
      </w:tblGrid>
      <w:tr w:rsidR="00FC7559" w:rsidRPr="001554A2" w14:paraId="0E0300B7" w14:textId="77777777" w:rsidTr="003F0553">
        <w:trPr>
          <w:gridAfter w:val="1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95A0" w14:textId="77777777" w:rsidR="00FC7559" w:rsidRPr="001554A2" w:rsidRDefault="00FC7559" w:rsidP="003F0553">
            <w:pPr>
              <w:rPr>
                <w:lang w:val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102B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EA75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641E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B607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Univariable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104D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Multivariable</w:t>
            </w:r>
          </w:p>
        </w:tc>
      </w:tr>
      <w:tr w:rsidR="00FC7559" w:rsidRPr="001554A2" w14:paraId="407E2676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1C70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C02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Alive (n=138)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4399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Dead (n=90)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125C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p-value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1BBA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9346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p-value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C31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OR (95% CI)</w:t>
            </w:r>
          </w:p>
        </w:tc>
      </w:tr>
      <w:tr w:rsidR="00FC7559" w:rsidRPr="001554A2" w14:paraId="6D72E020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5B34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A7AB" w14:textId="5986885B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83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7 (7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136E" w14:textId="42FAE00E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83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 (8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2)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214D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659C" w14:textId="1723316B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848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D4F5" w14:textId="2FC0EC18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00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97-1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993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ACA4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3FCE27E1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0F94" w14:textId="3373864D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Male</w:t>
            </w:r>
            <w:r w:rsidR="00193E94" w:rsidRPr="001554A2">
              <w:rPr>
                <w:rFonts w:ascii="Calibri" w:hAnsi="Calibri" w:cs="Calibri"/>
                <w:color w:val="000000"/>
                <w:lang w:val="en-GB"/>
              </w:rPr>
              <w:t xml:space="preserve"> 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8697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78 (56.5%)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495E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47 (52.2%)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4E06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22D5" w14:textId="60ABE1E8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524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1960" w14:textId="54C6F471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84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49-1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431A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245F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3EF716EF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CB4A2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TIA/Amaurosis Fugax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9925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14 (10.2%)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08AA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13 (14.6%)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550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A26A" w14:textId="5F26F735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85F0" w14:textId="3294D9BF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50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67-3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2254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B7B2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76DC18B4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9EA0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Previous stroke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24C2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34 (24.8%)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0F0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20 (22.2%)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5BD3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8BFD" w14:textId="22556293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653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36AF" w14:textId="56CD2802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87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46-1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C63E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1D3B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16537DBF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C9B09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Atrial fibrillation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ACF8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61 (43.0%)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73F2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51 (54.8%)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DA31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4405" w14:textId="581E42DD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075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52D3" w14:textId="0EF28A9C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61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95-2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4EC8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184F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5E563A78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C335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9249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110 (80.9%)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BFAE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64 (71.9%)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42CB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0B48" w14:textId="18197794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118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C96E" w14:textId="63ED339B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61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32-1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7FF7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FC13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1376EF18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DF811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824A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46 (33.6%)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09C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35 (39.3%)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05C8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6AD63" w14:textId="777C1F43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379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7FBE" w14:textId="29C5B089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28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74-2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4828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FFD8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2F97E957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F154E" w14:textId="752A7AB2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 xml:space="preserve">On </w:t>
            </w:r>
            <w:r w:rsidR="00F63ADF" w:rsidRPr="001554A2">
              <w:rPr>
                <w:rFonts w:ascii="Calibri" w:hAnsi="Calibri" w:cs="Calibri"/>
                <w:color w:val="000000"/>
                <w:lang w:val="en-GB"/>
              </w:rPr>
              <w:t>lipids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23E8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76 (55.9%)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5B9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38 (42.2%)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8CD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D7CF" w14:textId="78A3CCEB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045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0EA5" w14:textId="7FBEEA0E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58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34-0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9FE4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C067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0985677B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71BD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On ASA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5646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67 (49.3%)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8396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40 (44.4%)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E843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12DB" w14:textId="02539EAC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478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1E18" w14:textId="54A247F4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82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48-1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63F2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240B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1887BACD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96F9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 xml:space="preserve">On </w:t>
            </w:r>
            <w:proofErr w:type="spellStart"/>
            <w:r w:rsidRPr="001554A2">
              <w:rPr>
                <w:rFonts w:ascii="Calibri" w:hAnsi="Calibri" w:cs="Calibri"/>
                <w:color w:val="000000"/>
                <w:lang w:val="en-GB"/>
              </w:rPr>
              <w:t>clopidrogel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BE9F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21 (15.4%)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D6BF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14 (15.6%)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0FF7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4183" w14:textId="0F04E5F1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981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FCB4" w14:textId="426188C5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01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48-2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757B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E5B3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2369AB96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61BD9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On antihypertensives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115A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108 (88.5%)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620B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75 (88.2%)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0A4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1351" w14:textId="59074FF0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949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CAA4" w14:textId="6A42085C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97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41-2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C29C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83A8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34A79CF1" w14:textId="77777777" w:rsidTr="00240C6C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4E2B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On OAC/NOAC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95B3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25 (18.4%)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B1D8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28 (31.1%)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7FB0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6311" w14:textId="0EE42D70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028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851A" w14:textId="36987A1C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2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01 (1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08-3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00F16" w14:textId="2835130F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F9443" w14:textId="3AFA1CF1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FC7559" w:rsidRPr="001554A2" w14:paraId="078CB392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C91C9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Thrombolysis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8364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9 (6.6%)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7616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 (3.3%)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ECE8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3BA0" w14:textId="6DE769B9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290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3D91" w14:textId="177E0F69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49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13-1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D8B6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B3D4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40C6C" w:rsidRPr="001554A2" w14:paraId="1273C685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19C90" w14:textId="77777777" w:rsidR="00240C6C" w:rsidRPr="001554A2" w:rsidRDefault="00240C6C" w:rsidP="00240C6C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Thrombectomy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26D0" w14:textId="77777777" w:rsidR="00240C6C" w:rsidRPr="001554A2" w:rsidRDefault="00240C6C" w:rsidP="00240C6C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 (0.8%)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E5FC" w14:textId="77777777" w:rsidR="00240C6C" w:rsidRPr="001554A2" w:rsidRDefault="00240C6C" w:rsidP="00240C6C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4 (4.9%)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C817" w14:textId="77777777" w:rsidR="00240C6C" w:rsidRPr="001554A2" w:rsidRDefault="00240C6C" w:rsidP="00240C6C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0880" w14:textId="603F2819" w:rsidR="00240C6C" w:rsidRPr="001554A2" w:rsidRDefault="00240C6C" w:rsidP="00240C6C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0.096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F0CA" w14:textId="469F4DB2" w:rsidR="00240C6C" w:rsidRPr="001554A2" w:rsidRDefault="00240C6C" w:rsidP="00240C6C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6.51 (0.71-59.33)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4A81" w14:textId="28C34CE9" w:rsidR="00240C6C" w:rsidRPr="001554A2" w:rsidRDefault="00240C6C" w:rsidP="00240C6C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0.021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F786" w14:textId="770446B7" w:rsidR="00240C6C" w:rsidRPr="001554A2" w:rsidRDefault="00240C6C" w:rsidP="00240C6C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3.35 (1.20-9.33)</w:t>
            </w:r>
          </w:p>
        </w:tc>
      </w:tr>
      <w:tr w:rsidR="00FC7559" w:rsidRPr="001554A2" w14:paraId="0B45BD6A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9316" w14:textId="56D84F6F" w:rsidR="00FC7559" w:rsidRPr="001554A2" w:rsidRDefault="0093592A" w:rsidP="0093592A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Level of c</w:t>
            </w:r>
            <w:r w:rsidR="00FC7559" w:rsidRPr="001554A2">
              <w:rPr>
                <w:rFonts w:ascii="Calibri" w:hAnsi="Calibri" w:cs="Calibri"/>
                <w:color w:val="000000"/>
                <w:lang w:val="en-GB"/>
              </w:rPr>
              <w:t>onsciousness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AAB9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8599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2B4E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1851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B21F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08CF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B3DC" w14:textId="77777777" w:rsidR="00FC7559" w:rsidRPr="001554A2" w:rsidRDefault="00FC7559" w:rsidP="003F055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C7559" w:rsidRPr="001554A2" w14:paraId="552B6A84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51B8" w14:textId="77777777" w:rsidR="00FC7559" w:rsidRPr="001554A2" w:rsidRDefault="00FC7559" w:rsidP="003F055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 xml:space="preserve">   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BAE4" w14:textId="56CDFABC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7 (4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7566" w14:textId="50BDD62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4 (4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3%)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A937" w14:textId="77777777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70AF" w14:textId="5B7D2C59" w:rsidR="00FC7559" w:rsidRPr="001554A2" w:rsidRDefault="00FC7559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="0093592A" w:rsidRPr="001554A2">
              <w:rPr>
                <w:rFonts w:ascii="Calibri" w:hAnsi="Calibri" w:cs="Calibri"/>
                <w:color w:val="000000"/>
                <w:lang w:val="en-GB"/>
              </w:rPr>
              <w:t>744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AAEA" w14:textId="3EBA7D9F" w:rsidR="00FC7559" w:rsidRPr="001554A2" w:rsidRDefault="00FC7559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="0093592A" w:rsidRPr="001554A2">
              <w:rPr>
                <w:rFonts w:ascii="Calibri" w:hAnsi="Calibri" w:cs="Calibri"/>
                <w:color w:val="000000"/>
                <w:lang w:val="en-GB"/>
              </w:rPr>
              <w:t>18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 xml:space="preserve"> (0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="0093592A" w:rsidRPr="001554A2">
              <w:rPr>
                <w:rFonts w:ascii="Calibri" w:hAnsi="Calibri" w:cs="Calibri"/>
                <w:color w:val="000000"/>
                <w:lang w:val="en-GB"/>
              </w:rPr>
              <w:t>43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-</w:t>
            </w:r>
            <w:r w:rsidR="0093592A" w:rsidRPr="001554A2">
              <w:rPr>
                <w:rFonts w:ascii="Calibri" w:hAnsi="Calibri" w:cs="Calibri"/>
                <w:color w:val="000000"/>
                <w:lang w:val="en-GB"/>
              </w:rPr>
              <w:t>3</w:t>
            </w:r>
            <w:r w:rsidR="00DF43A7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="0093592A" w:rsidRPr="001554A2">
              <w:rPr>
                <w:rFonts w:ascii="Calibri" w:hAnsi="Calibri" w:cs="Calibri"/>
                <w:color w:val="000000"/>
                <w:lang w:val="en-GB"/>
              </w:rPr>
              <w:t>26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9578" w14:textId="55CD5495" w:rsidR="00FC7559" w:rsidRPr="001554A2" w:rsidRDefault="0093592A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0.867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FADB" w14:textId="55EA2DD6" w:rsidR="00FC7559" w:rsidRPr="001554A2" w:rsidRDefault="00240C6C" w:rsidP="003F055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1.18 (0</w:t>
            </w:r>
            <w:r w:rsidR="00B16263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16-8</w:t>
            </w:r>
            <w:r w:rsidR="00B16263" w:rsidRPr="001554A2">
              <w:rPr>
                <w:rFonts w:ascii="Calibri" w:hAnsi="Calibri" w:cs="Calibri"/>
                <w:color w:val="000000"/>
                <w:lang w:val="en-GB"/>
              </w:rPr>
              <w:t>.</w:t>
            </w:r>
            <w:r w:rsidR="00FC7559" w:rsidRPr="001554A2">
              <w:rPr>
                <w:rFonts w:ascii="Calibri" w:hAnsi="Calibri" w:cs="Calibri"/>
                <w:color w:val="000000"/>
                <w:lang w:val="en-GB"/>
              </w:rPr>
              <w:t>5</w:t>
            </w:r>
            <w:r w:rsidRPr="001554A2">
              <w:rPr>
                <w:rFonts w:ascii="Calibri" w:hAnsi="Calibri" w:cs="Calibri"/>
                <w:color w:val="000000"/>
                <w:lang w:val="en-GB"/>
              </w:rPr>
              <w:t>7</w:t>
            </w:r>
            <w:r w:rsidR="00FC7559" w:rsidRPr="001554A2">
              <w:rPr>
                <w:rFonts w:ascii="Calibri" w:hAnsi="Calibri" w:cs="Calibri"/>
                <w:color w:val="000000"/>
                <w:lang w:val="en-GB"/>
              </w:rPr>
              <w:t>)</w:t>
            </w:r>
          </w:p>
        </w:tc>
      </w:tr>
      <w:tr w:rsidR="0093592A" w:rsidRPr="001554A2" w14:paraId="6FA27F2A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2450" w14:textId="77777777" w:rsidR="0093592A" w:rsidRPr="001554A2" w:rsidRDefault="0093592A" w:rsidP="0093592A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 xml:space="preserve">   Unconscious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1383" w14:textId="20F98325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0 (0.0%)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6B92" w14:textId="01C7EED1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12 (12.9%)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97DC" w14:textId="444E021E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&lt;0.001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81E6" w14:textId="1D3ECE12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19.0 (8.08-44.6)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507D" w14:textId="3DA0F21D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&lt;0.001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8FAB" w14:textId="39C8B9F4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30.8 (11.7-81.3)</w:t>
            </w:r>
          </w:p>
        </w:tc>
      </w:tr>
      <w:tr w:rsidR="0093592A" w:rsidRPr="001554A2" w14:paraId="0C091603" w14:textId="77777777" w:rsidTr="003F0553">
        <w:trPr>
          <w:gridAfter w:val="2"/>
          <w:wAfter w:w="991" w:type="dxa"/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6BC3" w14:textId="77777777" w:rsidR="0093592A" w:rsidRPr="001554A2" w:rsidRDefault="0093592A" w:rsidP="0093592A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 xml:space="preserve">  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FB45" w14:textId="4D8B86F1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 (2.1%)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6154" w14:textId="1D5A9267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16 (17.2%)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B680" w14:textId="79EF9823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&lt;0.001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FDF4" w14:textId="3F35DF07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5.00 (2.86-8.74)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4EFD" w14:textId="2765005A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&lt;0.001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EF1E" w14:textId="295B7052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4.79 (2.63-8.71)</w:t>
            </w:r>
          </w:p>
        </w:tc>
      </w:tr>
      <w:tr w:rsidR="0093592A" w:rsidRPr="001554A2" w14:paraId="4B954FEF" w14:textId="77777777" w:rsidTr="003F0553">
        <w:trPr>
          <w:trHeight w:hRule="exact"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28D6" w14:textId="77777777" w:rsidR="0093592A" w:rsidRPr="001554A2" w:rsidRDefault="0093592A" w:rsidP="0093592A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 xml:space="preserve">   Awake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8479" w14:textId="309BEE0A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132 (93.0%)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1FAC" w14:textId="677EF6DE" w:rsidR="0093592A" w:rsidRPr="001554A2" w:rsidRDefault="0093592A" w:rsidP="0093592A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61 (65.6%)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044B" w14:textId="77777777" w:rsidR="0093592A" w:rsidRPr="001554A2" w:rsidRDefault="0093592A" w:rsidP="0093592A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Reference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7FEB" w14:textId="77777777" w:rsidR="0093592A" w:rsidRPr="001554A2" w:rsidRDefault="0093592A" w:rsidP="0093592A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Reference</w:t>
            </w:r>
          </w:p>
        </w:tc>
      </w:tr>
    </w:tbl>
    <w:p w14:paraId="3100822F" w14:textId="77777777" w:rsidR="00FC7559" w:rsidRPr="001554A2" w:rsidRDefault="00FC7559">
      <w:pPr>
        <w:rPr>
          <w:lang w:val="en-GB"/>
        </w:rPr>
      </w:pPr>
    </w:p>
    <w:p w14:paraId="64C0D0D9" w14:textId="74683BDE" w:rsidR="0096511C" w:rsidRPr="001554A2" w:rsidRDefault="0096511C" w:rsidP="0096511C">
      <w:pPr>
        <w:spacing w:line="360" w:lineRule="auto"/>
        <w:rPr>
          <w:lang w:val="en-GB"/>
        </w:rPr>
      </w:pPr>
      <w:proofErr w:type="spellStart"/>
      <w:r w:rsidRPr="001554A2">
        <w:rPr>
          <w:b/>
          <w:lang w:val="en-GB"/>
        </w:rPr>
        <w:t>eTable</w:t>
      </w:r>
      <w:proofErr w:type="spellEnd"/>
      <w:r w:rsidRPr="001554A2">
        <w:rPr>
          <w:b/>
          <w:lang w:val="en-GB"/>
        </w:rPr>
        <w:t xml:space="preserve"> 5</w:t>
      </w:r>
      <w:r w:rsidR="00F63ADF" w:rsidRPr="001554A2">
        <w:rPr>
          <w:lang w:val="en-GB"/>
        </w:rPr>
        <w:t xml:space="preserve">: </w:t>
      </w:r>
      <w:r w:rsidRPr="001554A2">
        <w:rPr>
          <w:lang w:val="en-GB"/>
        </w:rPr>
        <w:t xml:space="preserve">Risk factors for </w:t>
      </w:r>
      <w:r w:rsidR="00F63ADF" w:rsidRPr="001554A2">
        <w:rPr>
          <w:lang w:val="en-GB"/>
        </w:rPr>
        <w:t>1-</w:t>
      </w:r>
      <w:r w:rsidRPr="001554A2">
        <w:rPr>
          <w:lang w:val="en-GB"/>
        </w:rPr>
        <w:t xml:space="preserve">year death after stroke. </w:t>
      </w:r>
      <w:r w:rsidR="00602C7D" w:rsidRPr="001554A2">
        <w:rPr>
          <w:lang w:val="en-GB"/>
        </w:rPr>
        <w:t>TIA=Transient Ischemic Attack</w:t>
      </w:r>
      <w:r w:rsidR="00F63ADF" w:rsidRPr="001554A2">
        <w:rPr>
          <w:lang w:val="en-GB"/>
        </w:rPr>
        <w:t>.</w:t>
      </w:r>
      <w:r w:rsidR="00F63ADF" w:rsidRPr="001554A2">
        <w:rPr>
          <w:rFonts w:cs="Arial"/>
          <w:bCs/>
          <w:lang w:val="en-GB"/>
        </w:rPr>
        <w:t xml:space="preserve"> </w:t>
      </w:r>
      <w:r w:rsidR="00602C7D" w:rsidRPr="001554A2">
        <w:rPr>
          <w:rFonts w:cs="Arial"/>
          <w:bCs/>
          <w:lang w:val="en-GB"/>
        </w:rPr>
        <w:t xml:space="preserve">ASA= </w:t>
      </w:r>
      <w:r w:rsidR="00602C7D" w:rsidRPr="001554A2">
        <w:rPr>
          <w:lang w:val="en-GB"/>
        </w:rPr>
        <w:t>acetylsalicylic</w:t>
      </w:r>
      <w:r w:rsidR="00602C7D" w:rsidRPr="001554A2">
        <w:rPr>
          <w:rFonts w:cs="Arial"/>
          <w:bCs/>
          <w:lang w:val="en-GB"/>
        </w:rPr>
        <w:t xml:space="preserve"> acid</w:t>
      </w:r>
      <w:r w:rsidR="00F63ADF" w:rsidRPr="001554A2">
        <w:rPr>
          <w:lang w:val="en-GB"/>
        </w:rPr>
        <w:t xml:space="preserve">. </w:t>
      </w:r>
      <w:r w:rsidRPr="001554A2">
        <w:rPr>
          <w:lang w:val="en-GB"/>
        </w:rPr>
        <w:t>(N)OAC=(New) Oral Anticoagulation.</w:t>
      </w:r>
    </w:p>
    <w:p w14:paraId="2A78BE21" w14:textId="77777777" w:rsidR="00DF43A7" w:rsidRPr="001554A2" w:rsidRDefault="00DF43A7">
      <w:pPr>
        <w:rPr>
          <w:lang w:val="en-GB"/>
        </w:rPr>
      </w:pPr>
      <w:r w:rsidRPr="001554A2">
        <w:rPr>
          <w:lang w:val="en-GB"/>
        </w:rPr>
        <w:br w:type="page"/>
      </w:r>
    </w:p>
    <w:p w14:paraId="54262032" w14:textId="7FC37E6D" w:rsidR="00DF43A7" w:rsidRPr="001554A2" w:rsidRDefault="00DF43A7" w:rsidP="00DF43A7">
      <w:pPr>
        <w:pStyle w:val="Rubrik1"/>
        <w:rPr>
          <w:lang w:val="en-GB"/>
        </w:rPr>
      </w:pPr>
      <w:bookmarkStart w:id="10" w:name="_Toc23193763"/>
      <w:proofErr w:type="spellStart"/>
      <w:r w:rsidRPr="001554A2">
        <w:rPr>
          <w:lang w:val="en-GB"/>
        </w:rPr>
        <w:lastRenderedPageBreak/>
        <w:t>eTable</w:t>
      </w:r>
      <w:proofErr w:type="spellEnd"/>
      <w:r w:rsidRPr="001554A2">
        <w:rPr>
          <w:lang w:val="en-GB"/>
        </w:rPr>
        <w:t xml:space="preserve"> </w:t>
      </w:r>
      <w:r w:rsidR="00667904" w:rsidRPr="001554A2">
        <w:rPr>
          <w:lang w:val="en-GB"/>
        </w:rPr>
        <w:t>6</w:t>
      </w:r>
      <w:r w:rsidRPr="001554A2">
        <w:rPr>
          <w:lang w:val="en-GB"/>
        </w:rPr>
        <w:t xml:space="preserve"> – Atrial fibrillation and stroke patients</w:t>
      </w:r>
      <w:bookmarkEnd w:id="10"/>
    </w:p>
    <w:p w14:paraId="0E944A17" w14:textId="77777777" w:rsidR="00DF43A7" w:rsidRPr="001554A2" w:rsidRDefault="00DF43A7">
      <w:pPr>
        <w:rPr>
          <w:lang w:val="en-GB"/>
        </w:rPr>
      </w:pPr>
    </w:p>
    <w:tbl>
      <w:tblPr>
        <w:tblW w:w="7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60"/>
        <w:gridCol w:w="1442"/>
        <w:gridCol w:w="1427"/>
        <w:gridCol w:w="752"/>
      </w:tblGrid>
      <w:tr w:rsidR="00FC53AA" w:rsidRPr="001554A2" w14:paraId="30EA20AC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7C7721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b/>
                <w:lang w:val="en-GB" w:eastAsia="sv-SE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7F3257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sv-SE"/>
              </w:rPr>
            </w:pPr>
            <w:r w:rsidRPr="001554A2">
              <w:rPr>
                <w:rFonts w:eastAsia="Times New Roman" w:cstheme="minorHAnsi"/>
                <w:b/>
                <w:lang w:val="en-GB" w:eastAsia="sv-SE"/>
              </w:rPr>
              <w:t>All (n=235)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5F16FCC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sv-SE"/>
              </w:rPr>
            </w:pPr>
            <w:r w:rsidRPr="001554A2">
              <w:rPr>
                <w:rFonts w:eastAsia="Times New Roman" w:cstheme="minorHAnsi"/>
                <w:b/>
                <w:lang w:val="en-GB" w:eastAsia="sv-SE"/>
              </w:rPr>
              <w:t xml:space="preserve">With </w:t>
            </w:r>
            <w:proofErr w:type="spellStart"/>
            <w:r w:rsidRPr="001554A2">
              <w:rPr>
                <w:rFonts w:eastAsia="Times New Roman" w:cstheme="minorHAnsi"/>
                <w:b/>
                <w:lang w:val="en-GB" w:eastAsia="sv-SE"/>
              </w:rPr>
              <w:t>Afib</w:t>
            </w:r>
            <w:proofErr w:type="spellEnd"/>
            <w:r w:rsidRPr="001554A2">
              <w:rPr>
                <w:rFonts w:eastAsia="Times New Roman" w:cstheme="minorHAnsi"/>
                <w:b/>
                <w:lang w:val="en-GB" w:eastAsia="sv-SE"/>
              </w:rPr>
              <w:t xml:space="preserve"> (n=112)</w:t>
            </w:r>
          </w:p>
        </w:tc>
        <w:tc>
          <w:tcPr>
            <w:tcW w:w="2179" w:type="dxa"/>
            <w:gridSpan w:val="2"/>
            <w:shd w:val="clear" w:color="auto" w:fill="auto"/>
            <w:noWrap/>
            <w:vAlign w:val="bottom"/>
            <w:hideMark/>
          </w:tcPr>
          <w:p w14:paraId="6A5A9A9B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sv-SE"/>
              </w:rPr>
            </w:pPr>
            <w:r w:rsidRPr="001554A2">
              <w:rPr>
                <w:rFonts w:eastAsia="Times New Roman" w:cstheme="minorHAnsi"/>
                <w:b/>
                <w:lang w:val="en-GB" w:eastAsia="sv-SE"/>
              </w:rPr>
              <w:t xml:space="preserve">No </w:t>
            </w:r>
            <w:proofErr w:type="spellStart"/>
            <w:r w:rsidRPr="001554A2">
              <w:rPr>
                <w:rFonts w:eastAsia="Times New Roman" w:cstheme="minorHAnsi"/>
                <w:b/>
                <w:lang w:val="en-GB" w:eastAsia="sv-SE"/>
              </w:rPr>
              <w:t>Afib</w:t>
            </w:r>
            <w:proofErr w:type="spellEnd"/>
            <w:r w:rsidRPr="001554A2">
              <w:rPr>
                <w:rFonts w:eastAsia="Times New Roman" w:cstheme="minorHAnsi"/>
                <w:b/>
                <w:lang w:val="en-GB" w:eastAsia="sv-SE"/>
              </w:rPr>
              <w:t xml:space="preserve"> (n=123)</w:t>
            </w:r>
          </w:p>
        </w:tc>
      </w:tr>
      <w:tr w:rsidR="00FC53AA" w:rsidRPr="001554A2" w14:paraId="441C38A2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F443B3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Age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5D5DC01" w14:textId="4391E434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83.8 (7.5)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865F220" w14:textId="391E2CCD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84.1 (6.4)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4A066E58" w14:textId="6E8551BE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83.5 (8.4)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3C41310" w14:textId="68FF42FD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0.552</w:t>
            </w:r>
          </w:p>
        </w:tc>
      </w:tr>
      <w:tr w:rsidR="00FC53AA" w:rsidRPr="001554A2" w14:paraId="0697E689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B58761" w14:textId="1E0B5C71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Male</w:t>
            </w:r>
            <w:r w:rsidR="00193E94" w:rsidRPr="001554A2">
              <w:rPr>
                <w:rFonts w:eastAsia="Times New Roman" w:cstheme="minorHAnsi"/>
                <w:lang w:val="en-GB" w:eastAsia="sv-SE"/>
              </w:rPr>
              <w:t xml:space="preserve"> sex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1756A1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125 (54.8%)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E630F6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60 (54.0%)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195346CD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65 (56.0%)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ACFF287" w14:textId="29CAC83D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0.709</w:t>
            </w:r>
          </w:p>
        </w:tc>
      </w:tr>
      <w:tr w:rsidR="00FC53AA" w:rsidRPr="001554A2" w14:paraId="11D49A1F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73BFCF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I63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9217D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210 (89.4%)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2A9F41E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97 (87.0%)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3D06E84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112 (91.1%)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D09F3A3" w14:textId="730A8644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0.377</w:t>
            </w:r>
          </w:p>
        </w:tc>
      </w:tr>
      <w:tr w:rsidR="00FC53AA" w:rsidRPr="001554A2" w14:paraId="7A53208D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294BF0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I61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530443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24 (10.2%)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ED76286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13 (12.0%)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77EB5C8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11 (8.9%)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B49D3E8" w14:textId="72DC7F68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0.501</w:t>
            </w:r>
          </w:p>
        </w:tc>
      </w:tr>
      <w:tr w:rsidR="00FC53AA" w:rsidRPr="001554A2" w14:paraId="50EF3B81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14C70B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TIA/Amaurosis Fugax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24DAB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27 (11.9%)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AE7A9FF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 (5.0%)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54717DB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21 (18.4%)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0F0CCD8" w14:textId="6ABE0280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0.002</w:t>
            </w:r>
          </w:p>
        </w:tc>
      </w:tr>
      <w:tr w:rsidR="00FC53AA" w:rsidRPr="001554A2" w14:paraId="132F6ABB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CAB72F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Previous stroke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FE22817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54 (23.8%)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228E607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28 (25.0%)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060D7523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26 (22.6%)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D5363FB" w14:textId="501CC129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0.672</w:t>
            </w:r>
          </w:p>
        </w:tc>
      </w:tr>
      <w:tr w:rsidR="00FC53AA" w:rsidRPr="001554A2" w14:paraId="5E66A009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1E338B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Atrial fibrillation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AC2A66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112 (47.7%)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9E348CC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112 (100.0%)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0F6C875D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 (0.0%)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191B8AD" w14:textId="6B30C27E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</w:tr>
      <w:tr w:rsidR="00FC53AA" w:rsidRPr="001554A2" w14:paraId="1DAD0A37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165549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Hypertension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D2871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174 (77.3%)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09578B1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79 (71.0%)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2143D10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95 (83.3%)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1B6D242" w14:textId="61164103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0.029</w:t>
            </w:r>
          </w:p>
        </w:tc>
      </w:tr>
      <w:tr w:rsidR="00FC53AA" w:rsidRPr="001554A2" w14:paraId="263FA09A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6DAA76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Diabetes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31397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81 (35.8%)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F76B12C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38 (34.0%)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4777B322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43 (37.7%)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6200A7F" w14:textId="1371F6B8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0.552</w:t>
            </w:r>
          </w:p>
        </w:tc>
      </w:tr>
      <w:tr w:rsidR="00FC53AA" w:rsidRPr="001554A2" w14:paraId="786716DD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00EE16" w14:textId="5DCDB86C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 xml:space="preserve">On </w:t>
            </w:r>
            <w:r w:rsidR="00F63ADF" w:rsidRPr="001554A2">
              <w:rPr>
                <w:rFonts w:eastAsia="Times New Roman" w:cstheme="minorHAnsi"/>
                <w:lang w:val="en-GB" w:eastAsia="sv-SE"/>
              </w:rPr>
              <w:t>lipids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AC066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114 (50.4%)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F73CD04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58 (52.0%)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388CE2A1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56 (48.7%)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FDEFB9B" w14:textId="62CC7FC1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0.593</w:t>
            </w:r>
          </w:p>
        </w:tc>
      </w:tr>
      <w:tr w:rsidR="00FC53AA" w:rsidRPr="001554A2" w14:paraId="60EEB30A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E506E9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On ASA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E46DE67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107 (47.3%)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FCEF360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28 (25.0%)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215BA18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79 (68.7%)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350E1AE" w14:textId="7B1526DA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&lt;0.001</w:t>
            </w:r>
          </w:p>
        </w:tc>
      </w:tr>
      <w:tr w:rsidR="00FC53AA" w:rsidRPr="001554A2" w14:paraId="73C7546F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5776E0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 xml:space="preserve">On </w:t>
            </w:r>
            <w:proofErr w:type="spellStart"/>
            <w:r w:rsidRPr="001554A2">
              <w:rPr>
                <w:rFonts w:eastAsia="Times New Roman" w:cstheme="minorHAnsi"/>
                <w:lang w:val="en-GB" w:eastAsia="sv-SE"/>
              </w:rPr>
              <w:t>clopidrogel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784CF5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35 (15.5%)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02D4E31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 (5.0%)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651D5297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29 (25.2%)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0F64BD1" w14:textId="04D23828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&lt;0.001</w:t>
            </w:r>
          </w:p>
        </w:tc>
      </w:tr>
      <w:tr w:rsidR="00FC53AA" w:rsidRPr="001554A2" w14:paraId="62B8075B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FF196A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On antihypertensives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57ED15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183 (88.4%)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D321501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94 (90.0%)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455CA0C1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89 (86.4%)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D8FDA58" w14:textId="31BC43B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0.372</w:t>
            </w:r>
          </w:p>
        </w:tc>
      </w:tr>
      <w:tr w:rsidR="00FC53AA" w:rsidRPr="001554A2" w14:paraId="7A36A357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FF2066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On OAC/NOAC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8AC9EF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53 (23.5%)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D71D0B5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47 (42.0%)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02608567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 (5.2%)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BEA6522" w14:textId="2CAACC39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&lt;0.001</w:t>
            </w:r>
          </w:p>
        </w:tc>
      </w:tr>
      <w:tr w:rsidR="00FC53AA" w:rsidRPr="001554A2" w14:paraId="23A53BDC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253738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Thrombolysis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7C42780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12 (5.3%)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B2C3044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3 (3.0%)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69448794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9 (7.9%)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51221BE" w14:textId="1B24C362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0.080</w:t>
            </w:r>
          </w:p>
        </w:tc>
      </w:tr>
      <w:tr w:rsidR="00FC53AA" w:rsidRPr="001554A2" w14:paraId="3307FBAA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F6257D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Thrombectomy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208F996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 (2.4%)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D5BCCC7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 (5.0%)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75CBCD99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 (0.0%)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69B6896" w14:textId="78716170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0.020</w:t>
            </w:r>
          </w:p>
        </w:tc>
      </w:tr>
      <w:tr w:rsidR="00FC53AA" w:rsidRPr="001554A2" w14:paraId="1374995B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4E72F0" w14:textId="1601488A" w:rsidR="00FC53AA" w:rsidRPr="001554A2" w:rsidRDefault="00F63ADF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 xml:space="preserve">30-day </w:t>
            </w:r>
            <w:r w:rsidR="00FC53AA" w:rsidRPr="001554A2">
              <w:rPr>
                <w:rFonts w:eastAsia="Times New Roman" w:cstheme="minorHAnsi"/>
                <w:lang w:val="en-GB" w:eastAsia="sv-SE"/>
              </w:rPr>
              <w:t>mortality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9C344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46 (19.6%)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38E98D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21 (19.0%)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708AD635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25 (20.3%)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948A87E" w14:textId="064A0275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0.761</w:t>
            </w:r>
          </w:p>
        </w:tc>
      </w:tr>
      <w:tr w:rsidR="00FC53AA" w:rsidRPr="001554A2" w14:paraId="074FABAC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2BF8A5" w14:textId="4A48918D" w:rsidR="00FC53AA" w:rsidRPr="001554A2" w:rsidRDefault="00F63ADF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1-</w:t>
            </w:r>
            <w:r w:rsidR="00FC53AA" w:rsidRPr="001554A2">
              <w:rPr>
                <w:rFonts w:eastAsia="Times New Roman" w:cstheme="minorHAnsi"/>
                <w:lang w:val="en-GB" w:eastAsia="sv-SE"/>
              </w:rPr>
              <w:t>year mortality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0EEC1CF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93 (39.6%)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428E0362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52 (46.0%)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5D2490A1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42 (34.1%)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ECD5C02" w14:textId="0320D463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0.075</w:t>
            </w:r>
          </w:p>
        </w:tc>
      </w:tr>
      <w:tr w:rsidR="00FC53AA" w:rsidRPr="001554A2" w14:paraId="4B2A9C39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798B07" w14:textId="5D04A9A2" w:rsidR="00FC53AA" w:rsidRPr="001554A2" w:rsidRDefault="00F63ADF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3-</w:t>
            </w:r>
            <w:r w:rsidR="00FC53AA" w:rsidRPr="001554A2">
              <w:rPr>
                <w:rFonts w:eastAsia="Times New Roman" w:cstheme="minorHAnsi"/>
                <w:lang w:val="en-GB" w:eastAsia="sv-SE"/>
              </w:rPr>
              <w:t>year mortality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D73F18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123 (52.3%)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F9C545D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59 (53.0%)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7B5D22B0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64 (52.0%)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F08AEE7" w14:textId="664C2A68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0.921</w:t>
            </w:r>
          </w:p>
        </w:tc>
      </w:tr>
      <w:tr w:rsidR="00FC53AA" w:rsidRPr="001554A2" w14:paraId="698DAFB3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B81B69" w14:textId="16EC9CC5" w:rsidR="00FC53AA" w:rsidRPr="001554A2" w:rsidRDefault="00F63ADF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5-</w:t>
            </w:r>
            <w:r w:rsidR="00FC53AA" w:rsidRPr="001554A2">
              <w:rPr>
                <w:rFonts w:eastAsia="Times New Roman" w:cstheme="minorHAnsi"/>
                <w:lang w:val="en-GB" w:eastAsia="sv-SE"/>
              </w:rPr>
              <w:t>year mortality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0069C7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133 (56.6%)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0E6E0F0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64 (57.0%)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64505BE2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69 (56.1%)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9E1E150" w14:textId="125154F3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0.872</w:t>
            </w:r>
          </w:p>
        </w:tc>
      </w:tr>
      <w:tr w:rsidR="00FC53AA" w:rsidRPr="001554A2" w14:paraId="3BD2D7B3" w14:textId="77777777" w:rsidTr="00E5486C">
        <w:trPr>
          <w:trHeight w:hRule="exact" w:val="340"/>
        </w:trPr>
        <w:tc>
          <w:tcPr>
            <w:tcW w:w="2268" w:type="dxa"/>
            <w:shd w:val="clear" w:color="auto" w:fill="auto"/>
            <w:noWrap/>
            <w:vAlign w:val="center"/>
          </w:tcPr>
          <w:p w14:paraId="144EBD5B" w14:textId="7AAAF833" w:rsidR="00FC53AA" w:rsidRPr="001554A2" w:rsidRDefault="00FC53AA" w:rsidP="00FC53AA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On OAC at discharge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2BC2FF29" w14:textId="769987E0" w:rsidR="00FC53AA" w:rsidRPr="001554A2" w:rsidRDefault="00FC53AA" w:rsidP="00087FDD">
            <w:pPr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44 (23.4%)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72C39D16" w14:textId="7AFE95AE" w:rsidR="00FC53AA" w:rsidRPr="001554A2" w:rsidRDefault="00FC53AA" w:rsidP="00087FDD">
            <w:pPr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35 (38.0%)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56E42FC" w14:textId="13C1376A" w:rsidR="00FC53AA" w:rsidRPr="001554A2" w:rsidRDefault="00FC53AA" w:rsidP="00087FDD">
            <w:pPr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9 (9.4%)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020CB044" w14:textId="18A787C7" w:rsidR="00FC53AA" w:rsidRPr="001554A2" w:rsidRDefault="00FC53AA" w:rsidP="00087FDD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&lt;0.001</w:t>
            </w:r>
          </w:p>
        </w:tc>
      </w:tr>
      <w:tr w:rsidR="00FC53AA" w:rsidRPr="001554A2" w14:paraId="28D7A8BC" w14:textId="77777777" w:rsidTr="00E5486C">
        <w:trPr>
          <w:trHeight w:hRule="exact" w:val="340"/>
        </w:trPr>
        <w:tc>
          <w:tcPr>
            <w:tcW w:w="2268" w:type="dxa"/>
            <w:shd w:val="clear" w:color="auto" w:fill="auto"/>
            <w:noWrap/>
            <w:vAlign w:val="center"/>
          </w:tcPr>
          <w:p w14:paraId="3A69C562" w14:textId="50FE4BB7" w:rsidR="00FC53AA" w:rsidRPr="001554A2" w:rsidRDefault="00FC53AA" w:rsidP="00FC53AA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On NOAC at discharge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06C61247" w14:textId="68CCDDE4" w:rsidR="00FC53AA" w:rsidRPr="001554A2" w:rsidRDefault="00FC53AA" w:rsidP="00087FDD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33 (17.1%)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77B7E0D1" w14:textId="102CE6A2" w:rsidR="00FC53AA" w:rsidRPr="001554A2" w:rsidRDefault="00FC53AA" w:rsidP="00087FDD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30 (33.3%)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438A683" w14:textId="75C2A21C" w:rsidR="00FC53AA" w:rsidRPr="001554A2" w:rsidRDefault="00FC53AA" w:rsidP="00087FDD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1554A2">
              <w:rPr>
                <w:rFonts w:ascii="Calibri" w:hAnsi="Calibri" w:cs="Calibri"/>
                <w:color w:val="000000"/>
                <w:lang w:val="en-GB"/>
              </w:rPr>
              <w:t>3 (2.8%)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6C58E1B4" w14:textId="6E10993C" w:rsidR="00FC53AA" w:rsidRPr="001554A2" w:rsidRDefault="00FC53AA" w:rsidP="00087FDD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&lt;0.001</w:t>
            </w:r>
          </w:p>
        </w:tc>
      </w:tr>
      <w:tr w:rsidR="00FC53AA" w:rsidRPr="001554A2" w14:paraId="7C62D6B8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DE9719" w14:textId="7777777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Consciousness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577100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996DB72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2B6DAB70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956A774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</w:tr>
      <w:tr w:rsidR="00FC53AA" w:rsidRPr="001554A2" w14:paraId="66E4CCCF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6D438EB" w14:textId="1EBD580B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 xml:space="preserve">    Unknown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69874C0" w14:textId="3F6E80AB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11 (4.7%)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1C3BA72" w14:textId="0FE8899A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8 (6.5%)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2CD4994E" w14:textId="2BDCD4B0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3 (2.7%)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30A22C5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0.198</w:t>
            </w:r>
          </w:p>
        </w:tc>
      </w:tr>
      <w:tr w:rsidR="00FC53AA" w:rsidRPr="001554A2" w14:paraId="5F3EF15D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2921B1B" w14:textId="40D06187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 xml:space="preserve">    Unconscious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26C8F3" w14:textId="6D5CC8C4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12 (5.1%)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CF81314" w14:textId="59978D0A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8 (6.5%)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0400C953" w14:textId="02D7ED23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4 (3.6%)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D382DBA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</w:tr>
      <w:tr w:rsidR="00FC53AA" w:rsidRPr="001554A2" w14:paraId="6F76EC98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BE70DA" w14:textId="55DD44A5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 xml:space="preserve">    Decreased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FC1C89" w14:textId="11551C02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19 (8.1%)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2DF763B" w14:textId="3132E53D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7 (5.7%)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31C793B2" w14:textId="41FC04BF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12 (10.7%)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079E5EF" w14:textId="77777777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</w:tr>
      <w:tr w:rsidR="00FC53AA" w:rsidRPr="001554A2" w14:paraId="608C3EC1" w14:textId="77777777" w:rsidTr="00FC53AA">
        <w:trPr>
          <w:trHeight w:val="34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5F7D34" w14:textId="56D2669E" w:rsidR="00FC53AA" w:rsidRPr="001554A2" w:rsidRDefault="00FC53AA" w:rsidP="00DF43A7">
            <w:pPr>
              <w:spacing w:after="0" w:line="240" w:lineRule="auto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 xml:space="preserve">    Awake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5302A4" w14:textId="78CD7450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193 (82.1%)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4D9923BF" w14:textId="3937A748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100 (81.3%)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14:paraId="06FD2BE2" w14:textId="1273CD3E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  <w:r w:rsidRPr="001554A2">
              <w:rPr>
                <w:rFonts w:eastAsia="Times New Roman" w:cstheme="minorHAnsi"/>
                <w:lang w:val="en-GB" w:eastAsia="sv-SE"/>
              </w:rPr>
              <w:t>93 (83.0%)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9893A3E" w14:textId="48A244AC" w:rsidR="00FC53AA" w:rsidRPr="001554A2" w:rsidRDefault="00FC53AA" w:rsidP="00DF43A7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sv-SE"/>
              </w:rPr>
            </w:pPr>
          </w:p>
        </w:tc>
      </w:tr>
    </w:tbl>
    <w:p w14:paraId="0D85D96C" w14:textId="77777777" w:rsidR="00DF43A7" w:rsidRPr="001554A2" w:rsidRDefault="00DF43A7">
      <w:pPr>
        <w:rPr>
          <w:lang w:val="en-GB"/>
        </w:rPr>
      </w:pPr>
    </w:p>
    <w:p w14:paraId="0036B103" w14:textId="05F19E83" w:rsidR="0096511C" w:rsidRPr="001554A2" w:rsidRDefault="00DF43A7" w:rsidP="0096511C">
      <w:pPr>
        <w:spacing w:line="360" w:lineRule="auto"/>
        <w:rPr>
          <w:lang w:val="en-GB"/>
        </w:rPr>
      </w:pPr>
      <w:proofErr w:type="spellStart"/>
      <w:r w:rsidRPr="001554A2">
        <w:rPr>
          <w:b/>
          <w:lang w:val="en-GB"/>
        </w:rPr>
        <w:t>eTable</w:t>
      </w:r>
      <w:proofErr w:type="spellEnd"/>
      <w:r w:rsidRPr="001554A2">
        <w:rPr>
          <w:b/>
          <w:lang w:val="en-GB"/>
        </w:rPr>
        <w:t xml:space="preserve"> </w:t>
      </w:r>
      <w:r w:rsidR="00972E40" w:rsidRPr="001554A2">
        <w:rPr>
          <w:b/>
          <w:lang w:val="en-GB"/>
        </w:rPr>
        <w:t>6</w:t>
      </w:r>
      <w:r w:rsidR="00F63ADF" w:rsidRPr="001554A2">
        <w:rPr>
          <w:lang w:val="en-GB"/>
        </w:rPr>
        <w:t>:</w:t>
      </w:r>
      <w:r w:rsidRPr="001554A2">
        <w:rPr>
          <w:lang w:val="en-GB"/>
        </w:rPr>
        <w:t xml:space="preserve"> </w:t>
      </w:r>
      <w:r w:rsidR="0096511C" w:rsidRPr="001554A2">
        <w:rPr>
          <w:lang w:val="en-GB"/>
        </w:rPr>
        <w:t xml:space="preserve">A comparison between stroke patients presenting with or without atrial fibrillation.  </w:t>
      </w:r>
      <w:r w:rsidR="00602C7D" w:rsidRPr="001554A2">
        <w:rPr>
          <w:lang w:val="en-GB"/>
        </w:rPr>
        <w:t>TIA=Transient Ischemic Attack</w:t>
      </w:r>
      <w:r w:rsidR="00F63ADF" w:rsidRPr="001554A2">
        <w:rPr>
          <w:lang w:val="en-GB"/>
        </w:rPr>
        <w:t xml:space="preserve">. </w:t>
      </w:r>
      <w:r w:rsidR="00602C7D" w:rsidRPr="001554A2">
        <w:rPr>
          <w:rFonts w:cs="Arial"/>
          <w:bCs/>
          <w:lang w:val="en-GB"/>
        </w:rPr>
        <w:t xml:space="preserve">ASA= </w:t>
      </w:r>
      <w:r w:rsidR="00602C7D" w:rsidRPr="001554A2">
        <w:rPr>
          <w:lang w:val="en-GB"/>
        </w:rPr>
        <w:t>acetylsalicylic</w:t>
      </w:r>
      <w:r w:rsidR="00602C7D" w:rsidRPr="001554A2">
        <w:rPr>
          <w:rFonts w:cs="Arial"/>
          <w:bCs/>
          <w:lang w:val="en-GB"/>
        </w:rPr>
        <w:t xml:space="preserve"> acid</w:t>
      </w:r>
      <w:r w:rsidR="00F63ADF" w:rsidRPr="001554A2">
        <w:rPr>
          <w:lang w:val="en-GB"/>
        </w:rPr>
        <w:t xml:space="preserve">. </w:t>
      </w:r>
      <w:r w:rsidR="0096511C" w:rsidRPr="001554A2">
        <w:rPr>
          <w:lang w:val="en-GB"/>
        </w:rPr>
        <w:t>(N)OAC=(New) Oral Anticoagulation.</w:t>
      </w:r>
    </w:p>
    <w:p w14:paraId="62F2C27F" w14:textId="720335DF" w:rsidR="00DF43A7" w:rsidRPr="001554A2" w:rsidRDefault="00DF43A7" w:rsidP="00DF43A7">
      <w:pPr>
        <w:spacing w:line="360" w:lineRule="auto"/>
        <w:rPr>
          <w:lang w:val="en-GB"/>
        </w:rPr>
      </w:pPr>
    </w:p>
    <w:p w14:paraId="17584302" w14:textId="77777777" w:rsidR="00E36307" w:rsidRPr="001554A2" w:rsidRDefault="00E36307">
      <w:pPr>
        <w:rPr>
          <w:lang w:val="en-GB"/>
        </w:rPr>
      </w:pPr>
      <w:r w:rsidRPr="001554A2">
        <w:rPr>
          <w:lang w:val="en-GB"/>
        </w:rPr>
        <w:br w:type="page"/>
      </w:r>
    </w:p>
    <w:p w14:paraId="56159B4F" w14:textId="38107075" w:rsidR="00E36307" w:rsidRPr="001554A2" w:rsidRDefault="00E36307" w:rsidP="00E36307">
      <w:pPr>
        <w:pStyle w:val="Rubrik1"/>
        <w:rPr>
          <w:lang w:val="en-GB"/>
        </w:rPr>
      </w:pPr>
      <w:bookmarkStart w:id="11" w:name="_Toc23193764"/>
      <w:proofErr w:type="spellStart"/>
      <w:r w:rsidRPr="001554A2">
        <w:rPr>
          <w:lang w:val="en-GB"/>
        </w:rPr>
        <w:lastRenderedPageBreak/>
        <w:t>eTable</w:t>
      </w:r>
      <w:proofErr w:type="spellEnd"/>
      <w:r w:rsidRPr="001554A2">
        <w:rPr>
          <w:lang w:val="en-GB"/>
        </w:rPr>
        <w:t xml:space="preserve"> </w:t>
      </w:r>
      <w:r w:rsidR="00667904" w:rsidRPr="001554A2">
        <w:rPr>
          <w:lang w:val="en-GB"/>
        </w:rPr>
        <w:t>7</w:t>
      </w:r>
      <w:r w:rsidR="00AE61B9" w:rsidRPr="001554A2">
        <w:rPr>
          <w:lang w:val="en-GB"/>
        </w:rPr>
        <w:t xml:space="preserve"> </w:t>
      </w:r>
      <w:r w:rsidRPr="001554A2">
        <w:rPr>
          <w:lang w:val="en-GB"/>
        </w:rPr>
        <w:t>– Competing risk analysis</w:t>
      </w:r>
      <w:bookmarkEnd w:id="11"/>
    </w:p>
    <w:p w14:paraId="6B53FC71" w14:textId="77777777" w:rsidR="00E36307" w:rsidRPr="001554A2" w:rsidRDefault="00E36307" w:rsidP="00E36307">
      <w:pPr>
        <w:rPr>
          <w:lang w:val="en-GB"/>
        </w:rPr>
      </w:pPr>
    </w:p>
    <w:p w14:paraId="5A7C95F0" w14:textId="77777777" w:rsidR="00E36307" w:rsidRPr="001554A2" w:rsidRDefault="00E36307">
      <w:pPr>
        <w:rPr>
          <w:lang w:val="en-GB"/>
        </w:rPr>
      </w:pPr>
    </w:p>
    <w:tbl>
      <w:tblPr>
        <w:tblW w:w="9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372"/>
        <w:gridCol w:w="1787"/>
        <w:gridCol w:w="1276"/>
        <w:gridCol w:w="1979"/>
        <w:gridCol w:w="6"/>
      </w:tblGrid>
      <w:tr w:rsidR="00E36307" w:rsidRPr="001554A2" w14:paraId="2A31FCFC" w14:textId="77777777" w:rsidTr="00E36307">
        <w:trPr>
          <w:gridAfter w:val="1"/>
          <w:wAfter w:w="6" w:type="dxa"/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F7DB" w14:textId="77777777" w:rsidR="00E36307" w:rsidRPr="001554A2" w:rsidRDefault="00E36307" w:rsidP="00E3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v-S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4893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Multivariable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C32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3AF7" w14:textId="77777777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Competing Risk</w:t>
            </w:r>
          </w:p>
        </w:tc>
      </w:tr>
      <w:tr w:rsidR="00E36307" w:rsidRPr="001554A2" w14:paraId="5FECCB9E" w14:textId="77777777" w:rsidTr="00E36307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0E8F" w14:textId="77777777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7AF0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  <w:t>p-value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0DBF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  <w:t>HR (95% CI)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BF6D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  <w:t>p-value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6927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</w:pPr>
            <w:r w:rsidRPr="001554A2"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  <w:t xml:space="preserve">HR (95% CI) </w:t>
            </w:r>
            <w:proofErr w:type="spellStart"/>
            <w:r w:rsidRPr="001554A2">
              <w:rPr>
                <w:rFonts w:ascii="Arial" w:eastAsia="Times New Roman" w:hAnsi="Arial" w:cs="Arial"/>
                <w:b/>
                <w:sz w:val="20"/>
                <w:szCs w:val="20"/>
                <w:lang w:val="en-GB" w:eastAsia="sv-SE"/>
              </w:rPr>
              <w:t>Subhazard</w:t>
            </w:r>
            <w:proofErr w:type="spellEnd"/>
          </w:p>
        </w:tc>
      </w:tr>
      <w:tr w:rsidR="00E36307" w:rsidRPr="001554A2" w14:paraId="1068C243" w14:textId="77777777" w:rsidTr="00E36307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4D0F" w14:textId="77777777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eGFR&lt;30 ml/min/1.73 m2 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F80F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5FD2" w14:textId="247D570B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2.07 (1.39-3.11)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C014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0.026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8FF7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1.58 (1.06-2.37)</w:t>
            </w:r>
          </w:p>
        </w:tc>
      </w:tr>
      <w:tr w:rsidR="00E36307" w:rsidRPr="001554A2" w14:paraId="35345312" w14:textId="77777777" w:rsidTr="00E36307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3B6A" w14:textId="77777777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Diabetes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1864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0.002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7B9" w14:textId="3ED3EB33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1.59(1.19-2.12)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590A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0.006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A900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1.46 (1.11-1.93)</w:t>
            </w:r>
          </w:p>
        </w:tc>
      </w:tr>
      <w:tr w:rsidR="00E36307" w:rsidRPr="001554A2" w14:paraId="5BA61AC8" w14:textId="77777777" w:rsidTr="00E36307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ACDC" w14:textId="77777777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History of stroke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4D2A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0.018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048D" w14:textId="44428F9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1.48 (1.07-2.05)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96CA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84F3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1.51 (1.09-2.10)</w:t>
            </w:r>
          </w:p>
        </w:tc>
      </w:tr>
      <w:tr w:rsidR="00E36307" w:rsidRPr="001554A2" w14:paraId="209E37ED" w14:textId="77777777" w:rsidTr="00E36307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B34" w14:textId="77777777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Age (per year)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D245" w14:textId="0A457C49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0.010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8CBD" w14:textId="701592A4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1.03 (1.00-1.05)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703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0.043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7265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1.02 (1.00-1.04)</w:t>
            </w:r>
          </w:p>
        </w:tc>
      </w:tr>
      <w:tr w:rsidR="00E36307" w:rsidRPr="001554A2" w14:paraId="1B1D3FC3" w14:textId="77777777" w:rsidTr="00E36307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5184" w14:textId="53A11D72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 xml:space="preserve">Male </w:t>
            </w:r>
            <w:r w:rsidR="00193E94" w:rsidRPr="001554A2">
              <w:rPr>
                <w:rFonts w:ascii="Calibri" w:eastAsia="Times New Roman" w:hAnsi="Calibri" w:cs="Calibri"/>
                <w:lang w:val="en-GB" w:eastAsia="sv-SE"/>
              </w:rPr>
              <w:t>sex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2DAA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0.058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9E37" w14:textId="5E51A9F3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1.28 (0.99-1.67)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AFF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0.152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BA9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1.21 (0.93-1.56)</w:t>
            </w:r>
          </w:p>
        </w:tc>
      </w:tr>
      <w:tr w:rsidR="00E36307" w:rsidRPr="001554A2" w14:paraId="718AAA8C" w14:textId="77777777" w:rsidTr="00E36307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EC9D" w14:textId="5FC9B687" w:rsidR="00E36307" w:rsidRPr="001554A2" w:rsidRDefault="00E36307" w:rsidP="00E36307">
            <w:pPr>
              <w:spacing w:after="0" w:line="240" w:lineRule="auto"/>
              <w:rPr>
                <w:rFonts w:ascii="Calibri" w:eastAsia="Times New Roman" w:hAnsi="Calibri" w:cs="Calibri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lang w:val="en-GB" w:eastAsia="sv-SE"/>
              </w:rPr>
              <w:t>Valve-in-</w:t>
            </w:r>
            <w:r w:rsidR="00F63ADF" w:rsidRPr="001554A2">
              <w:rPr>
                <w:rFonts w:ascii="Calibri" w:eastAsia="Times New Roman" w:hAnsi="Calibri" w:cs="Calibri"/>
                <w:lang w:val="en-GB" w:eastAsia="sv-SE"/>
              </w:rPr>
              <w:t>valve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1589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0.015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DBB9" w14:textId="66E2F098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0.09 (0.01-0.62)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181A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0.017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8F6A" w14:textId="77777777" w:rsidR="00E36307" w:rsidRPr="001554A2" w:rsidRDefault="00E36307" w:rsidP="00E3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554A2">
              <w:rPr>
                <w:rFonts w:ascii="Calibri" w:eastAsia="Times New Roman" w:hAnsi="Calibri" w:cs="Calibri"/>
                <w:color w:val="000000"/>
                <w:lang w:val="en-GB" w:eastAsia="sv-SE"/>
              </w:rPr>
              <w:t>0.09 (0.01-0.65)</w:t>
            </w:r>
          </w:p>
        </w:tc>
      </w:tr>
    </w:tbl>
    <w:p w14:paraId="444B17AA" w14:textId="77777777" w:rsidR="0096511C" w:rsidRPr="001554A2" w:rsidRDefault="0096511C">
      <w:pPr>
        <w:rPr>
          <w:lang w:val="en-GB"/>
        </w:rPr>
      </w:pPr>
    </w:p>
    <w:p w14:paraId="0AAFC2BE" w14:textId="586C3953" w:rsidR="00FC7559" w:rsidRPr="001554A2" w:rsidRDefault="0096511C">
      <w:pPr>
        <w:rPr>
          <w:lang w:val="en-GB"/>
        </w:rPr>
      </w:pPr>
      <w:proofErr w:type="spellStart"/>
      <w:r w:rsidRPr="001554A2">
        <w:rPr>
          <w:lang w:val="en-GB"/>
        </w:rPr>
        <w:t>eTable</w:t>
      </w:r>
      <w:proofErr w:type="spellEnd"/>
      <w:r w:rsidRPr="001554A2">
        <w:rPr>
          <w:lang w:val="en-GB"/>
        </w:rPr>
        <w:t xml:space="preserve"> 7: The multivariable model for stroke together with a </w:t>
      </w:r>
      <w:r w:rsidR="00F63ADF" w:rsidRPr="001554A2">
        <w:rPr>
          <w:lang w:val="en-GB"/>
        </w:rPr>
        <w:t xml:space="preserve">competing </w:t>
      </w:r>
      <w:r w:rsidRPr="001554A2">
        <w:rPr>
          <w:lang w:val="en-GB"/>
        </w:rPr>
        <w:t>risk analysis for death.</w:t>
      </w:r>
      <w:r w:rsidR="00FC7559" w:rsidRPr="001554A2">
        <w:rPr>
          <w:lang w:val="en-GB"/>
        </w:rPr>
        <w:br w:type="page"/>
      </w:r>
    </w:p>
    <w:p w14:paraId="7F8CB7EE" w14:textId="77777777" w:rsidR="0096511C" w:rsidRPr="001554A2" w:rsidRDefault="0096511C">
      <w:pPr>
        <w:rPr>
          <w:lang w:val="en-GB"/>
        </w:rPr>
      </w:pPr>
    </w:p>
    <w:p w14:paraId="2C46C17E" w14:textId="4AE00EA7" w:rsidR="00AC4D86" w:rsidRPr="001554A2" w:rsidRDefault="00AC4D86" w:rsidP="00AC4D86">
      <w:pPr>
        <w:pStyle w:val="Rubrik1"/>
        <w:rPr>
          <w:lang w:val="en-GB"/>
        </w:rPr>
      </w:pPr>
      <w:bookmarkStart w:id="12" w:name="_Toc23193765"/>
      <w:proofErr w:type="spellStart"/>
      <w:r w:rsidRPr="001554A2">
        <w:rPr>
          <w:lang w:val="en-GB"/>
        </w:rPr>
        <w:t>eFigure</w:t>
      </w:r>
      <w:proofErr w:type="spellEnd"/>
      <w:r w:rsidRPr="001554A2">
        <w:rPr>
          <w:lang w:val="en-GB"/>
        </w:rPr>
        <w:t xml:space="preserve"> 1 - Risk </w:t>
      </w:r>
      <w:r w:rsidR="00F63ADF" w:rsidRPr="001554A2">
        <w:rPr>
          <w:lang w:val="en-GB"/>
        </w:rPr>
        <w:t xml:space="preserve">of </w:t>
      </w:r>
      <w:r w:rsidRPr="001554A2">
        <w:rPr>
          <w:lang w:val="en-GB"/>
        </w:rPr>
        <w:t xml:space="preserve">developing </w:t>
      </w:r>
      <w:r w:rsidR="00FC7559" w:rsidRPr="001554A2">
        <w:rPr>
          <w:lang w:val="en-GB"/>
        </w:rPr>
        <w:t>stroke based on eGFR</w:t>
      </w:r>
      <w:bookmarkEnd w:id="12"/>
    </w:p>
    <w:p w14:paraId="093CB1A2" w14:textId="78775184" w:rsidR="00AC4D86" w:rsidRPr="001554A2" w:rsidRDefault="00AC4D86">
      <w:pPr>
        <w:rPr>
          <w:lang w:val="en-GB"/>
        </w:rPr>
      </w:pPr>
    </w:p>
    <w:p w14:paraId="147F219A" w14:textId="12824471" w:rsidR="00AC4D86" w:rsidRPr="001554A2" w:rsidRDefault="00AC4D86" w:rsidP="00AC4D86">
      <w:pPr>
        <w:jc w:val="center"/>
        <w:rPr>
          <w:lang w:val="en-GB"/>
        </w:rPr>
      </w:pPr>
      <w:r w:rsidRPr="001554A2">
        <w:rPr>
          <w:noProof/>
          <w:lang w:val="en-GB" w:eastAsia="sv-SE"/>
        </w:rPr>
        <w:drawing>
          <wp:inline distT="0" distB="0" distL="0" distR="0" wp14:anchorId="48349931" wp14:editId="5E4EDD07">
            <wp:extent cx="5113020" cy="374142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67835" w14:textId="134D794C" w:rsidR="00FC7559" w:rsidRPr="001554A2" w:rsidRDefault="00FC7559" w:rsidP="001E4C48">
      <w:pPr>
        <w:spacing w:line="360" w:lineRule="auto"/>
        <w:rPr>
          <w:lang w:val="en-GB"/>
        </w:rPr>
      </w:pPr>
      <w:proofErr w:type="spellStart"/>
      <w:r w:rsidRPr="001554A2">
        <w:rPr>
          <w:b/>
          <w:lang w:val="en-GB"/>
        </w:rPr>
        <w:t>eFigure</w:t>
      </w:r>
      <w:proofErr w:type="spellEnd"/>
      <w:r w:rsidRPr="001554A2">
        <w:rPr>
          <w:b/>
          <w:lang w:val="en-GB"/>
        </w:rPr>
        <w:t xml:space="preserve"> 1</w:t>
      </w:r>
      <w:r w:rsidR="0096511C" w:rsidRPr="001554A2">
        <w:rPr>
          <w:lang w:val="en-GB"/>
        </w:rPr>
        <w:t>: Kaplan Meier Failure estimates where the cohort have been divided if eGFR&lt;30 (red line= or more (blue line)</w:t>
      </w:r>
      <w:r w:rsidR="001E4C48" w:rsidRPr="001554A2">
        <w:rPr>
          <w:lang w:val="en-GB"/>
        </w:rPr>
        <w:t>.</w:t>
      </w:r>
    </w:p>
    <w:p w14:paraId="6D4DE8B1" w14:textId="77777777" w:rsidR="00FC7559" w:rsidRPr="001554A2" w:rsidRDefault="00FC7559">
      <w:pPr>
        <w:rPr>
          <w:lang w:val="en-GB"/>
        </w:rPr>
      </w:pPr>
      <w:r w:rsidRPr="001554A2">
        <w:rPr>
          <w:lang w:val="en-GB"/>
        </w:rPr>
        <w:br w:type="page"/>
      </w:r>
    </w:p>
    <w:p w14:paraId="60E4B5C6" w14:textId="77777777" w:rsidR="00FC7559" w:rsidRPr="001554A2" w:rsidRDefault="00FC7559" w:rsidP="00FC7559">
      <w:pPr>
        <w:pStyle w:val="Rubrik1"/>
        <w:rPr>
          <w:lang w:val="en-GB"/>
        </w:rPr>
      </w:pPr>
      <w:bookmarkStart w:id="13" w:name="_Toc23193766"/>
      <w:proofErr w:type="spellStart"/>
      <w:r w:rsidRPr="001554A2">
        <w:rPr>
          <w:lang w:val="en-GB"/>
        </w:rPr>
        <w:lastRenderedPageBreak/>
        <w:t>eFigure</w:t>
      </w:r>
      <w:proofErr w:type="spellEnd"/>
      <w:r w:rsidRPr="001554A2">
        <w:rPr>
          <w:lang w:val="en-GB"/>
        </w:rPr>
        <w:t xml:space="preserve"> 2 – Survival after stroke based on ischemic or </w:t>
      </w:r>
      <w:proofErr w:type="spellStart"/>
      <w:r w:rsidRPr="001554A2">
        <w:rPr>
          <w:lang w:val="en-GB"/>
        </w:rPr>
        <w:t>hemorrhagic</w:t>
      </w:r>
      <w:proofErr w:type="spellEnd"/>
      <w:r w:rsidRPr="001554A2">
        <w:rPr>
          <w:lang w:val="en-GB"/>
        </w:rPr>
        <w:t xml:space="preserve"> stroke</w:t>
      </w:r>
      <w:bookmarkEnd w:id="13"/>
    </w:p>
    <w:p w14:paraId="411E674A" w14:textId="77777777" w:rsidR="00FC7559" w:rsidRPr="001554A2" w:rsidRDefault="00FC7559" w:rsidP="00FC7559">
      <w:pPr>
        <w:rPr>
          <w:lang w:val="en-GB"/>
        </w:rPr>
      </w:pPr>
    </w:p>
    <w:p w14:paraId="466D4D1C" w14:textId="77777777" w:rsidR="00FC7559" w:rsidRPr="001554A2" w:rsidRDefault="00FC7559" w:rsidP="00FC7559">
      <w:pPr>
        <w:jc w:val="center"/>
        <w:rPr>
          <w:lang w:val="en-GB"/>
        </w:rPr>
      </w:pPr>
      <w:r w:rsidRPr="001554A2">
        <w:rPr>
          <w:noProof/>
          <w:lang w:val="en-GB" w:eastAsia="sv-SE"/>
        </w:rPr>
        <w:drawing>
          <wp:inline distT="0" distB="0" distL="0" distR="0" wp14:anchorId="685276AC" wp14:editId="3E9F92DB">
            <wp:extent cx="5113020" cy="37414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41318" w14:textId="77777777" w:rsidR="00FC7559" w:rsidRPr="001554A2" w:rsidRDefault="00FC7559" w:rsidP="00FC7559">
      <w:pPr>
        <w:rPr>
          <w:lang w:val="en-GB"/>
        </w:rPr>
      </w:pPr>
    </w:p>
    <w:p w14:paraId="6ACD7D72" w14:textId="12CF870B" w:rsidR="00FC7559" w:rsidRPr="001554A2" w:rsidRDefault="00FC7559" w:rsidP="001E4C48">
      <w:pPr>
        <w:spacing w:line="360" w:lineRule="auto"/>
        <w:rPr>
          <w:lang w:val="en-GB"/>
        </w:rPr>
      </w:pPr>
      <w:proofErr w:type="spellStart"/>
      <w:r w:rsidRPr="001554A2">
        <w:rPr>
          <w:b/>
          <w:lang w:val="en-GB"/>
        </w:rPr>
        <w:t>eFigure</w:t>
      </w:r>
      <w:proofErr w:type="spellEnd"/>
      <w:r w:rsidRPr="001554A2">
        <w:rPr>
          <w:b/>
          <w:lang w:val="en-GB"/>
        </w:rPr>
        <w:t xml:space="preserve"> 2</w:t>
      </w:r>
      <w:r w:rsidR="00193E94" w:rsidRPr="001554A2">
        <w:rPr>
          <w:lang w:val="en-GB"/>
        </w:rPr>
        <w:t>:</w:t>
      </w:r>
      <w:r w:rsidRPr="001554A2">
        <w:rPr>
          <w:lang w:val="en-GB"/>
        </w:rPr>
        <w:t xml:space="preserve"> </w:t>
      </w:r>
      <w:r w:rsidR="001E4C48" w:rsidRPr="001554A2">
        <w:rPr>
          <w:lang w:val="en-GB"/>
        </w:rPr>
        <w:t xml:space="preserve">Kaplan Meier survival curve, where the cohort has been dived into ischemic stroke (blueline) and </w:t>
      </w:r>
      <w:proofErr w:type="spellStart"/>
      <w:r w:rsidR="001E4C48" w:rsidRPr="001554A2">
        <w:rPr>
          <w:lang w:val="en-GB"/>
        </w:rPr>
        <w:t>hemorrhagic</w:t>
      </w:r>
      <w:proofErr w:type="spellEnd"/>
      <w:r w:rsidR="001E4C48" w:rsidRPr="001554A2">
        <w:rPr>
          <w:lang w:val="en-GB"/>
        </w:rPr>
        <w:t xml:space="preserve"> stroke (red line).</w:t>
      </w:r>
    </w:p>
    <w:p w14:paraId="5512C447" w14:textId="165C4849" w:rsidR="008C0A51" w:rsidRPr="001554A2" w:rsidRDefault="008C0A51">
      <w:pPr>
        <w:rPr>
          <w:lang w:val="en-GB"/>
        </w:rPr>
      </w:pPr>
      <w:r w:rsidRPr="001554A2">
        <w:rPr>
          <w:lang w:val="en-GB"/>
        </w:rPr>
        <w:br w:type="page"/>
      </w:r>
    </w:p>
    <w:p w14:paraId="4C00C87C" w14:textId="77777777" w:rsidR="008C0A51" w:rsidRPr="001554A2" w:rsidRDefault="008C0A51" w:rsidP="000B403F">
      <w:pPr>
        <w:pStyle w:val="Rubrik1"/>
        <w:rPr>
          <w:lang w:val="en-GB"/>
        </w:rPr>
      </w:pPr>
      <w:bookmarkStart w:id="14" w:name="_Toc23193767"/>
      <w:r w:rsidRPr="001554A2">
        <w:rPr>
          <w:lang w:val="en-GB"/>
        </w:rPr>
        <w:lastRenderedPageBreak/>
        <w:t>References</w:t>
      </w:r>
      <w:bookmarkEnd w:id="14"/>
    </w:p>
    <w:p w14:paraId="55181E14" w14:textId="77777777" w:rsidR="008C0A51" w:rsidRPr="001554A2" w:rsidRDefault="008C0A51" w:rsidP="002D09D7">
      <w:pPr>
        <w:spacing w:line="360" w:lineRule="auto"/>
        <w:rPr>
          <w:lang w:val="en-GB"/>
        </w:rPr>
      </w:pPr>
    </w:p>
    <w:p w14:paraId="6FB7B210" w14:textId="77777777" w:rsidR="001554A2" w:rsidRPr="001554A2" w:rsidRDefault="008C0A51" w:rsidP="001554A2">
      <w:pPr>
        <w:pStyle w:val="EndNoteBibliography"/>
        <w:spacing w:after="0" w:line="360" w:lineRule="auto"/>
      </w:pPr>
      <w:r w:rsidRPr="001554A2">
        <w:rPr>
          <w:lang w:val="en-GB"/>
        </w:rPr>
        <w:fldChar w:fldCharType="begin"/>
      </w:r>
      <w:r w:rsidRPr="001554A2">
        <w:rPr>
          <w:lang w:val="en-GB"/>
        </w:rPr>
        <w:instrText xml:space="preserve"> ADDIN EN.REFLIST </w:instrText>
      </w:r>
      <w:r w:rsidRPr="001554A2">
        <w:rPr>
          <w:lang w:val="en-GB"/>
        </w:rPr>
        <w:fldChar w:fldCharType="separate"/>
      </w:r>
      <w:r w:rsidR="001554A2" w:rsidRPr="001554A2">
        <w:t>1.</w:t>
      </w:r>
      <w:r w:rsidR="001554A2" w:rsidRPr="001554A2">
        <w:tab/>
        <w:t>Jernberg T, Attebring MF, Hambraeus K, Ivert T, James S, Jeppsson A, et al. The Swedish Web-system for enhancement and development of evidence-based care in heart disease evaluated according to recommended therapies (SWEDEHEART). Heart. 2010;96(20):1617-21.</w:t>
      </w:r>
    </w:p>
    <w:p w14:paraId="5B4EC822" w14:textId="77777777" w:rsidR="001554A2" w:rsidRPr="001554A2" w:rsidRDefault="001554A2" w:rsidP="001554A2">
      <w:pPr>
        <w:pStyle w:val="EndNoteBibliography"/>
        <w:spacing w:after="0" w:line="360" w:lineRule="auto"/>
      </w:pPr>
      <w:r w:rsidRPr="001554A2">
        <w:t>2.</w:t>
      </w:r>
      <w:r w:rsidRPr="001554A2">
        <w:tab/>
        <w:t>Ludvigsson JF, Andersson E, Ekbom A, Feychting M, Kim JL, Reuterwall C, et al. External review and validation of the Swedish national inpatient register. BMC Public Health. 2011;11:450.</w:t>
      </w:r>
    </w:p>
    <w:p w14:paraId="36F8974F" w14:textId="77777777" w:rsidR="001554A2" w:rsidRPr="001554A2" w:rsidRDefault="001554A2" w:rsidP="001554A2">
      <w:pPr>
        <w:pStyle w:val="EndNoteBibliography"/>
        <w:spacing w:after="0" w:line="360" w:lineRule="auto"/>
      </w:pPr>
      <w:r w:rsidRPr="001554A2">
        <w:t>3.</w:t>
      </w:r>
      <w:r w:rsidRPr="001554A2">
        <w:tab/>
        <w:t>Ingelsson E, Arnlov J, Sundstrom J, Lind L. The validity of a diagnosis of heart failure in a hospital discharge register. Eur J Heart Fail. 2005;7(5):787-91.</w:t>
      </w:r>
    </w:p>
    <w:p w14:paraId="1359D0F8" w14:textId="77777777" w:rsidR="001554A2" w:rsidRPr="001554A2" w:rsidRDefault="001554A2" w:rsidP="001554A2">
      <w:pPr>
        <w:pStyle w:val="EndNoteBibliography"/>
        <w:spacing w:after="0" w:line="360" w:lineRule="auto"/>
      </w:pPr>
      <w:r w:rsidRPr="001554A2">
        <w:t>4.</w:t>
      </w:r>
      <w:r w:rsidRPr="001554A2">
        <w:tab/>
        <w:t>Koster M, Asplund K, Johansson A, Stegmayr B. Refinement of Swedish administrative registers to monitor stroke events on the national level. Neuroepidemiology. 2013;40(4):240-6.</w:t>
      </w:r>
    </w:p>
    <w:p w14:paraId="13560963" w14:textId="77777777" w:rsidR="001554A2" w:rsidRPr="001554A2" w:rsidRDefault="001554A2" w:rsidP="001554A2">
      <w:pPr>
        <w:pStyle w:val="EndNoteBibliography"/>
        <w:spacing w:line="360" w:lineRule="auto"/>
      </w:pPr>
      <w:r w:rsidRPr="001554A2">
        <w:t>5.</w:t>
      </w:r>
      <w:r w:rsidRPr="001554A2">
        <w:tab/>
        <w:t>Soderholm A, Stegmayr B, Glader EL, Asplund K, Riksstroke C. Validation of Hospital Performance Measures of Acute Stroke Care Quality. Riksstroke, the Swedish Stroke Register. Neuroepidemiology. 2016;46(4):229-34.</w:t>
      </w:r>
    </w:p>
    <w:p w14:paraId="2D1AF02D" w14:textId="77B26EEA" w:rsidR="008C0A51" w:rsidRPr="001554A2" w:rsidRDefault="008C0A51" w:rsidP="001554A2">
      <w:pPr>
        <w:spacing w:line="360" w:lineRule="auto"/>
        <w:rPr>
          <w:lang w:val="en-GB"/>
        </w:rPr>
      </w:pPr>
      <w:r w:rsidRPr="001554A2">
        <w:rPr>
          <w:lang w:val="en-GB"/>
        </w:rPr>
        <w:fldChar w:fldCharType="end"/>
      </w:r>
    </w:p>
    <w:sectPr w:rsidR="008C0A51" w:rsidRPr="001554A2" w:rsidSect="002654E3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5pewzsae50taed2e7prvaadf0fpv92t0re&quot;&gt;HB Endnote-Saved&lt;record-ids&gt;&lt;item&gt;3244&lt;/item&gt;&lt;item&gt;3245&lt;/item&gt;&lt;item&gt;3249&lt;/item&gt;&lt;item&gt;3371&lt;/item&gt;&lt;item&gt;3372&lt;/item&gt;&lt;/record-ids&gt;&lt;/item&gt;&lt;/Libraries&gt;"/>
  </w:docVars>
  <w:rsids>
    <w:rsidRoot w:val="00396B00"/>
    <w:rsid w:val="00067120"/>
    <w:rsid w:val="00067145"/>
    <w:rsid w:val="00087FDD"/>
    <w:rsid w:val="000B403F"/>
    <w:rsid w:val="001315E1"/>
    <w:rsid w:val="001554A2"/>
    <w:rsid w:val="00170AE1"/>
    <w:rsid w:val="001721A0"/>
    <w:rsid w:val="00184D62"/>
    <w:rsid w:val="001858FC"/>
    <w:rsid w:val="00193E94"/>
    <w:rsid w:val="00195A83"/>
    <w:rsid w:val="0019791B"/>
    <w:rsid w:val="001B0515"/>
    <w:rsid w:val="001E4C48"/>
    <w:rsid w:val="00211257"/>
    <w:rsid w:val="002323EA"/>
    <w:rsid w:val="00240C6C"/>
    <w:rsid w:val="002654E3"/>
    <w:rsid w:val="00275082"/>
    <w:rsid w:val="002B41DB"/>
    <w:rsid w:val="002B5C4A"/>
    <w:rsid w:val="002B7A41"/>
    <w:rsid w:val="002D09D7"/>
    <w:rsid w:val="00361A55"/>
    <w:rsid w:val="00391581"/>
    <w:rsid w:val="00396B00"/>
    <w:rsid w:val="003A1C6D"/>
    <w:rsid w:val="003B3318"/>
    <w:rsid w:val="003C4605"/>
    <w:rsid w:val="003F0553"/>
    <w:rsid w:val="003F6806"/>
    <w:rsid w:val="004120AF"/>
    <w:rsid w:val="00452164"/>
    <w:rsid w:val="00471CEC"/>
    <w:rsid w:val="004B2ED1"/>
    <w:rsid w:val="004D6203"/>
    <w:rsid w:val="004F33A1"/>
    <w:rsid w:val="00510DF4"/>
    <w:rsid w:val="0056659E"/>
    <w:rsid w:val="005F593D"/>
    <w:rsid w:val="00602C7D"/>
    <w:rsid w:val="006471D0"/>
    <w:rsid w:val="00667904"/>
    <w:rsid w:val="00687C33"/>
    <w:rsid w:val="00697CC7"/>
    <w:rsid w:val="006B3B17"/>
    <w:rsid w:val="006D27AF"/>
    <w:rsid w:val="006E724C"/>
    <w:rsid w:val="006F717E"/>
    <w:rsid w:val="00743961"/>
    <w:rsid w:val="00747311"/>
    <w:rsid w:val="00757744"/>
    <w:rsid w:val="007934F6"/>
    <w:rsid w:val="007B4E9F"/>
    <w:rsid w:val="00802F93"/>
    <w:rsid w:val="008444C5"/>
    <w:rsid w:val="00862C0C"/>
    <w:rsid w:val="008C0A51"/>
    <w:rsid w:val="008C6E33"/>
    <w:rsid w:val="008D05D9"/>
    <w:rsid w:val="00902B90"/>
    <w:rsid w:val="009127B9"/>
    <w:rsid w:val="0093592A"/>
    <w:rsid w:val="00960B77"/>
    <w:rsid w:val="0096511C"/>
    <w:rsid w:val="00972E40"/>
    <w:rsid w:val="00975F6B"/>
    <w:rsid w:val="00994093"/>
    <w:rsid w:val="009A078A"/>
    <w:rsid w:val="00A22EB0"/>
    <w:rsid w:val="00A95435"/>
    <w:rsid w:val="00AC4D86"/>
    <w:rsid w:val="00AC79AD"/>
    <w:rsid w:val="00AE61B9"/>
    <w:rsid w:val="00AF08A1"/>
    <w:rsid w:val="00B16263"/>
    <w:rsid w:val="00B50DD0"/>
    <w:rsid w:val="00B52F9F"/>
    <w:rsid w:val="00B60588"/>
    <w:rsid w:val="00B7305C"/>
    <w:rsid w:val="00B83180"/>
    <w:rsid w:val="00B87880"/>
    <w:rsid w:val="00BB35C8"/>
    <w:rsid w:val="00BC2C17"/>
    <w:rsid w:val="00C14F20"/>
    <w:rsid w:val="00C17933"/>
    <w:rsid w:val="00C266B3"/>
    <w:rsid w:val="00C40103"/>
    <w:rsid w:val="00C81938"/>
    <w:rsid w:val="00C9467C"/>
    <w:rsid w:val="00D05ADE"/>
    <w:rsid w:val="00D10927"/>
    <w:rsid w:val="00D412CD"/>
    <w:rsid w:val="00D56C60"/>
    <w:rsid w:val="00D9202D"/>
    <w:rsid w:val="00DA0BE7"/>
    <w:rsid w:val="00DB2D22"/>
    <w:rsid w:val="00DC2205"/>
    <w:rsid w:val="00DD3DE8"/>
    <w:rsid w:val="00DF2A80"/>
    <w:rsid w:val="00DF43A7"/>
    <w:rsid w:val="00E36307"/>
    <w:rsid w:val="00E36C30"/>
    <w:rsid w:val="00E51F23"/>
    <w:rsid w:val="00E5486C"/>
    <w:rsid w:val="00EB3E5D"/>
    <w:rsid w:val="00EB70BE"/>
    <w:rsid w:val="00EF7BEF"/>
    <w:rsid w:val="00F048F3"/>
    <w:rsid w:val="00F16327"/>
    <w:rsid w:val="00F3670A"/>
    <w:rsid w:val="00F63ADF"/>
    <w:rsid w:val="00F83570"/>
    <w:rsid w:val="00FB2189"/>
    <w:rsid w:val="00FC53AA"/>
    <w:rsid w:val="00FC7559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0ABD"/>
  <w15:chartTrackingRefBased/>
  <w15:docId w15:val="{5EDF0BDF-17D7-4D9B-9E5D-1E2092BF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6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96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6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96B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96B0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62C0C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62C0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62C0C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862C0C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41DB"/>
    <w:rPr>
      <w:rFonts w:ascii="Segoe UI" w:hAnsi="Segoe UI" w:cs="Segoe UI"/>
      <w:sz w:val="18"/>
      <w:szCs w:val="18"/>
    </w:rPr>
  </w:style>
  <w:style w:type="character" w:customStyle="1" w:styleId="st">
    <w:name w:val="st"/>
    <w:basedOn w:val="Standardstycketeckensnitt"/>
    <w:rsid w:val="004B2ED1"/>
  </w:style>
  <w:style w:type="character" w:styleId="Betoning">
    <w:name w:val="Emphasis"/>
    <w:basedOn w:val="Standardstycketeckensnitt"/>
    <w:uiPriority w:val="20"/>
    <w:qFormat/>
    <w:rsid w:val="004B2ED1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8C0A5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8C0A5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C0A5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8C0A51"/>
    <w:rPr>
      <w:rFonts w:ascii="Calibri" w:hAnsi="Calibri" w:cs="Calibri"/>
      <w:noProof/>
      <w:lang w:val="en-US"/>
    </w:rPr>
  </w:style>
  <w:style w:type="table" w:styleId="Tabellrutnt">
    <w:name w:val="Table Grid"/>
    <w:basedOn w:val="Normaltabell"/>
    <w:uiPriority w:val="59"/>
    <w:rsid w:val="000B4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formateradtext">
    <w:name w:val="Plain Text"/>
    <w:basedOn w:val="Normal"/>
    <w:link w:val="OformateradtextChar"/>
    <w:uiPriority w:val="99"/>
    <w:unhideWhenUsed/>
    <w:rsid w:val="000B403F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B403F"/>
    <w:rPr>
      <w:rFonts w:ascii="Calibri" w:hAnsi="Calibri" w:cs="Consolas"/>
      <w:szCs w:val="21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87C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7C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7C3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7C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7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nrik.bjursten@med.lu.se" TargetMode="External"/><Relationship Id="rId5" Type="http://schemas.openxmlformats.org/officeDocument/2006/relationships/hyperlink" Target="mailto:henrik.bjursten@med.lu.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9D7D-552C-400D-AD84-9D61EDA7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4085</Words>
  <Characters>21654</Characters>
  <Application>Microsoft Office Word</Application>
  <DocSecurity>0</DocSecurity>
  <Lines>180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Bjursten</dc:creator>
  <cp:keywords/>
  <dc:description/>
  <cp:lastModifiedBy>Henrik Bjursten</cp:lastModifiedBy>
  <cp:revision>7</cp:revision>
  <cp:lastPrinted>2019-03-20T12:35:00Z</cp:lastPrinted>
  <dcterms:created xsi:type="dcterms:W3CDTF">2021-01-04T09:43:00Z</dcterms:created>
  <dcterms:modified xsi:type="dcterms:W3CDTF">2021-02-11T14:37:00Z</dcterms:modified>
</cp:coreProperties>
</file>