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</w:pPr>
      <w:bookmarkStart w:id="0" w:name="_GoBack"/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lang w:val="en-US" w:eastAsia="zh-CN"/>
        </w:rPr>
        <w:t>Supplementary information</w:t>
      </w:r>
    </w:p>
    <w:bookmarkEnd w:id="0"/>
    <w:p>
      <w:pPr>
        <w:spacing w:line="360" w:lineRule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Table S1 Genus assignment of genes involved in the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>cyclohexane degradation</w:t>
      </w:r>
      <w:r>
        <w:rPr>
          <w:rFonts w:hint="eastAsia" w:ascii="Times New Roman" w:hAnsi="Times New Roman" w:cs="Times New Roman"/>
          <w:color w:val="auto"/>
          <w:sz w:val="24"/>
          <w:szCs w:val="24"/>
          <w:lang w:val="en-US" w:eastAsia="zh-CN"/>
        </w:rPr>
        <w:t xml:space="preserve"> pathway of the enrichment culture. 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78"/>
        <w:gridCol w:w="656"/>
        <w:gridCol w:w="805"/>
        <w:gridCol w:w="716"/>
        <w:gridCol w:w="716"/>
        <w:gridCol w:w="414"/>
        <w:gridCol w:w="717"/>
        <w:gridCol w:w="701"/>
        <w:gridCol w:w="717"/>
        <w:gridCol w:w="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Gen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us level classification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alkM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cpnA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chnB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chnC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gnl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adh</w:t>
            </w: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aldH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chnD</w:t>
            </w: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chnE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Acidovorax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Actinomarinicola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Acuticoccus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Aeromicrobium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Aestuariivirga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Afipia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Aggregatilinea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Agromyces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Alcanivorax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Amycolatopsis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Ancylobacter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Antricoccus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Aquirhabdus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Arthrobacter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Azospirillum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Blastococcus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Blastomonas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Bradyrhizobium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Calidifontimicrobium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Candidimonas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Clostridioides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Cumulibacter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Delftia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Devosia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Diaphorobacter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Dietzia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Ensifer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Extensimonas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Flavisolibacter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Geodermatophilus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Gordonia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Hoeflea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Iamia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Janibacter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Ketobacter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Kibdelosporangium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Marinobacter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Mesorhizobium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Methylobacterium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Microbacterium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Microbispora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Mucilaginibacter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Mycobacterium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Mycobacteroides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Mycolicibacterium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Nocardia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Nocardioides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Nordella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Novosphingobium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Ornithinicoccus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Parvibaculum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Phenylobacterium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Pigmentiphaga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Pimelobacter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Prauserella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Pseudarthrobacter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Pseudomonas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Pseudonocardia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Pseudorhodoplanes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Quisquiliibacterium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Ralstonia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Ramlibacter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Rhodobacter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Rhodococcus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Roseomonas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Sinorhizobium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Sphingobium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Sphingomonas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Sphingopyxis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Streptomonospora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Streptomyces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Variovorax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Xanthobacter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Xylophilus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27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unclassified</w:t>
            </w:r>
          </w:p>
        </w:tc>
        <w:tc>
          <w:tcPr>
            <w:tcW w:w="398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487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5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3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4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Genera in bold are those contain over three of the nine genes or over five CDSs shown in figure 3b.</w: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spacing w:line="360" w:lineRule="auto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Table S2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Genus assignment of genes involved in the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cetachol meta-cleavage pathway of the enrichment culture. 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8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Gen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us level classification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bphH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bphI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bphJ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catE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dmpB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dmpC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dmpD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dmpH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mhpD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mhpE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mhpF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praC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todF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Acidovorax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Aestuariivirga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Afipia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Agrococcus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Alicyclobacillus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Amycolatopsis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Ancylobacter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Ancylobacter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Antricoccus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Aquabacterium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Arthrobacter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Aurantiacibacter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Azospirillum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Blastococcus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Bradyrhizobium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Carbonactinospora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Chelativorans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Citricoccus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Comamonas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Croceicoccus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Cucumibacter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Cupriavidus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Delftia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Devosia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Dietzia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Duganella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Elioraea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Enhydrobacter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Enterovirga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Escherichia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Euzebya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Flavisolibacter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Frankia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Gaiella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Geodermatophilus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Georgenia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Gordonia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Homoserinibacter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Hydrogenophaga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Hyphomicrobium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Janibacter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Kocuria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Marinobacter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Marmoricola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Mesorhizobium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Methylocapsa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Methylophilus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Methylorubrum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Methyloversatilis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Microbacterium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Micrococcus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Micromonospora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Microterricola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Miltoncostaea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Mycobacterium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Mycobacteroides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Mycolicibacterium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Nocardia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Nocardioides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Nonomuraea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Nostoc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Noviherbaspirillum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Novosphingobium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Ornithinimicrobium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Paracoccus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Pararobbsia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Parvibaculum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Pelagerythrobacter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Phenylobacterium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Phycicoccus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Pigmentiphaga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Pimelobacter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Prauserella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Protaetiibacter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Pseudarthrobacter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Pseudolysinimonas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Pseudomonas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Pseudonocardia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Pseudorhizobium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Pseudorhodoplanes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Quisquiliibacterium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Ramlibacter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Reyranella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Rhodococcus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Rubrivivax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Ruegeria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Salinibacterium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Sinorhizobium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Sphingobium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Sphingomonas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Sphingopyxis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Sphingosinicella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Streptomyces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Tardibacter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Tepidimonas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Thauera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Tianweitania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Tsuneonella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Variovorax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Zhengella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061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unclassified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02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06" w:type="pct"/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Genera in bold are those contain over four of the twelve genes shown in figure 8b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</w:p>
    <w:p>
      <w:pPr>
        <w:rPr>
          <w:rFonts w:hint="default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B75701"/>
    <w:rsid w:val="123165EB"/>
    <w:rsid w:val="1BF90AD7"/>
    <w:rsid w:val="23514CC5"/>
    <w:rsid w:val="25041150"/>
    <w:rsid w:val="29E2184B"/>
    <w:rsid w:val="2CB12C28"/>
    <w:rsid w:val="342757A4"/>
    <w:rsid w:val="34504EFE"/>
    <w:rsid w:val="38E05A51"/>
    <w:rsid w:val="3C900F09"/>
    <w:rsid w:val="3EE86F60"/>
    <w:rsid w:val="416F6093"/>
    <w:rsid w:val="4F1F3632"/>
    <w:rsid w:val="56B75701"/>
    <w:rsid w:val="682A177A"/>
    <w:rsid w:val="694827C1"/>
    <w:rsid w:val="77EA3161"/>
    <w:rsid w:val="783F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120" w:beforeLines="0" w:beforeAutospacing="0" w:afterLines="0" w:afterAutospacing="0" w:line="300" w:lineRule="auto"/>
      <w:outlineLvl w:val="2"/>
    </w:pPr>
    <w:rPr>
      <w:rFonts w:ascii="Times New Roman" w:hAnsi="Times New Roman" w:eastAsia="宋体"/>
      <w:b/>
      <w:sz w:val="32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标题-1"/>
    <w:basedOn w:val="1"/>
    <w:qFormat/>
    <w:uiPriority w:val="0"/>
    <w:pPr>
      <w:adjustRightInd w:val="0"/>
      <w:snapToGrid w:val="0"/>
      <w:spacing w:line="300" w:lineRule="auto"/>
      <w:ind w:firstLine="140" w:firstLineChars="50"/>
    </w:pPr>
    <w:rPr>
      <w:rFonts w:hint="eastAsia" w:ascii="黑体" w:hAnsi="黑体" w:eastAsia="黑体" w:cs="黑体"/>
      <w:sz w:val="32"/>
      <w:szCs w:val="32"/>
    </w:rPr>
  </w:style>
  <w:style w:type="paragraph" w:customStyle="1" w:styleId="7">
    <w:name w:val="正文-1"/>
    <w:basedOn w:val="1"/>
    <w:qFormat/>
    <w:uiPriority w:val="0"/>
    <w:pPr>
      <w:adjustRightInd w:val="0"/>
      <w:snapToGrid w:val="0"/>
      <w:spacing w:line="300" w:lineRule="auto"/>
      <w:ind w:firstLine="140" w:firstLineChars="50"/>
    </w:pPr>
    <w:rPr>
      <w:rFonts w:hint="eastAsia" w:ascii="黑体" w:hAnsi="黑体" w:eastAsia="宋体" w:cs="黑体"/>
      <w:sz w:val="28"/>
      <w:szCs w:val="32"/>
    </w:rPr>
  </w:style>
  <w:style w:type="paragraph" w:customStyle="1" w:styleId="8">
    <w:name w:val="标题1.1"/>
    <w:basedOn w:val="2"/>
    <w:uiPriority w:val="0"/>
    <w:pPr>
      <w:adjustRightInd w:val="0"/>
      <w:snapToGrid w:val="0"/>
      <w:spacing w:before="120" w:line="300" w:lineRule="auto"/>
      <w:ind w:firstLine="560" w:firstLineChars="200"/>
    </w:pPr>
    <w:rPr>
      <w:rFonts w:hint="eastAsia" w:ascii="黑体" w:hAnsi="黑体" w:cs="黑体"/>
      <w:b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2022-10-28T02:51:00Z</dcterms:created>
  <dc:creator>Wu huijun</dc:creator>
  <cp:lastModifiedBy>Wu huijun</cp:lastModifiedBy>
  <dcterms:modified xsi:type="dcterms:W3CDTF">2022-11-16T08:07:44Z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