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3D4B1" w14:textId="005B7A7B" w:rsidR="00A241CE" w:rsidRPr="00D526FE" w:rsidRDefault="002954DA" w:rsidP="006525D0">
      <w:pPr>
        <w:rPr>
          <w:rFonts w:ascii="Times New Roman" w:hAnsi="Times New Roman" w:cs="Times New Roman"/>
          <w:color w:val="000000" w:themeColor="text1"/>
          <w:sz w:val="24"/>
        </w:rPr>
      </w:pPr>
      <w:r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Supplementary 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Figure S1. </w:t>
      </w:r>
      <w:r w:rsidR="00AE7D0E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>The quantitative performance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of the </w:t>
      </w:r>
      <w:proofErr w:type="spellStart"/>
      <w:r w:rsidR="00AE7D0E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>ddPCR</w:t>
      </w:r>
      <w:proofErr w:type="spellEnd"/>
      <w:r w:rsidR="00AE7D0E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assay for the </w:t>
      </w:r>
      <w:r w:rsidR="00333CA9" w:rsidRPr="00D526F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TERT</w:t>
      </w:r>
      <w:r w:rsidR="005B2E1B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>-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p and </w:t>
      </w:r>
      <w:r w:rsidR="00333CA9" w:rsidRPr="00D526FE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</w:rPr>
        <w:t>BRAF</w:t>
      </w:r>
      <w:r w:rsidR="00333CA9" w:rsidRPr="00D526FE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vertAlign w:val="superscript"/>
        </w:rPr>
        <w:t>V600E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mutation</w:t>
      </w:r>
      <w:r w:rsidR="005B2E1B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>s</w:t>
      </w:r>
      <w:r w:rsidR="00AE7D0E" w:rsidRPr="00D526FE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="00333CA9" w:rsidRPr="00D526FE">
        <w:rPr>
          <w:rFonts w:ascii="Times New Roman" w:hAnsi="Times New Roman" w:cs="Times New Roman"/>
          <w:color w:val="000000" w:themeColor="text1"/>
          <w:sz w:val="24"/>
        </w:rPr>
        <w:t xml:space="preserve"> The </w:t>
      </w:r>
      <w:r w:rsidR="00A241CE" w:rsidRPr="00D526FE">
        <w:rPr>
          <w:rFonts w:ascii="Times New Roman" w:hAnsi="Times New Roman" w:cs="Times New Roman"/>
          <w:color w:val="000000" w:themeColor="text1"/>
          <w:sz w:val="24"/>
        </w:rPr>
        <w:t xml:space="preserve">mutant PCR products were serially diluted and mixed 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with </w:t>
      </w:r>
      <w:r w:rsidR="00A241CE" w:rsidRPr="00D526FE">
        <w:rPr>
          <w:rFonts w:ascii="Times New Roman" w:hAnsi="Times New Roman" w:cs="Times New Roman"/>
          <w:color w:val="000000" w:themeColor="text1"/>
          <w:sz w:val="24"/>
        </w:rPr>
        <w:t xml:space="preserve">the wild-type PCR products to </w:t>
      </w:r>
      <w:r w:rsidR="00B80BE7" w:rsidRPr="00D526FE">
        <w:rPr>
          <w:rFonts w:ascii="Times New Roman" w:hAnsi="Times New Roman" w:cs="Times New Roman"/>
          <w:color w:val="000000" w:themeColor="text1"/>
          <w:sz w:val="24"/>
        </w:rPr>
        <w:t>achieve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 xml:space="preserve"> mutation fractions of 0, 1, 5, 10, 50, and 100%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46EB5" w:rsidRPr="00D526FE">
        <w:rPr>
          <w:rFonts w:ascii="Times New Roman" w:hAnsi="Times New Roman" w:cs="Times New Roman"/>
          <w:color w:val="000000" w:themeColor="text1"/>
          <w:sz w:val="24"/>
        </w:rPr>
        <w:t xml:space="preserve">in samples 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with </w:t>
      </w:r>
      <w:r w:rsidR="00646EB5" w:rsidRPr="00D526FE">
        <w:rPr>
          <w:rFonts w:ascii="Times New Roman" w:hAnsi="Times New Roman" w:cs="Times New Roman"/>
          <w:color w:val="000000" w:themeColor="text1"/>
          <w:sz w:val="24"/>
        </w:rPr>
        <w:t xml:space="preserve">different 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>total DNA copy numbers: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a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TERT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500,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b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TERT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1,000,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c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TERT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3,000,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d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TERT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9,000,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e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BRAF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500,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f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BRAF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1,000,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g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BRAF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3,000, and (</w:t>
      </w:r>
      <w:r w:rsidR="002946FD" w:rsidRPr="00D526FE">
        <w:rPr>
          <w:rFonts w:ascii="Times New Roman" w:hAnsi="Times New Roman" w:cs="Times New Roman"/>
          <w:color w:val="000000" w:themeColor="text1"/>
          <w:sz w:val="24"/>
        </w:rPr>
        <w:t>h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="00630095" w:rsidRPr="00D526FE">
        <w:rPr>
          <w:rFonts w:ascii="Times New Roman" w:hAnsi="Times New Roman" w:cs="Times New Roman"/>
          <w:i/>
          <w:iCs/>
          <w:color w:val="000000" w:themeColor="text1"/>
          <w:sz w:val="24"/>
        </w:rPr>
        <w:t>BRAF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 9,000 copies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 xml:space="preserve">. Each </w:t>
      </w:r>
      <w:r w:rsidR="00646EB5" w:rsidRPr="00D526FE">
        <w:rPr>
          <w:rFonts w:ascii="Times New Roman" w:hAnsi="Times New Roman" w:cs="Times New Roman"/>
          <w:color w:val="000000" w:themeColor="text1"/>
          <w:sz w:val="24"/>
        </w:rPr>
        <w:t>point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 xml:space="preserve"> represents the mean and standard deviation of eight reactions. The 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best fit 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 xml:space="preserve">line and </w:t>
      </w:r>
      <w:r w:rsidR="00630095" w:rsidRPr="00D526FE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>coefficient of determination, R</w:t>
      </w:r>
      <w:r w:rsidR="004F1BB9" w:rsidRPr="00D526FE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="004F1BB9" w:rsidRPr="00D526FE">
        <w:rPr>
          <w:rFonts w:ascii="Times New Roman" w:hAnsi="Times New Roman" w:cs="Times New Roman"/>
          <w:color w:val="000000" w:themeColor="text1"/>
          <w:sz w:val="24"/>
        </w:rPr>
        <w:t>, are shown.</w:t>
      </w:r>
    </w:p>
    <w:p w14:paraId="061357C8" w14:textId="77777777" w:rsidR="006525D0" w:rsidRPr="00D526FE" w:rsidRDefault="006525D0" w:rsidP="006525D0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</w:p>
    <w:p w14:paraId="2F1B4017" w14:textId="1FEC3D17" w:rsidR="00333CA9" w:rsidRPr="00D526FE" w:rsidRDefault="002954DA" w:rsidP="006525D0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Figure S2. </w:t>
      </w:r>
      <w:r w:rsidR="00EB0B20" w:rsidRPr="00D526FE">
        <w:rPr>
          <w:rFonts w:ascii="Times New Roman" w:hAnsi="Times New Roman" w:cs="Times New Roman"/>
          <w:b/>
          <w:bCs/>
          <w:color w:val="000000" w:themeColor="text1"/>
        </w:rPr>
        <w:t>The d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etection limit of </w:t>
      </w:r>
      <w:r w:rsidR="00EB0B2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proofErr w:type="spellStart"/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>ddPCR</w:t>
      </w:r>
      <w:proofErr w:type="spellEnd"/>
      <w:r w:rsidR="00EB0B2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for the </w:t>
      </w:r>
      <w:r w:rsidR="00EB0B20" w:rsidRPr="00D526FE">
        <w:rPr>
          <w:rFonts w:ascii="Times New Roman" w:hAnsi="Times New Roman" w:cs="Times New Roman"/>
          <w:b/>
          <w:bCs/>
          <w:i/>
          <w:iCs/>
          <w:color w:val="000000" w:themeColor="text1"/>
        </w:rPr>
        <w:t>TERT</w:t>
      </w:r>
      <w:r w:rsidR="00EB0B2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promoter mutations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EB0B2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The </w:t>
      </w:r>
      <w:r w:rsidR="007F01C6" w:rsidRPr="00D526FE">
        <w:rPr>
          <w:rFonts w:ascii="Times New Roman" w:hAnsi="Times New Roman" w:cs="Times New Roman"/>
          <w:i/>
          <w:iCs/>
          <w:color w:val="000000" w:themeColor="text1"/>
        </w:rPr>
        <w:t>TERT</w:t>
      </w:r>
      <w:r w:rsidR="000D408B" w:rsidRPr="00D526FE">
        <w:rPr>
          <w:rFonts w:ascii="Times New Roman" w:hAnsi="Times New Roman" w:cs="Times New Roman"/>
          <w:color w:val="000000" w:themeColor="text1"/>
        </w:rPr>
        <w:t xml:space="preserve">-p 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mutant PCR products were serially diluted and mixed </w:t>
      </w:r>
      <w:r w:rsidR="00274FE8" w:rsidRPr="00D526FE">
        <w:rPr>
          <w:rFonts w:ascii="Times New Roman" w:hAnsi="Times New Roman" w:cs="Times New Roman"/>
          <w:color w:val="000000" w:themeColor="text1"/>
        </w:rPr>
        <w:t xml:space="preserve">with 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the wild-type PCR products to </w:t>
      </w:r>
      <w:r w:rsidR="000D408B" w:rsidRPr="00D526FE">
        <w:rPr>
          <w:rFonts w:ascii="Times New Roman" w:hAnsi="Times New Roman" w:cs="Times New Roman"/>
          <w:color w:val="000000" w:themeColor="text1"/>
        </w:rPr>
        <w:t xml:space="preserve">obtain </w:t>
      </w:r>
      <w:r w:rsidR="007F01C6" w:rsidRPr="00D526FE">
        <w:rPr>
          <w:rFonts w:ascii="Times New Roman" w:hAnsi="Times New Roman" w:cs="Times New Roman"/>
          <w:color w:val="000000" w:themeColor="text1"/>
        </w:rPr>
        <w:t>samples with mutation fractions of 0, 0.125, 0.25, 0.5, and 1%</w:t>
      </w:r>
      <w:r w:rsidR="000D408B" w:rsidRPr="00D526FE">
        <w:rPr>
          <w:rFonts w:ascii="Times New Roman" w:hAnsi="Times New Roman" w:cs="Times New Roman"/>
          <w:color w:val="000000" w:themeColor="text1"/>
        </w:rPr>
        <w:t xml:space="preserve"> in samples with the total DNA copy number</w:t>
      </w:r>
      <w:r w:rsidR="00274FE8" w:rsidRPr="00D526FE">
        <w:rPr>
          <w:rFonts w:ascii="Times New Roman" w:hAnsi="Times New Roman" w:cs="Times New Roman"/>
          <w:color w:val="000000" w:themeColor="text1"/>
        </w:rPr>
        <w:t>s</w:t>
      </w:r>
      <w:r w:rsidR="000D408B" w:rsidRPr="00D526FE">
        <w:rPr>
          <w:rFonts w:ascii="Times New Roman" w:hAnsi="Times New Roman" w:cs="Times New Roman"/>
          <w:color w:val="000000" w:themeColor="text1"/>
        </w:rPr>
        <w:t xml:space="preserve"> of 250, 500, 1,000, 3,000, 6,000</w:t>
      </w:r>
      <w:r w:rsidR="00F406DF" w:rsidRPr="00D526FE">
        <w:rPr>
          <w:rFonts w:ascii="Times New Roman" w:hAnsi="Times New Roman" w:cs="Times New Roman"/>
          <w:color w:val="000000" w:themeColor="text1"/>
        </w:rPr>
        <w:t>,</w:t>
      </w:r>
      <w:r w:rsidR="000D408B" w:rsidRPr="00D526F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D408B" w:rsidRPr="00D526FE">
        <w:rPr>
          <w:rFonts w:ascii="Times New Roman" w:hAnsi="Times New Roman" w:cs="Times New Roman"/>
          <w:color w:val="000000" w:themeColor="text1"/>
        </w:rPr>
        <w:t>and 12,000</w:t>
      </w:r>
      <w:r w:rsidR="007F01C6" w:rsidRPr="00D526FE">
        <w:rPr>
          <w:rFonts w:ascii="Times New Roman" w:hAnsi="Times New Roman" w:cs="Times New Roman"/>
          <w:color w:val="000000" w:themeColor="text1"/>
        </w:rPr>
        <w:t>. For each</w:t>
      </w:r>
      <w:r w:rsidR="00AC121C" w:rsidRPr="00D526FE">
        <w:rPr>
          <w:rFonts w:ascii="Times New Roman" w:hAnsi="Times New Roman" w:cs="Times New Roman"/>
          <w:color w:val="000000" w:themeColor="text1"/>
        </w:rPr>
        <w:t xml:space="preserve"> sample, </w:t>
      </w:r>
      <w:r w:rsidR="005B2E1B" w:rsidRPr="00D526FE">
        <w:rPr>
          <w:rFonts w:ascii="Times New Roman" w:hAnsi="Times New Roman" w:cs="Times New Roman"/>
          <w:color w:val="000000" w:themeColor="text1"/>
        </w:rPr>
        <w:t xml:space="preserve">the </w:t>
      </w:r>
      <w:r w:rsidR="00AC121C" w:rsidRPr="00D526FE">
        <w:rPr>
          <w:rFonts w:ascii="Times New Roman" w:hAnsi="Times New Roman" w:cs="Times New Roman"/>
          <w:color w:val="000000" w:themeColor="text1"/>
        </w:rPr>
        <w:t xml:space="preserve">ddPCR was performed in </w:t>
      </w:r>
      <w:r w:rsidR="00F406DF" w:rsidRPr="00D526FE">
        <w:rPr>
          <w:rFonts w:ascii="Times New Roman" w:hAnsi="Times New Roman" w:cs="Times New Roman"/>
          <w:color w:val="000000" w:themeColor="text1"/>
        </w:rPr>
        <w:t>six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 </w:t>
      </w:r>
      <w:r w:rsidR="00AC121C" w:rsidRPr="00D526FE">
        <w:rPr>
          <w:rFonts w:ascii="Times New Roman" w:hAnsi="Times New Roman" w:cs="Times New Roman"/>
          <w:color w:val="000000" w:themeColor="text1"/>
        </w:rPr>
        <w:t xml:space="preserve">replicates. To determine the cutoff percentage of the </w:t>
      </w:r>
      <w:r w:rsidR="00AC121C" w:rsidRPr="00D526FE">
        <w:rPr>
          <w:rFonts w:ascii="Times New Roman" w:hAnsi="Times New Roman" w:cs="Times New Roman"/>
          <w:i/>
          <w:iCs/>
          <w:color w:val="000000" w:themeColor="text1"/>
        </w:rPr>
        <w:t>TERT</w:t>
      </w:r>
      <w:r w:rsidR="00AC121C" w:rsidRPr="00D526FE">
        <w:rPr>
          <w:rFonts w:ascii="Times New Roman" w:hAnsi="Times New Roman" w:cs="Times New Roman"/>
          <w:color w:val="000000" w:themeColor="text1"/>
        </w:rPr>
        <w:t xml:space="preserve">-p mutant allele at a given total DNA copy number that achieves statistically significant difference from the wild-type sample, the Kruskal-Wallis test with the </w:t>
      </w:r>
      <w:proofErr w:type="spellStart"/>
      <w:r w:rsidR="00AC121C" w:rsidRPr="00D526FE">
        <w:rPr>
          <w:rFonts w:ascii="Times New Roman" w:hAnsi="Times New Roman" w:cs="Times New Roman"/>
          <w:color w:val="000000" w:themeColor="text1"/>
        </w:rPr>
        <w:t>Dunnet’s</w:t>
      </w:r>
      <w:proofErr w:type="spellEnd"/>
      <w:r w:rsidR="00AC121C" w:rsidRPr="00D526FE">
        <w:rPr>
          <w:rFonts w:ascii="Times New Roman" w:hAnsi="Times New Roman" w:cs="Times New Roman"/>
          <w:color w:val="000000" w:themeColor="text1"/>
        </w:rPr>
        <w:t xml:space="preserve"> post-test </w:t>
      </w:r>
      <w:r w:rsidR="00274FE8" w:rsidRPr="00D526FE">
        <w:rPr>
          <w:rFonts w:ascii="Times New Roman" w:hAnsi="Times New Roman" w:cs="Times New Roman"/>
          <w:color w:val="000000" w:themeColor="text1"/>
        </w:rPr>
        <w:t>w</w:t>
      </w:r>
      <w:r w:rsidR="008F2697" w:rsidRPr="00D526FE">
        <w:rPr>
          <w:rFonts w:ascii="Times New Roman" w:hAnsi="Times New Roman" w:cs="Times New Roman"/>
          <w:color w:val="000000" w:themeColor="text1"/>
        </w:rPr>
        <w:t>as</w:t>
      </w:r>
      <w:r w:rsidR="00274FE8" w:rsidRPr="00D526FE">
        <w:rPr>
          <w:rFonts w:ascii="Times New Roman" w:hAnsi="Times New Roman" w:cs="Times New Roman"/>
          <w:color w:val="000000" w:themeColor="text1"/>
        </w:rPr>
        <w:t xml:space="preserve"> used. For each point, lines represent</w:t>
      </w:r>
      <w:r w:rsidR="00F406DF" w:rsidRPr="00D526FE">
        <w:rPr>
          <w:rFonts w:ascii="Times New Roman" w:hAnsi="Times New Roman" w:cs="Times New Roman"/>
          <w:color w:val="000000" w:themeColor="text1"/>
        </w:rPr>
        <w:t xml:space="preserve"> median and interquartile range.</w:t>
      </w:r>
      <w:r w:rsidR="00274FE8" w:rsidRPr="00D526FE">
        <w:rPr>
          <w:rFonts w:ascii="Times New Roman" w:hAnsi="Times New Roman" w:cs="Times New Roman"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 xml:space="preserve">*, </w:t>
      </w:r>
      <w:r w:rsidR="00333CA9" w:rsidRPr="00D526FE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01C6" w:rsidRPr="00D526F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>&lt;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 xml:space="preserve">0.05; **, </w:t>
      </w:r>
      <w:r w:rsidR="00333CA9" w:rsidRPr="00D526FE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01C6" w:rsidRPr="00D526F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>&lt;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 xml:space="preserve">0.01; ***, </w:t>
      </w:r>
      <w:r w:rsidR="00333CA9" w:rsidRPr="00D526FE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F01C6" w:rsidRPr="00D526F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>&lt;</w:t>
      </w:r>
      <w:r w:rsidR="007F01C6" w:rsidRPr="00D526FE">
        <w:rPr>
          <w:rFonts w:ascii="Times New Roman" w:hAnsi="Times New Roman" w:cs="Times New Roman"/>
          <w:color w:val="000000" w:themeColor="text1"/>
        </w:rPr>
        <w:t xml:space="preserve"> </w:t>
      </w:r>
      <w:r w:rsidR="00333CA9" w:rsidRPr="00D526FE">
        <w:rPr>
          <w:rFonts w:ascii="Times New Roman" w:hAnsi="Times New Roman" w:cs="Times New Roman"/>
          <w:color w:val="000000" w:themeColor="text1"/>
        </w:rPr>
        <w:t>0.001</w:t>
      </w:r>
      <w:r w:rsidR="008F2697" w:rsidRPr="00D526FE">
        <w:rPr>
          <w:rFonts w:ascii="Times New Roman" w:hAnsi="Times New Roman" w:cs="Times New Roman"/>
          <w:color w:val="000000" w:themeColor="text1"/>
        </w:rPr>
        <w:t>.</w:t>
      </w:r>
    </w:p>
    <w:p w14:paraId="44550070" w14:textId="77777777" w:rsidR="00993567" w:rsidRPr="00D526FE" w:rsidRDefault="00993567" w:rsidP="006525D0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14:paraId="1A687F2E" w14:textId="69879D3A" w:rsidR="005B2E1B" w:rsidRPr="00D526FE" w:rsidRDefault="002954DA" w:rsidP="006525D0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>Figure S</w:t>
      </w:r>
      <w:r w:rsidR="006525D0" w:rsidRPr="00D526FE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9E69EE" w:rsidRPr="00D526FE">
        <w:rPr>
          <w:rFonts w:ascii="Times New Roman" w:hAnsi="Times New Roman" w:cs="Times New Roman"/>
          <w:b/>
          <w:bCs/>
          <w:color w:val="000000" w:themeColor="text1"/>
        </w:rPr>
        <w:t>The c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orrespondence analysis of the </w:t>
      </w:r>
      <w:r w:rsidR="009E69EE" w:rsidRPr="00D526FE">
        <w:rPr>
          <w:rFonts w:ascii="Times New Roman" w:hAnsi="Times New Roman" w:cs="Times New Roman"/>
          <w:b/>
          <w:bCs/>
          <w:color w:val="000000" w:themeColor="text1"/>
        </w:rPr>
        <w:t>mutational status</w:t>
      </w:r>
      <w:r w:rsidR="00EF1ED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B2E1B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of 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>FNA and FFPE specimens</w:t>
      </w:r>
      <w:r w:rsidR="00EF1ED0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and clinicopathological features</w:t>
      </w:r>
      <w:r w:rsidR="00333CA9" w:rsidRPr="00D526F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333CA9" w:rsidRPr="00D526F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D3E68" w:rsidRPr="00D526FE">
        <w:rPr>
          <w:rFonts w:ascii="Times New Roman" w:hAnsi="Times New Roman" w:cs="Times New Roman"/>
          <w:bCs/>
          <w:color w:val="000000" w:themeColor="text1"/>
        </w:rPr>
        <w:t>The biplot</w:t>
      </w:r>
      <w:r w:rsidR="007D3E68" w:rsidRPr="00D526F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displays </w:t>
      </w:r>
      <w:r w:rsidR="002E2554" w:rsidRPr="00D526FE">
        <w:rPr>
          <w:rFonts w:ascii="Times New Roman" w:hAnsi="Times New Roman" w:cs="Times New Roman"/>
          <w:bCs/>
          <w:color w:val="000000" w:themeColor="text1"/>
        </w:rPr>
        <w:t>six</w:t>
      </w:r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 types (indicated by </w:t>
      </w:r>
      <w:r w:rsidR="00EF119A" w:rsidRPr="00D526FE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7D3E68" w:rsidRPr="00D526FE">
        <w:rPr>
          <w:rFonts w:ascii="Times New Roman" w:hAnsi="Times New Roman" w:cs="Times New Roman"/>
          <w:bCs/>
          <w:color w:val="000000" w:themeColor="text1"/>
        </w:rPr>
        <w:t>red arrows) of combinations of DNA origin (FNA or FFPE) with their mutational status (</w:t>
      </w:r>
      <w:proofErr w:type="spellStart"/>
      <w:r w:rsidR="007D3E68" w:rsidRPr="00D526FE">
        <w:rPr>
          <w:rFonts w:ascii="Times New Roman" w:hAnsi="Times New Roman" w:cs="Times New Roman"/>
          <w:bCs/>
          <w:color w:val="000000" w:themeColor="text1"/>
        </w:rPr>
        <w:t>TERTwt</w:t>
      </w:r>
      <w:proofErr w:type="spellEnd"/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7D3E68" w:rsidRPr="00D526FE">
        <w:rPr>
          <w:rFonts w:ascii="Times New Roman" w:hAnsi="Times New Roman" w:cs="Times New Roman"/>
          <w:bCs/>
          <w:color w:val="000000" w:themeColor="text1"/>
        </w:rPr>
        <w:t>TERTmut</w:t>
      </w:r>
      <w:proofErr w:type="spellEnd"/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7D3E68" w:rsidRPr="00D526FE">
        <w:rPr>
          <w:rFonts w:ascii="Times New Roman" w:hAnsi="Times New Roman" w:cs="Times New Roman"/>
          <w:bCs/>
          <w:color w:val="000000" w:themeColor="text1"/>
        </w:rPr>
        <w:t>BRAFwt</w:t>
      </w:r>
      <w:proofErr w:type="spellEnd"/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 and </w:t>
      </w:r>
      <w:proofErr w:type="spellStart"/>
      <w:r w:rsidR="007D3E68" w:rsidRPr="00D526FE">
        <w:rPr>
          <w:rFonts w:ascii="Times New Roman" w:hAnsi="Times New Roman" w:cs="Times New Roman"/>
          <w:bCs/>
          <w:color w:val="000000" w:themeColor="text1"/>
        </w:rPr>
        <w:t>BRAFmut</w:t>
      </w:r>
      <w:proofErr w:type="spellEnd"/>
      <w:r w:rsidR="007D3E68" w:rsidRPr="00D526FE">
        <w:rPr>
          <w:rFonts w:ascii="Times New Roman" w:hAnsi="Times New Roman" w:cs="Times New Roman"/>
          <w:bCs/>
          <w:color w:val="000000" w:themeColor="text1"/>
        </w:rPr>
        <w:t xml:space="preserve">) in principal coordinates. Clinicopathological features (individually labeled black circles) are displayed in </w:t>
      </w:r>
      <w:r w:rsidR="007D3E68" w:rsidRPr="00D526FE">
        <w:rPr>
          <w:rFonts w:ascii="Times New Roman" w:eastAsia="游明朝" w:hAnsi="Times New Roman" w:cs="Times New Roman"/>
          <w:color w:val="000000" w:themeColor="text1"/>
        </w:rPr>
        <w:t>contribution coordinates</w:t>
      </w:r>
      <w:r w:rsidR="00EF119A" w:rsidRPr="00D526FE">
        <w:rPr>
          <w:rFonts w:ascii="Times New Roman" w:eastAsia="游明朝" w:hAnsi="Times New Roman" w:cs="Times New Roman"/>
          <w:color w:val="000000" w:themeColor="text1"/>
        </w:rPr>
        <w:t>, which are the standard coordinates multiplied by the square root of the corresponding masses.</w:t>
      </w:r>
      <w:r w:rsidR="008374CF" w:rsidRPr="00D526FE">
        <w:rPr>
          <w:rFonts w:ascii="Times New Roman" w:eastAsia="游明朝" w:hAnsi="Times New Roman" w:cs="Times New Roman"/>
          <w:color w:val="000000" w:themeColor="text1"/>
        </w:rPr>
        <w:t xml:space="preserve"> </w:t>
      </w:r>
      <w:r w:rsidR="005B2E1B" w:rsidRPr="00D526FE">
        <w:rPr>
          <w:rFonts w:ascii="Times New Roman" w:eastAsia="游明朝" w:hAnsi="Times New Roman" w:cs="Times New Roman"/>
          <w:color w:val="000000" w:themeColor="text1"/>
        </w:rPr>
        <w:t xml:space="preserve">The number of dimensions retained in the present analysis </w:t>
      </w:r>
      <w:r w:rsidR="00E7505A" w:rsidRPr="00D526FE">
        <w:rPr>
          <w:rFonts w:ascii="Times New Roman" w:eastAsia="游明朝" w:hAnsi="Times New Roman" w:cs="Times New Roman"/>
          <w:color w:val="000000" w:themeColor="text1"/>
        </w:rPr>
        <w:t xml:space="preserve">was </w:t>
      </w:r>
      <w:bookmarkStart w:id="0" w:name="_Hlk45200803"/>
      <w:r w:rsidR="00882BCC" w:rsidRPr="00D526FE">
        <w:rPr>
          <w:rFonts w:ascii="Times New Roman" w:eastAsia="游明朝" w:hAnsi="Times New Roman" w:cs="Times New Roman"/>
          <w:color w:val="000000" w:themeColor="text1"/>
        </w:rPr>
        <w:t>five</w:t>
      </w:r>
      <w:r w:rsidR="00C418A0" w:rsidRPr="00D526FE">
        <w:rPr>
          <w:rFonts w:ascii="Times New Roman" w:eastAsia="游明朝" w:hAnsi="Times New Roman" w:cs="Times New Roman"/>
          <w:color w:val="000000" w:themeColor="text1"/>
        </w:rPr>
        <w:t>, and two major ones are</w:t>
      </w:r>
      <w:r w:rsidR="005B2E1B" w:rsidRPr="00D526FE">
        <w:rPr>
          <w:rFonts w:ascii="Times New Roman" w:eastAsia="游明朝" w:hAnsi="Times New Roman" w:cs="Times New Roman"/>
          <w:color w:val="000000" w:themeColor="text1"/>
        </w:rPr>
        <w:t xml:space="preserve"> presented</w:t>
      </w:r>
      <w:r w:rsidR="00C418A0" w:rsidRPr="00D526FE">
        <w:rPr>
          <w:rFonts w:ascii="Times New Roman" w:eastAsia="游明朝" w:hAnsi="Times New Roman" w:cs="Times New Roman"/>
          <w:color w:val="000000" w:themeColor="text1"/>
        </w:rPr>
        <w:t>:</w:t>
      </w:r>
      <w:r w:rsidR="005B2E1B" w:rsidRPr="00D526FE">
        <w:rPr>
          <w:rFonts w:ascii="Times New Roman" w:eastAsia="游明朝" w:hAnsi="Times New Roman" w:cs="Times New Roman"/>
          <w:color w:val="000000" w:themeColor="text1"/>
        </w:rPr>
        <w:t xml:space="preserve"> Dimension 1 and 2</w:t>
      </w:r>
      <w:bookmarkEnd w:id="0"/>
      <w:r w:rsidR="005B2E1B" w:rsidRPr="00D526FE">
        <w:rPr>
          <w:rFonts w:ascii="Times New Roman" w:eastAsia="游明朝" w:hAnsi="Times New Roman" w:cs="Times New Roman"/>
          <w:color w:val="000000" w:themeColor="text1"/>
        </w:rPr>
        <w:t>, which accounted for 9</w:t>
      </w:r>
      <w:r w:rsidR="00E7505A" w:rsidRPr="00D526FE">
        <w:rPr>
          <w:rFonts w:ascii="Times New Roman" w:eastAsia="游明朝" w:hAnsi="Times New Roman" w:cs="Times New Roman"/>
          <w:color w:val="000000" w:themeColor="text1"/>
        </w:rPr>
        <w:t>5</w:t>
      </w:r>
      <w:r w:rsidR="005B2E1B" w:rsidRPr="00D526FE">
        <w:rPr>
          <w:rFonts w:ascii="Times New Roman" w:eastAsia="游明朝" w:hAnsi="Times New Roman" w:cs="Times New Roman"/>
          <w:color w:val="000000" w:themeColor="text1"/>
        </w:rPr>
        <w:t>.</w:t>
      </w:r>
      <w:r w:rsidR="00E7505A" w:rsidRPr="00D526FE">
        <w:rPr>
          <w:rFonts w:ascii="Times New Roman" w:eastAsia="游明朝" w:hAnsi="Times New Roman" w:cs="Times New Roman"/>
          <w:color w:val="000000" w:themeColor="text1"/>
        </w:rPr>
        <w:t>4</w:t>
      </w:r>
      <w:r w:rsidR="005B2E1B" w:rsidRPr="00D526FE">
        <w:rPr>
          <w:rFonts w:ascii="Times New Roman" w:eastAsia="游明朝" w:hAnsi="Times New Roman" w:cs="Times New Roman"/>
          <w:color w:val="000000" w:themeColor="text1"/>
        </w:rPr>
        <w:t>% of variance</w:t>
      </w:r>
      <w:r w:rsidR="00E7505A" w:rsidRPr="00D526FE">
        <w:rPr>
          <w:rFonts w:ascii="Times New Roman" w:eastAsia="游明朝" w:hAnsi="Times New Roman" w:cs="Times New Roman"/>
          <w:color w:val="000000" w:themeColor="text1"/>
        </w:rPr>
        <w:t>.</w:t>
      </w:r>
      <w:r w:rsidR="003B2A35" w:rsidRPr="00D526FE">
        <w:rPr>
          <w:rFonts w:ascii="Times New Roman" w:eastAsia="游明朝" w:hAnsi="Times New Roman" w:cs="Times New Roman"/>
          <w:color w:val="000000" w:themeColor="text1"/>
        </w:rPr>
        <w:t xml:space="preserve"> The analysis was performed in R with </w:t>
      </w:r>
      <w:r w:rsidR="00C418A0" w:rsidRPr="00D526FE">
        <w:rPr>
          <w:rFonts w:ascii="Times New Roman" w:eastAsia="游明朝" w:hAnsi="Times New Roman" w:cs="Times New Roman"/>
          <w:color w:val="000000" w:themeColor="text1"/>
        </w:rPr>
        <w:t>the CA</w:t>
      </w:r>
      <w:r w:rsidR="003B2A35" w:rsidRPr="00D526FE">
        <w:rPr>
          <w:rFonts w:ascii="Times New Roman" w:eastAsia="游明朝" w:hAnsi="Times New Roman" w:cs="Times New Roman"/>
          <w:color w:val="000000" w:themeColor="text1"/>
        </w:rPr>
        <w:t xml:space="preserve"> and </w:t>
      </w:r>
      <w:proofErr w:type="spellStart"/>
      <w:r w:rsidR="003B2A35" w:rsidRPr="00D526FE">
        <w:rPr>
          <w:rFonts w:ascii="Times New Roman" w:eastAsia="游明朝" w:hAnsi="Times New Roman" w:cs="Times New Roman"/>
          <w:color w:val="000000" w:themeColor="text1"/>
        </w:rPr>
        <w:t>factoextra</w:t>
      </w:r>
      <w:proofErr w:type="spellEnd"/>
      <w:r w:rsidR="003B2A35" w:rsidRPr="00D526FE">
        <w:rPr>
          <w:rFonts w:ascii="Times New Roman" w:eastAsia="游明朝" w:hAnsi="Times New Roman" w:cs="Times New Roman"/>
          <w:color w:val="000000" w:themeColor="text1"/>
        </w:rPr>
        <w:t xml:space="preserve"> packages. The </w:t>
      </w:r>
      <w:proofErr w:type="spellStart"/>
      <w:r w:rsidR="003B2A35" w:rsidRPr="00D526FE">
        <w:rPr>
          <w:rFonts w:ascii="Times New Roman" w:eastAsia="游明朝" w:hAnsi="Times New Roman" w:cs="Times New Roman"/>
          <w:color w:val="000000" w:themeColor="text1"/>
        </w:rPr>
        <w:t>colgreen</w:t>
      </w:r>
      <w:proofErr w:type="spellEnd"/>
      <w:r w:rsidR="003B2A35" w:rsidRPr="00D526FE">
        <w:rPr>
          <w:rFonts w:ascii="Times New Roman" w:eastAsia="游明朝" w:hAnsi="Times New Roman" w:cs="Times New Roman"/>
          <w:color w:val="000000" w:themeColor="text1"/>
        </w:rPr>
        <w:t xml:space="preserve"> option was used to calculate biplot principal coordinates for </w:t>
      </w:r>
      <w:r w:rsidR="00FE4582" w:rsidRPr="00D526FE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C418A0" w:rsidRPr="00D526FE">
        <w:rPr>
          <w:rFonts w:ascii="Times New Roman" w:hAnsi="Times New Roman" w:cs="Times New Roman"/>
          <w:bCs/>
          <w:color w:val="000000" w:themeColor="text1"/>
        </w:rPr>
        <w:t>DNA origin</w:t>
      </w:r>
      <w:r w:rsidR="00FE4582" w:rsidRPr="00D526FE">
        <w:rPr>
          <w:rFonts w:ascii="Times New Roman" w:hAnsi="Times New Roman" w:cs="Times New Roman"/>
          <w:bCs/>
          <w:color w:val="000000" w:themeColor="text1"/>
        </w:rPr>
        <w:t xml:space="preserve">/mutation types </w:t>
      </w:r>
      <w:r w:rsidR="003B2A35" w:rsidRPr="00D526FE">
        <w:rPr>
          <w:rFonts w:ascii="Times New Roman" w:eastAsia="游明朝" w:hAnsi="Times New Roman" w:cs="Times New Roman"/>
          <w:color w:val="000000" w:themeColor="text1"/>
        </w:rPr>
        <w:t>and contribution coordinates</w:t>
      </w:r>
      <w:r w:rsidR="00FE4582" w:rsidRPr="00D526FE">
        <w:rPr>
          <w:rFonts w:ascii="Times New Roman" w:eastAsia="游明朝" w:hAnsi="Times New Roman" w:cs="Times New Roman"/>
          <w:color w:val="000000" w:themeColor="text1"/>
        </w:rPr>
        <w:t xml:space="preserve"> for</w:t>
      </w:r>
      <w:r w:rsidR="003B2A35" w:rsidRPr="00D526FE">
        <w:rPr>
          <w:rFonts w:ascii="Times New Roman" w:eastAsia="游明朝" w:hAnsi="Times New Roman" w:cs="Times New Roman"/>
          <w:color w:val="000000" w:themeColor="text1"/>
        </w:rPr>
        <w:t xml:space="preserve"> categorical clinicopathological variables.</w:t>
      </w:r>
    </w:p>
    <w:p w14:paraId="008A8455" w14:textId="77777777" w:rsidR="005B2E1B" w:rsidRPr="00D526FE" w:rsidRDefault="005B2E1B" w:rsidP="006525D0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</w:rPr>
      </w:pPr>
    </w:p>
    <w:p w14:paraId="1448BC35" w14:textId="77777777" w:rsidR="00FC3C93" w:rsidRPr="00D526FE" w:rsidRDefault="00FC3C93" w:rsidP="006525D0">
      <w:pPr>
        <w:rPr>
          <w:color w:val="000000" w:themeColor="text1"/>
        </w:rPr>
      </w:pPr>
    </w:p>
    <w:sectPr w:rsidR="00FC3C93" w:rsidRPr="00D526FE" w:rsidSect="0051340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A9"/>
    <w:rsid w:val="000124B1"/>
    <w:rsid w:val="00013D63"/>
    <w:rsid w:val="000261F7"/>
    <w:rsid w:val="00027929"/>
    <w:rsid w:val="0003567C"/>
    <w:rsid w:val="000A2DC9"/>
    <w:rsid w:val="000A5DCF"/>
    <w:rsid w:val="000B0E5E"/>
    <w:rsid w:val="000C6943"/>
    <w:rsid w:val="000D28C8"/>
    <w:rsid w:val="000D408B"/>
    <w:rsid w:val="000F4989"/>
    <w:rsid w:val="00106857"/>
    <w:rsid w:val="00122339"/>
    <w:rsid w:val="00123E9E"/>
    <w:rsid w:val="001346C9"/>
    <w:rsid w:val="00135774"/>
    <w:rsid w:val="001462C3"/>
    <w:rsid w:val="00172C79"/>
    <w:rsid w:val="00175FF9"/>
    <w:rsid w:val="00181EA0"/>
    <w:rsid w:val="00184C1F"/>
    <w:rsid w:val="00197E6F"/>
    <w:rsid w:val="001A6186"/>
    <w:rsid w:val="001A751D"/>
    <w:rsid w:val="001B3478"/>
    <w:rsid w:val="001E4754"/>
    <w:rsid w:val="001F5CCF"/>
    <w:rsid w:val="0021537B"/>
    <w:rsid w:val="00217B7C"/>
    <w:rsid w:val="002217F6"/>
    <w:rsid w:val="00221EE7"/>
    <w:rsid w:val="002448F2"/>
    <w:rsid w:val="00274FE8"/>
    <w:rsid w:val="002807A5"/>
    <w:rsid w:val="00287E18"/>
    <w:rsid w:val="002940FF"/>
    <w:rsid w:val="002946FD"/>
    <w:rsid w:val="002954DA"/>
    <w:rsid w:val="002C408A"/>
    <w:rsid w:val="002E2554"/>
    <w:rsid w:val="003011A4"/>
    <w:rsid w:val="00307679"/>
    <w:rsid w:val="003131FE"/>
    <w:rsid w:val="00321983"/>
    <w:rsid w:val="00324790"/>
    <w:rsid w:val="00333CA9"/>
    <w:rsid w:val="00351FC6"/>
    <w:rsid w:val="0035544C"/>
    <w:rsid w:val="0037321D"/>
    <w:rsid w:val="0039567F"/>
    <w:rsid w:val="003A1D5A"/>
    <w:rsid w:val="003B2A35"/>
    <w:rsid w:val="003B45FD"/>
    <w:rsid w:val="003C089B"/>
    <w:rsid w:val="003F218A"/>
    <w:rsid w:val="003F4111"/>
    <w:rsid w:val="00414A8B"/>
    <w:rsid w:val="00417BF9"/>
    <w:rsid w:val="00422503"/>
    <w:rsid w:val="004318EB"/>
    <w:rsid w:val="00457657"/>
    <w:rsid w:val="00463B1A"/>
    <w:rsid w:val="00491CFF"/>
    <w:rsid w:val="004A0DAC"/>
    <w:rsid w:val="004C1B85"/>
    <w:rsid w:val="004E1CE8"/>
    <w:rsid w:val="004F0DFD"/>
    <w:rsid w:val="004F1BB9"/>
    <w:rsid w:val="00504D22"/>
    <w:rsid w:val="00521E66"/>
    <w:rsid w:val="005255BB"/>
    <w:rsid w:val="00537910"/>
    <w:rsid w:val="005878BE"/>
    <w:rsid w:val="005B2E1B"/>
    <w:rsid w:val="00605089"/>
    <w:rsid w:val="00612BA5"/>
    <w:rsid w:val="00623666"/>
    <w:rsid w:val="00630095"/>
    <w:rsid w:val="00646EB5"/>
    <w:rsid w:val="00651DEA"/>
    <w:rsid w:val="006525D0"/>
    <w:rsid w:val="00656042"/>
    <w:rsid w:val="00686720"/>
    <w:rsid w:val="00690D32"/>
    <w:rsid w:val="006A4442"/>
    <w:rsid w:val="006A73CE"/>
    <w:rsid w:val="006C3BBB"/>
    <w:rsid w:val="006C66EB"/>
    <w:rsid w:val="006D03E4"/>
    <w:rsid w:val="006D265A"/>
    <w:rsid w:val="006E6B15"/>
    <w:rsid w:val="006F0F46"/>
    <w:rsid w:val="007121EF"/>
    <w:rsid w:val="007131DF"/>
    <w:rsid w:val="00732627"/>
    <w:rsid w:val="00744B83"/>
    <w:rsid w:val="007705C4"/>
    <w:rsid w:val="00782046"/>
    <w:rsid w:val="00782150"/>
    <w:rsid w:val="007A24A0"/>
    <w:rsid w:val="007A48CD"/>
    <w:rsid w:val="007B155C"/>
    <w:rsid w:val="007C55DB"/>
    <w:rsid w:val="007D3E68"/>
    <w:rsid w:val="007F01C6"/>
    <w:rsid w:val="007F0F92"/>
    <w:rsid w:val="007F5BE8"/>
    <w:rsid w:val="0081646A"/>
    <w:rsid w:val="00827CF7"/>
    <w:rsid w:val="008374CF"/>
    <w:rsid w:val="008377BB"/>
    <w:rsid w:val="008519AD"/>
    <w:rsid w:val="008537A5"/>
    <w:rsid w:val="00873745"/>
    <w:rsid w:val="00882113"/>
    <w:rsid w:val="00882BCC"/>
    <w:rsid w:val="00887F1D"/>
    <w:rsid w:val="008C5BFA"/>
    <w:rsid w:val="008F0B5C"/>
    <w:rsid w:val="008F2697"/>
    <w:rsid w:val="00913295"/>
    <w:rsid w:val="009519E6"/>
    <w:rsid w:val="00971F3C"/>
    <w:rsid w:val="0097302D"/>
    <w:rsid w:val="00984235"/>
    <w:rsid w:val="00991269"/>
    <w:rsid w:val="00993567"/>
    <w:rsid w:val="009C2DAD"/>
    <w:rsid w:val="009D1104"/>
    <w:rsid w:val="009E69EE"/>
    <w:rsid w:val="009F230F"/>
    <w:rsid w:val="009F3385"/>
    <w:rsid w:val="00A10B93"/>
    <w:rsid w:val="00A118C9"/>
    <w:rsid w:val="00A241CE"/>
    <w:rsid w:val="00A26C26"/>
    <w:rsid w:val="00A36043"/>
    <w:rsid w:val="00A87610"/>
    <w:rsid w:val="00AC121C"/>
    <w:rsid w:val="00AD3A60"/>
    <w:rsid w:val="00AD4164"/>
    <w:rsid w:val="00AE7D0E"/>
    <w:rsid w:val="00B141D8"/>
    <w:rsid w:val="00B23698"/>
    <w:rsid w:val="00B35912"/>
    <w:rsid w:val="00B713F3"/>
    <w:rsid w:val="00B75D58"/>
    <w:rsid w:val="00B80BE7"/>
    <w:rsid w:val="00B96BB2"/>
    <w:rsid w:val="00BC0267"/>
    <w:rsid w:val="00BE70FA"/>
    <w:rsid w:val="00BF6C71"/>
    <w:rsid w:val="00C011A3"/>
    <w:rsid w:val="00C34EF2"/>
    <w:rsid w:val="00C3768E"/>
    <w:rsid w:val="00C418A0"/>
    <w:rsid w:val="00C44D1A"/>
    <w:rsid w:val="00C45246"/>
    <w:rsid w:val="00C51E64"/>
    <w:rsid w:val="00C61355"/>
    <w:rsid w:val="00C74EFC"/>
    <w:rsid w:val="00CA582A"/>
    <w:rsid w:val="00CA59FD"/>
    <w:rsid w:val="00CB63F4"/>
    <w:rsid w:val="00CB7B03"/>
    <w:rsid w:val="00CE0934"/>
    <w:rsid w:val="00CF0965"/>
    <w:rsid w:val="00D17009"/>
    <w:rsid w:val="00D27F6A"/>
    <w:rsid w:val="00D30091"/>
    <w:rsid w:val="00D31FC5"/>
    <w:rsid w:val="00D32318"/>
    <w:rsid w:val="00D526FE"/>
    <w:rsid w:val="00D617C0"/>
    <w:rsid w:val="00D82CB3"/>
    <w:rsid w:val="00D91CC0"/>
    <w:rsid w:val="00DB3EB8"/>
    <w:rsid w:val="00E00562"/>
    <w:rsid w:val="00E14B0D"/>
    <w:rsid w:val="00E14FDA"/>
    <w:rsid w:val="00E737B8"/>
    <w:rsid w:val="00E7505A"/>
    <w:rsid w:val="00E803CE"/>
    <w:rsid w:val="00EA04E7"/>
    <w:rsid w:val="00EB0B20"/>
    <w:rsid w:val="00EB1ECA"/>
    <w:rsid w:val="00EC7359"/>
    <w:rsid w:val="00ED03CA"/>
    <w:rsid w:val="00EE63E0"/>
    <w:rsid w:val="00EF119A"/>
    <w:rsid w:val="00EF1ED0"/>
    <w:rsid w:val="00EF2B49"/>
    <w:rsid w:val="00EF4257"/>
    <w:rsid w:val="00F20C49"/>
    <w:rsid w:val="00F26046"/>
    <w:rsid w:val="00F307F8"/>
    <w:rsid w:val="00F406DF"/>
    <w:rsid w:val="00F45521"/>
    <w:rsid w:val="00F67FF1"/>
    <w:rsid w:val="00F709AA"/>
    <w:rsid w:val="00F71614"/>
    <w:rsid w:val="00F776CB"/>
    <w:rsid w:val="00F8081D"/>
    <w:rsid w:val="00F91825"/>
    <w:rsid w:val="00FA193A"/>
    <w:rsid w:val="00FA6069"/>
    <w:rsid w:val="00FA6A0D"/>
    <w:rsid w:val="00FA796E"/>
    <w:rsid w:val="00FC3C93"/>
    <w:rsid w:val="00FD5419"/>
    <w:rsid w:val="00FE1D73"/>
    <w:rsid w:val="00FE4582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E0F35"/>
  <w15:chartTrackingRefBased/>
  <w15:docId w15:val="{D1C9AFBB-248C-1C40-B9AF-8E708A0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annotation reference"/>
    <w:basedOn w:val="a0"/>
    <w:uiPriority w:val="99"/>
    <w:semiHidden/>
    <w:unhideWhenUsed/>
    <w:rsid w:val="00274FE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4FE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274FE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4F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74FE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4FE8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光武　範吏</dc:creator>
  <cp:keywords/>
  <dc:description/>
  <cp:lastModifiedBy>松瀬　美智子</cp:lastModifiedBy>
  <cp:revision>10</cp:revision>
  <dcterms:created xsi:type="dcterms:W3CDTF">2020-12-07T06:31:00Z</dcterms:created>
  <dcterms:modified xsi:type="dcterms:W3CDTF">2021-02-08T09:33:00Z</dcterms:modified>
</cp:coreProperties>
</file>