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2813E" w14:textId="77777777" w:rsidR="003A5A09" w:rsidRPr="00492135" w:rsidRDefault="003A5A09" w:rsidP="003A5A09">
      <w:pPr>
        <w:spacing w:line="480" w:lineRule="auto"/>
        <w:rPr>
          <w:rFonts w:cstheme="minorHAnsi"/>
          <w:b/>
          <w:color w:val="000000"/>
          <w:sz w:val="20"/>
          <w:szCs w:val="20"/>
        </w:rPr>
      </w:pPr>
      <w:bookmarkStart w:id="0" w:name="_Hlk117864891"/>
      <w:r w:rsidRPr="00492135">
        <w:rPr>
          <w:rFonts w:eastAsia="Times New Roman" w:cstheme="minorHAnsi"/>
          <w:b/>
          <w:color w:val="000000"/>
          <w:sz w:val="20"/>
          <w:szCs w:val="20"/>
        </w:rPr>
        <w:t>Sequencing strategies with ramucirumab and docetaxel following prior treatments for advanced non-small cell lung cancer: a multicenter retrospective cohort study</w:t>
      </w:r>
      <w:bookmarkEnd w:id="0"/>
    </w:p>
    <w:p w14:paraId="0CC51872" w14:textId="77777777" w:rsidR="003A5A09" w:rsidRPr="00492135" w:rsidRDefault="003A5A09" w:rsidP="003A5A09">
      <w:pPr>
        <w:spacing w:line="480" w:lineRule="auto"/>
        <w:rPr>
          <w:rFonts w:cstheme="minorHAnsi"/>
          <w:b/>
          <w:color w:val="000000"/>
          <w:sz w:val="20"/>
          <w:szCs w:val="20"/>
        </w:rPr>
      </w:pPr>
    </w:p>
    <w:p w14:paraId="004776B4" w14:textId="77777777" w:rsidR="003A5A09" w:rsidRPr="00492135" w:rsidRDefault="003A5A09" w:rsidP="003A5A09">
      <w:pPr>
        <w:spacing w:line="480" w:lineRule="auto"/>
        <w:rPr>
          <w:rFonts w:eastAsia="Times New Roman" w:cstheme="minorHAnsi"/>
          <w:color w:val="000000"/>
          <w:sz w:val="20"/>
          <w:szCs w:val="20"/>
          <w:vertAlign w:val="superscript"/>
        </w:rPr>
      </w:pPr>
      <w:r w:rsidRPr="00492135">
        <w:rPr>
          <w:rFonts w:eastAsia="Times New Roman" w:cstheme="minorHAnsi"/>
          <w:color w:val="000000"/>
          <w:sz w:val="20"/>
          <w:szCs w:val="20"/>
        </w:rPr>
        <w:t>Satoshi Tanizaki MD</w:t>
      </w:r>
      <w:r w:rsidRPr="00492135">
        <w:rPr>
          <w:rFonts w:eastAsia="Times New Roman" w:cstheme="minorHAnsi"/>
          <w:color w:val="000000"/>
          <w:sz w:val="20"/>
          <w:szCs w:val="20"/>
          <w:vertAlign w:val="superscript"/>
        </w:rPr>
        <w:t>*1</w:t>
      </w:r>
      <w:r w:rsidRPr="00492135">
        <w:rPr>
          <w:rFonts w:eastAsia="Times New Roman" w:cstheme="minorHAnsi"/>
          <w:color w:val="000000"/>
          <w:sz w:val="20"/>
          <w:szCs w:val="20"/>
        </w:rPr>
        <w:t>, Kinnosuke Matsumoto MD</w:t>
      </w:r>
      <w:r w:rsidRPr="00492135">
        <w:rPr>
          <w:rFonts w:eastAsia="Times New Roman" w:cstheme="minorHAnsi"/>
          <w:color w:val="000000"/>
          <w:sz w:val="20"/>
          <w:szCs w:val="20"/>
          <w:vertAlign w:val="superscript"/>
        </w:rPr>
        <w:t>*2</w:t>
      </w:r>
      <w:r w:rsidRPr="00492135">
        <w:rPr>
          <w:rFonts w:eastAsia="Times New Roman" w:cstheme="minorHAnsi"/>
          <w:color w:val="000000"/>
          <w:sz w:val="20"/>
          <w:szCs w:val="20"/>
        </w:rPr>
        <w:t>, Akihiro Tamiya MD</w:t>
      </w:r>
      <w:r w:rsidRPr="00492135">
        <w:rPr>
          <w:rFonts w:eastAsia="Times New Roman" w:cstheme="minorHAnsi"/>
          <w:color w:val="000000"/>
          <w:sz w:val="20"/>
          <w:szCs w:val="20"/>
          <w:vertAlign w:val="superscript"/>
        </w:rPr>
        <w:t>2</w:t>
      </w:r>
      <w:r w:rsidRPr="00492135">
        <w:rPr>
          <w:rFonts w:eastAsia="Times New Roman" w:cstheme="minorHAnsi"/>
          <w:color w:val="000000"/>
          <w:sz w:val="20"/>
          <w:szCs w:val="20"/>
        </w:rPr>
        <w:t>, Yoshihiko Taniguchi MD</w:t>
      </w:r>
      <w:r w:rsidRPr="00492135">
        <w:rPr>
          <w:rFonts w:eastAsia="Times New Roman" w:cstheme="minorHAnsi"/>
          <w:color w:val="000000"/>
          <w:sz w:val="20"/>
          <w:szCs w:val="20"/>
          <w:vertAlign w:val="superscript"/>
        </w:rPr>
        <w:t>2</w:t>
      </w:r>
      <w:r w:rsidRPr="00492135">
        <w:rPr>
          <w:rFonts w:eastAsia="Times New Roman" w:cstheme="minorHAnsi"/>
          <w:color w:val="000000"/>
          <w:sz w:val="20"/>
          <w:szCs w:val="20"/>
        </w:rPr>
        <w:t>, Yoshinobu Matsuda MD</w:t>
      </w:r>
      <w:r w:rsidRPr="00492135">
        <w:rPr>
          <w:rFonts w:eastAsia="Times New Roman" w:cstheme="minorHAnsi"/>
          <w:color w:val="000000"/>
          <w:sz w:val="20"/>
          <w:szCs w:val="20"/>
          <w:vertAlign w:val="superscript"/>
        </w:rPr>
        <w:t>2</w:t>
      </w:r>
      <w:r w:rsidRPr="00492135">
        <w:rPr>
          <w:rFonts w:eastAsia="Times New Roman" w:cstheme="minorHAnsi"/>
          <w:color w:val="000000"/>
          <w:sz w:val="20"/>
          <w:szCs w:val="20"/>
        </w:rPr>
        <w:t>, Junji Uchida MD, PhD</w:t>
      </w:r>
      <w:r w:rsidRPr="00492135">
        <w:rPr>
          <w:rFonts w:eastAsia="Times New Roman" w:cstheme="minorHAnsi"/>
          <w:color w:val="000000"/>
          <w:sz w:val="20"/>
          <w:szCs w:val="20"/>
          <w:vertAlign w:val="superscript"/>
        </w:rPr>
        <w:t>1</w:t>
      </w:r>
      <w:r w:rsidRPr="00492135">
        <w:rPr>
          <w:rFonts w:eastAsia="Times New Roman" w:cstheme="minorHAnsi"/>
          <w:color w:val="000000"/>
          <w:sz w:val="20"/>
          <w:szCs w:val="20"/>
        </w:rPr>
        <w:t>, Kiyonobu Ueno MD, PhD</w:t>
      </w:r>
      <w:r w:rsidRPr="00492135">
        <w:rPr>
          <w:rFonts w:eastAsia="Times New Roman" w:cstheme="minorHAnsi"/>
          <w:color w:val="000000"/>
          <w:sz w:val="20"/>
          <w:szCs w:val="20"/>
          <w:vertAlign w:val="superscript"/>
        </w:rPr>
        <w:t>1</w:t>
      </w:r>
      <w:r w:rsidRPr="00492135">
        <w:rPr>
          <w:rFonts w:eastAsia="Times New Roman" w:cstheme="minorHAnsi"/>
          <w:color w:val="000000"/>
          <w:sz w:val="20"/>
          <w:szCs w:val="20"/>
        </w:rPr>
        <w:t>, Hayato Kawachi MD</w:t>
      </w:r>
      <w:r w:rsidRPr="00492135">
        <w:rPr>
          <w:rFonts w:eastAsia="Times New Roman" w:cstheme="minorHAnsi"/>
          <w:color w:val="000000"/>
          <w:sz w:val="20"/>
          <w:szCs w:val="20"/>
          <w:vertAlign w:val="superscript"/>
        </w:rPr>
        <w:t>3</w:t>
      </w:r>
      <w:r w:rsidRPr="00492135">
        <w:rPr>
          <w:rFonts w:eastAsia="Times New Roman" w:cstheme="minorHAnsi"/>
          <w:color w:val="000000"/>
          <w:sz w:val="20"/>
          <w:szCs w:val="20"/>
        </w:rPr>
        <w:t>, Motohiro Tamiya MD</w:t>
      </w:r>
      <w:r w:rsidRPr="00492135">
        <w:rPr>
          <w:rFonts w:eastAsia="Times New Roman" w:cstheme="minorHAnsi"/>
          <w:color w:val="000000"/>
          <w:sz w:val="20"/>
          <w:szCs w:val="20"/>
          <w:vertAlign w:val="superscript"/>
        </w:rPr>
        <w:t>3</w:t>
      </w:r>
      <w:r w:rsidRPr="00492135">
        <w:rPr>
          <w:rFonts w:eastAsia="Times New Roman" w:cstheme="minorHAnsi"/>
          <w:color w:val="000000"/>
          <w:sz w:val="20"/>
          <w:szCs w:val="20"/>
        </w:rPr>
        <w:t>, Takafumi Yanase MD</w:t>
      </w:r>
      <w:r w:rsidRPr="00492135">
        <w:rPr>
          <w:rFonts w:eastAsia="Times New Roman" w:cstheme="minorHAnsi"/>
          <w:color w:val="000000"/>
          <w:sz w:val="20"/>
          <w:szCs w:val="20"/>
          <w:vertAlign w:val="superscript"/>
        </w:rPr>
        <w:t>4</w:t>
      </w:r>
      <w:r w:rsidRPr="00492135">
        <w:rPr>
          <w:rFonts w:eastAsia="Times New Roman" w:cstheme="minorHAnsi"/>
          <w:color w:val="000000"/>
          <w:sz w:val="20"/>
          <w:szCs w:val="20"/>
        </w:rPr>
        <w:t>, Hidekazu Suzuki MD</w:t>
      </w:r>
      <w:r w:rsidRPr="00492135">
        <w:rPr>
          <w:rFonts w:eastAsia="Times New Roman" w:cstheme="minorHAnsi"/>
          <w:color w:val="000000"/>
          <w:sz w:val="20"/>
          <w:szCs w:val="20"/>
          <w:vertAlign w:val="superscript"/>
        </w:rPr>
        <w:t>4</w:t>
      </w:r>
      <w:r w:rsidRPr="00492135">
        <w:rPr>
          <w:rFonts w:eastAsia="Times New Roman" w:cstheme="minorHAnsi"/>
          <w:color w:val="000000"/>
          <w:sz w:val="20"/>
          <w:szCs w:val="20"/>
        </w:rPr>
        <w:t>, Kyoichi Okishio MD</w:t>
      </w:r>
      <w:r w:rsidRPr="00492135">
        <w:rPr>
          <w:rFonts w:eastAsia="Times New Roman" w:cstheme="minorHAnsi"/>
          <w:color w:val="000000"/>
          <w:sz w:val="20"/>
          <w:szCs w:val="20"/>
          <w:vertAlign w:val="superscript"/>
        </w:rPr>
        <w:t xml:space="preserve">2,5 </w:t>
      </w:r>
    </w:p>
    <w:p w14:paraId="50A18E16" w14:textId="77777777" w:rsidR="003A5A09" w:rsidRPr="00492135" w:rsidRDefault="003A5A09" w:rsidP="003A5A09">
      <w:pPr>
        <w:spacing w:line="480" w:lineRule="auto"/>
        <w:rPr>
          <w:rFonts w:eastAsia="Times New Roman" w:cstheme="minorHAnsi"/>
          <w:sz w:val="20"/>
          <w:szCs w:val="20"/>
        </w:rPr>
      </w:pPr>
      <w:r w:rsidRPr="00492135">
        <w:rPr>
          <w:rFonts w:eastAsia="Times New Roman" w:cstheme="minorHAnsi"/>
          <w:sz w:val="20"/>
          <w:szCs w:val="20"/>
          <w:vertAlign w:val="superscript"/>
        </w:rPr>
        <w:t>*</w:t>
      </w:r>
      <w:r w:rsidRPr="00492135">
        <w:rPr>
          <w:rFonts w:eastAsia="Times New Roman" w:cstheme="minorHAnsi"/>
          <w:sz w:val="20"/>
          <w:szCs w:val="20"/>
        </w:rPr>
        <w:t>These authors contributed equally to this manuscript.</w:t>
      </w:r>
    </w:p>
    <w:p w14:paraId="60D4D2C2" w14:textId="77777777" w:rsidR="003A5A09" w:rsidRPr="00492135" w:rsidRDefault="003A5A09" w:rsidP="003A5A09">
      <w:pPr>
        <w:spacing w:line="480" w:lineRule="auto"/>
        <w:rPr>
          <w:rFonts w:cstheme="minorHAnsi"/>
          <w:color w:val="000000"/>
          <w:sz w:val="20"/>
          <w:szCs w:val="20"/>
        </w:rPr>
      </w:pPr>
    </w:p>
    <w:p w14:paraId="5FA652DD" w14:textId="77777777" w:rsidR="003A5A09" w:rsidRPr="00492135" w:rsidRDefault="003A5A09" w:rsidP="003A5A09">
      <w:pPr>
        <w:spacing w:line="480" w:lineRule="auto"/>
        <w:rPr>
          <w:rFonts w:cstheme="minorHAnsi"/>
          <w:color w:val="000000"/>
          <w:sz w:val="20"/>
          <w:szCs w:val="20"/>
        </w:rPr>
      </w:pPr>
      <w:r w:rsidRPr="00492135">
        <w:rPr>
          <w:rFonts w:eastAsia="Times New Roman" w:cstheme="minorHAnsi"/>
          <w:color w:val="000000"/>
          <w:sz w:val="20"/>
          <w:szCs w:val="20"/>
          <w:vertAlign w:val="superscript"/>
        </w:rPr>
        <w:t>1</w:t>
      </w:r>
      <w:r w:rsidRPr="00492135">
        <w:rPr>
          <w:rFonts w:eastAsia="Times New Roman" w:cstheme="minorHAnsi"/>
          <w:color w:val="000000"/>
          <w:sz w:val="20"/>
          <w:szCs w:val="20"/>
        </w:rPr>
        <w:t>Department of Respiratory Medicine, Osaka General Medical Center, Osaka, Japan</w:t>
      </w:r>
    </w:p>
    <w:p w14:paraId="0AC5C1D4" w14:textId="77777777" w:rsidR="003A5A09" w:rsidRPr="00492135" w:rsidRDefault="003A5A09" w:rsidP="003A5A09">
      <w:pPr>
        <w:spacing w:line="480" w:lineRule="auto"/>
        <w:rPr>
          <w:rFonts w:cstheme="minorHAnsi"/>
          <w:color w:val="000000"/>
          <w:sz w:val="20"/>
          <w:szCs w:val="20"/>
        </w:rPr>
      </w:pPr>
      <w:r w:rsidRPr="00492135">
        <w:rPr>
          <w:rFonts w:eastAsia="Times New Roman" w:cstheme="minorHAnsi"/>
          <w:color w:val="000000"/>
          <w:sz w:val="20"/>
          <w:szCs w:val="20"/>
          <w:vertAlign w:val="superscript"/>
        </w:rPr>
        <w:t>2</w:t>
      </w:r>
      <w:r w:rsidRPr="00492135">
        <w:rPr>
          <w:rFonts w:eastAsia="Times New Roman" w:cstheme="minorHAnsi"/>
          <w:color w:val="000000"/>
          <w:sz w:val="20"/>
          <w:szCs w:val="20"/>
        </w:rPr>
        <w:t>Department of Internal Medicine, National Hospital Organization Kinki-Chuo Chest Medical Center, Osaka, Japan</w:t>
      </w:r>
    </w:p>
    <w:p w14:paraId="5FA997D0" w14:textId="77777777" w:rsidR="003A5A09" w:rsidRPr="00492135" w:rsidRDefault="003A5A09" w:rsidP="003A5A09">
      <w:pPr>
        <w:spacing w:line="480" w:lineRule="auto"/>
        <w:rPr>
          <w:rFonts w:cstheme="minorHAnsi"/>
          <w:color w:val="000000"/>
          <w:sz w:val="20"/>
          <w:szCs w:val="20"/>
        </w:rPr>
      </w:pPr>
      <w:r w:rsidRPr="00492135">
        <w:rPr>
          <w:rFonts w:eastAsia="Times New Roman" w:cstheme="minorHAnsi"/>
          <w:color w:val="000000"/>
          <w:sz w:val="20"/>
          <w:szCs w:val="20"/>
          <w:vertAlign w:val="superscript"/>
        </w:rPr>
        <w:t>3</w:t>
      </w:r>
      <w:r w:rsidRPr="00492135">
        <w:rPr>
          <w:rFonts w:eastAsia="Times New Roman" w:cstheme="minorHAnsi"/>
          <w:color w:val="000000"/>
          <w:sz w:val="20"/>
          <w:szCs w:val="20"/>
        </w:rPr>
        <w:t>Department of Respiratory Medicine, Osaka International Cancer Institute, Osaka, Japan</w:t>
      </w:r>
    </w:p>
    <w:p w14:paraId="0831F071" w14:textId="77777777" w:rsidR="003A5A09" w:rsidRPr="00492135" w:rsidRDefault="003A5A09" w:rsidP="003A5A09">
      <w:pPr>
        <w:spacing w:line="480" w:lineRule="auto"/>
        <w:rPr>
          <w:rFonts w:cstheme="minorHAnsi"/>
          <w:color w:val="000000"/>
          <w:sz w:val="20"/>
          <w:szCs w:val="20"/>
        </w:rPr>
      </w:pPr>
      <w:r w:rsidRPr="00492135">
        <w:rPr>
          <w:rFonts w:eastAsia="Times New Roman" w:cstheme="minorHAnsi"/>
          <w:color w:val="000000"/>
          <w:sz w:val="20"/>
          <w:szCs w:val="20"/>
          <w:vertAlign w:val="superscript"/>
        </w:rPr>
        <w:t>4</w:t>
      </w:r>
      <w:r w:rsidRPr="00492135">
        <w:rPr>
          <w:rFonts w:eastAsia="Times New Roman" w:cstheme="minorHAnsi"/>
          <w:color w:val="000000"/>
          <w:sz w:val="20"/>
          <w:szCs w:val="20"/>
        </w:rPr>
        <w:t>Department of Respiratory Medicine, Osaka Prefectural Medical Center for Respiratory and Allergic Disease, Osaka, Japan</w:t>
      </w:r>
    </w:p>
    <w:p w14:paraId="7EE1C569" w14:textId="77777777" w:rsidR="003A5A09" w:rsidRPr="00492135" w:rsidRDefault="003A5A09" w:rsidP="003A5A09">
      <w:pPr>
        <w:spacing w:line="480" w:lineRule="auto"/>
        <w:rPr>
          <w:rFonts w:cstheme="minorHAnsi"/>
          <w:color w:val="000000"/>
          <w:sz w:val="20"/>
          <w:szCs w:val="20"/>
        </w:rPr>
      </w:pPr>
      <w:r w:rsidRPr="00492135">
        <w:rPr>
          <w:rFonts w:eastAsia="Times New Roman" w:cstheme="minorHAnsi"/>
          <w:color w:val="000000"/>
          <w:sz w:val="20"/>
          <w:szCs w:val="20"/>
          <w:vertAlign w:val="superscript"/>
        </w:rPr>
        <w:t>5</w:t>
      </w:r>
      <w:r w:rsidRPr="00492135">
        <w:rPr>
          <w:rFonts w:eastAsia="Times New Roman" w:cstheme="minorHAnsi"/>
          <w:color w:val="000000"/>
          <w:sz w:val="20"/>
          <w:szCs w:val="20"/>
        </w:rPr>
        <w:t>Clinical Research Center, National Hospital Organization Kinki-Chuo Chest Medical Center, Osaka, Japan</w:t>
      </w:r>
    </w:p>
    <w:p w14:paraId="365F4D59" w14:textId="77777777" w:rsidR="003A5A09" w:rsidRPr="00492135" w:rsidRDefault="003A5A09" w:rsidP="003A5A09">
      <w:pPr>
        <w:spacing w:line="480" w:lineRule="auto"/>
        <w:rPr>
          <w:rFonts w:cstheme="minorHAnsi"/>
          <w:color w:val="000000"/>
          <w:sz w:val="20"/>
          <w:szCs w:val="20"/>
        </w:rPr>
      </w:pPr>
    </w:p>
    <w:p w14:paraId="01272115" w14:textId="77777777" w:rsidR="003A5A09" w:rsidRPr="00492135" w:rsidRDefault="003A5A09" w:rsidP="003A5A09">
      <w:pPr>
        <w:spacing w:line="480" w:lineRule="auto"/>
        <w:rPr>
          <w:rFonts w:cstheme="minorHAnsi"/>
          <w:color w:val="000000"/>
          <w:sz w:val="20"/>
          <w:szCs w:val="20"/>
        </w:rPr>
      </w:pPr>
      <w:r w:rsidRPr="00492135">
        <w:rPr>
          <w:rFonts w:eastAsia="Times New Roman" w:cstheme="minorHAnsi"/>
          <w:b/>
          <w:color w:val="000000"/>
          <w:sz w:val="20"/>
          <w:szCs w:val="20"/>
        </w:rPr>
        <w:t>Corresponding author:</w:t>
      </w:r>
      <w:r w:rsidRPr="00492135">
        <w:rPr>
          <w:rFonts w:eastAsia="Times New Roman" w:cstheme="minorHAnsi"/>
          <w:color w:val="000000"/>
          <w:sz w:val="20"/>
          <w:szCs w:val="20"/>
        </w:rPr>
        <w:t xml:space="preserve"> Akihiro Tamiya, MD</w:t>
      </w:r>
    </w:p>
    <w:p w14:paraId="552CDC9F" w14:textId="77777777" w:rsidR="003A5A09" w:rsidRPr="00492135" w:rsidRDefault="003A5A09" w:rsidP="003A5A09">
      <w:pPr>
        <w:spacing w:line="480" w:lineRule="auto"/>
        <w:rPr>
          <w:rFonts w:cstheme="minorHAnsi"/>
          <w:color w:val="000000"/>
          <w:sz w:val="20"/>
          <w:szCs w:val="20"/>
        </w:rPr>
      </w:pPr>
      <w:r w:rsidRPr="00492135">
        <w:rPr>
          <w:rFonts w:eastAsia="Times New Roman" w:cstheme="minorHAnsi"/>
          <w:color w:val="000000"/>
          <w:sz w:val="20"/>
          <w:szCs w:val="20"/>
        </w:rPr>
        <w:t>Department of Internal Medicine, National Hospital Organization Kinki-Chuo Chest Medical Center, 1180 Nagasone-cho, Kita-Ku, Sakai City, Osaka, 591-8555, Japan</w:t>
      </w:r>
    </w:p>
    <w:p w14:paraId="3518B03B" w14:textId="77777777" w:rsidR="003A5A09" w:rsidRPr="00492135" w:rsidRDefault="003A5A09" w:rsidP="003A5A09">
      <w:pPr>
        <w:spacing w:line="480" w:lineRule="auto"/>
        <w:rPr>
          <w:rFonts w:cstheme="minorHAnsi"/>
          <w:color w:val="000000"/>
          <w:sz w:val="20"/>
          <w:szCs w:val="20"/>
        </w:rPr>
      </w:pPr>
      <w:r w:rsidRPr="00492135">
        <w:rPr>
          <w:rFonts w:eastAsia="Times New Roman" w:cstheme="minorHAnsi"/>
          <w:color w:val="000000"/>
          <w:sz w:val="20"/>
          <w:szCs w:val="20"/>
        </w:rPr>
        <w:t>Tel: 072-252-3021, Fax: 072-252-3041</w:t>
      </w:r>
    </w:p>
    <w:p w14:paraId="0F2D9F07" w14:textId="77777777" w:rsidR="003A5A09" w:rsidRPr="00492135" w:rsidRDefault="003A5A09" w:rsidP="003A5A09">
      <w:pPr>
        <w:spacing w:line="480" w:lineRule="auto"/>
        <w:rPr>
          <w:rFonts w:cstheme="minorHAnsi"/>
          <w:color w:val="000000"/>
          <w:sz w:val="20"/>
          <w:szCs w:val="20"/>
        </w:rPr>
      </w:pPr>
      <w:r w:rsidRPr="00492135">
        <w:rPr>
          <w:rFonts w:eastAsia="Times New Roman" w:cstheme="minorHAnsi"/>
          <w:color w:val="000000"/>
          <w:sz w:val="20"/>
          <w:szCs w:val="20"/>
        </w:rPr>
        <w:t>Email: tamiya.akihiro.tz@mail.hosp.go.jp</w:t>
      </w:r>
    </w:p>
    <w:p w14:paraId="69B80145" w14:textId="5699838B" w:rsidR="003A5A09" w:rsidRDefault="003A5A09">
      <w:pPr>
        <w:spacing w:line="480" w:lineRule="auto"/>
        <w:rPr>
          <w:rFonts w:ascii="Times New Roman" w:eastAsia="Times New Roman" w:hAnsi="Times New Roman" w:cs="Times New Roman"/>
          <w:b/>
          <w:sz w:val="20"/>
        </w:rPr>
      </w:pPr>
    </w:p>
    <w:p w14:paraId="5A58499B" w14:textId="080C9E8C" w:rsidR="007D1B8D" w:rsidRDefault="007D1B8D">
      <w:pPr>
        <w:spacing w:line="480" w:lineRule="auto"/>
        <w:rPr>
          <w:rFonts w:ascii="Times New Roman" w:eastAsia="Times New Roman" w:hAnsi="Times New Roman" w:cs="Times New Roman"/>
          <w:b/>
          <w:sz w:val="20"/>
        </w:rPr>
      </w:pPr>
    </w:p>
    <w:p w14:paraId="672B0F2A" w14:textId="79F1A1D6" w:rsidR="007D1B8D" w:rsidRDefault="007D1B8D">
      <w:pPr>
        <w:spacing w:line="480" w:lineRule="auto"/>
        <w:rPr>
          <w:rFonts w:ascii="Times New Roman" w:eastAsia="Times New Roman" w:hAnsi="Times New Roman" w:cs="Times New Roman"/>
          <w:b/>
          <w:sz w:val="20"/>
        </w:rPr>
      </w:pPr>
    </w:p>
    <w:p w14:paraId="45DA77F1" w14:textId="69383349" w:rsidR="007D1B8D" w:rsidRDefault="007D1B8D">
      <w:pPr>
        <w:spacing w:line="480" w:lineRule="auto"/>
        <w:rPr>
          <w:rFonts w:ascii="Times New Roman" w:eastAsia="Times New Roman" w:hAnsi="Times New Roman" w:cs="Times New Roman"/>
          <w:b/>
          <w:sz w:val="20"/>
        </w:rPr>
      </w:pPr>
    </w:p>
    <w:p w14:paraId="2C147673" w14:textId="2810E814" w:rsidR="007D1B8D" w:rsidRDefault="007D1B8D">
      <w:pPr>
        <w:spacing w:line="480" w:lineRule="auto"/>
        <w:rPr>
          <w:rFonts w:ascii="Times New Roman" w:eastAsia="Times New Roman" w:hAnsi="Times New Roman" w:cs="Times New Roman"/>
          <w:b/>
          <w:sz w:val="20"/>
        </w:rPr>
      </w:pPr>
    </w:p>
    <w:p w14:paraId="2BA419FD" w14:textId="5185C6C4" w:rsidR="007D1B8D" w:rsidRDefault="007D1B8D">
      <w:pPr>
        <w:spacing w:line="480" w:lineRule="auto"/>
        <w:rPr>
          <w:rFonts w:ascii="Times New Roman" w:eastAsia="Times New Roman" w:hAnsi="Times New Roman" w:cs="Times New Roman"/>
          <w:b/>
          <w:sz w:val="20"/>
        </w:rPr>
      </w:pPr>
    </w:p>
    <w:p w14:paraId="14272E77" w14:textId="3E2E35DD" w:rsidR="007D1B8D" w:rsidRDefault="007D1B8D">
      <w:pPr>
        <w:spacing w:line="480" w:lineRule="auto"/>
        <w:rPr>
          <w:rFonts w:ascii="Times New Roman" w:eastAsia="Times New Roman" w:hAnsi="Times New Roman" w:cs="Times New Roman"/>
          <w:b/>
          <w:sz w:val="20"/>
        </w:rPr>
      </w:pPr>
    </w:p>
    <w:p w14:paraId="0DD546B1" w14:textId="4A059AE3" w:rsidR="007D1B8D" w:rsidRDefault="007D1B8D">
      <w:pPr>
        <w:spacing w:line="480" w:lineRule="auto"/>
        <w:rPr>
          <w:rFonts w:ascii="Times New Roman" w:eastAsia="Times New Roman" w:hAnsi="Times New Roman" w:cs="Times New Roman"/>
          <w:b/>
          <w:sz w:val="20"/>
        </w:rPr>
      </w:pPr>
    </w:p>
    <w:p w14:paraId="5413E535" w14:textId="77777777" w:rsidR="007D1B8D" w:rsidRDefault="007D1B8D">
      <w:pPr>
        <w:spacing w:line="480" w:lineRule="auto"/>
        <w:rPr>
          <w:rFonts w:ascii="Times New Roman" w:eastAsia="Times New Roman" w:hAnsi="Times New Roman" w:cs="Times New Roman"/>
          <w:b/>
          <w:sz w:val="20"/>
        </w:rPr>
      </w:pPr>
    </w:p>
    <w:p w14:paraId="1CB463DA" w14:textId="64BE0AFA" w:rsidR="00B37AE9" w:rsidRDefault="00000000">
      <w:pPr>
        <w:spacing w:line="48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>Supplementary Table 1</w:t>
      </w:r>
      <w:r>
        <w:rPr>
          <w:rFonts w:ascii="Times New Roman" w:eastAsia="Times New Roman" w:hAnsi="Times New Roman" w:cs="Times New Roman"/>
          <w:sz w:val="20"/>
        </w:rPr>
        <w:t xml:space="preserve"> Front-line treatment of RAM and DOC (n = 237)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197"/>
      </w:tblGrid>
      <w:tr w:rsidR="00B37AE9" w14:paraId="6503FA4F" w14:textId="77777777">
        <w:trPr>
          <w:trHeight w:val="454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675359" w14:textId="77777777" w:rsidR="00B37AE9" w:rsidRDefault="00B37AE9">
            <w:pPr>
              <w:rPr>
                <w:sz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F55D2A" w14:textId="77777777" w:rsidR="00B37AE9" w:rsidRDefault="00000000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n (%)</w:t>
            </w:r>
          </w:p>
        </w:tc>
      </w:tr>
      <w:tr w:rsidR="00B37AE9" w14:paraId="65767B23" w14:textId="77777777">
        <w:trPr>
          <w:trHeight w:val="454"/>
        </w:trPr>
        <w:tc>
          <w:tcPr>
            <w:tcW w:w="567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4A691AC" w14:textId="77777777" w:rsidR="00B37AE9" w:rsidRDefault="00000000">
            <w:pPr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Prior ICI+</w:t>
            </w:r>
          </w:p>
        </w:tc>
        <w:tc>
          <w:tcPr>
            <w:tcW w:w="3197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2F5FAE" w14:textId="77777777" w:rsidR="00B37AE9" w:rsidRDefault="00000000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 (39.7)</w:t>
            </w:r>
          </w:p>
        </w:tc>
      </w:tr>
      <w:tr w:rsidR="00B37AE9" w14:paraId="37DCF1DD" w14:textId="77777777">
        <w:trPr>
          <w:trHeight w:val="454"/>
        </w:trPr>
        <w:tc>
          <w:tcPr>
            <w:tcW w:w="56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5EE142" w14:textId="77777777" w:rsidR="00B37AE9" w:rsidRDefault="00000000">
            <w:pPr>
              <w:ind w:firstLine="200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Immunotherapy (monotherapy)</w:t>
            </w:r>
          </w:p>
        </w:tc>
        <w:tc>
          <w:tcPr>
            <w:tcW w:w="319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BF457E7" w14:textId="77777777" w:rsidR="00B37AE9" w:rsidRDefault="00000000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81 (34.2)</w:t>
            </w:r>
          </w:p>
        </w:tc>
      </w:tr>
      <w:tr w:rsidR="00B37AE9" w14:paraId="0A2EA061" w14:textId="77777777">
        <w:trPr>
          <w:trHeight w:val="454"/>
        </w:trPr>
        <w:tc>
          <w:tcPr>
            <w:tcW w:w="5670" w:type="dxa"/>
            <w:shd w:val="clear" w:color="auto" w:fill="auto"/>
            <w:vAlign w:val="center"/>
          </w:tcPr>
          <w:p w14:paraId="323786EC" w14:textId="77777777" w:rsidR="00B37AE9" w:rsidRDefault="00000000">
            <w:pPr>
              <w:ind w:firstLine="400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Nivolumab</w:t>
            </w:r>
          </w:p>
        </w:tc>
        <w:tc>
          <w:tcPr>
            <w:tcW w:w="3197" w:type="dxa"/>
            <w:shd w:val="clear" w:color="auto" w:fill="auto"/>
            <w:vAlign w:val="center"/>
          </w:tcPr>
          <w:p w14:paraId="173FEB32" w14:textId="77777777" w:rsidR="00B37AE9" w:rsidRDefault="00000000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52 (21.9)</w:t>
            </w:r>
          </w:p>
        </w:tc>
      </w:tr>
      <w:tr w:rsidR="00B37AE9" w14:paraId="05DBF963" w14:textId="77777777">
        <w:trPr>
          <w:trHeight w:val="454"/>
        </w:trPr>
        <w:tc>
          <w:tcPr>
            <w:tcW w:w="5670" w:type="dxa"/>
            <w:shd w:val="clear" w:color="auto" w:fill="auto"/>
            <w:vAlign w:val="center"/>
          </w:tcPr>
          <w:p w14:paraId="39CB5A18" w14:textId="77777777" w:rsidR="00B37AE9" w:rsidRDefault="00000000">
            <w:pPr>
              <w:ind w:firstLine="400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Pembrolizumab</w:t>
            </w:r>
          </w:p>
        </w:tc>
        <w:tc>
          <w:tcPr>
            <w:tcW w:w="3197" w:type="dxa"/>
            <w:shd w:val="clear" w:color="auto" w:fill="auto"/>
            <w:vAlign w:val="center"/>
          </w:tcPr>
          <w:p w14:paraId="494C0EAE" w14:textId="77777777" w:rsidR="00B37AE9" w:rsidRDefault="00000000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16 (6.8)</w:t>
            </w:r>
          </w:p>
        </w:tc>
      </w:tr>
      <w:tr w:rsidR="00B37AE9" w14:paraId="4C1E08B2" w14:textId="77777777">
        <w:trPr>
          <w:trHeight w:val="454"/>
        </w:trPr>
        <w:tc>
          <w:tcPr>
            <w:tcW w:w="5670" w:type="dxa"/>
            <w:shd w:val="clear" w:color="auto" w:fill="auto"/>
            <w:vAlign w:val="center"/>
          </w:tcPr>
          <w:p w14:paraId="62FB0C13" w14:textId="77777777" w:rsidR="00B37AE9" w:rsidRDefault="00000000">
            <w:pPr>
              <w:ind w:firstLine="400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Atezolizumab</w:t>
            </w:r>
          </w:p>
        </w:tc>
        <w:tc>
          <w:tcPr>
            <w:tcW w:w="3197" w:type="dxa"/>
            <w:shd w:val="clear" w:color="auto" w:fill="auto"/>
            <w:vAlign w:val="center"/>
          </w:tcPr>
          <w:p w14:paraId="540B2F2F" w14:textId="77777777" w:rsidR="00B37AE9" w:rsidRDefault="00000000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 (4.3)</w:t>
            </w:r>
          </w:p>
        </w:tc>
      </w:tr>
      <w:tr w:rsidR="00B37AE9" w14:paraId="6D161096" w14:textId="77777777">
        <w:trPr>
          <w:trHeight w:val="454"/>
        </w:trPr>
        <w:tc>
          <w:tcPr>
            <w:tcW w:w="5670" w:type="dxa"/>
            <w:shd w:val="clear" w:color="auto" w:fill="auto"/>
            <w:vAlign w:val="center"/>
          </w:tcPr>
          <w:p w14:paraId="374080B6" w14:textId="77777777" w:rsidR="00B37AE9" w:rsidRDefault="00000000">
            <w:pPr>
              <w:ind w:firstLine="400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Durvalumab</w:t>
            </w:r>
          </w:p>
        </w:tc>
        <w:tc>
          <w:tcPr>
            <w:tcW w:w="3197" w:type="dxa"/>
            <w:shd w:val="clear" w:color="auto" w:fill="auto"/>
            <w:vAlign w:val="center"/>
          </w:tcPr>
          <w:p w14:paraId="40969D1C" w14:textId="77777777" w:rsidR="00B37AE9" w:rsidRDefault="00000000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 (0.8)</w:t>
            </w:r>
          </w:p>
        </w:tc>
      </w:tr>
      <w:tr w:rsidR="00B37AE9" w14:paraId="6AEB6091" w14:textId="77777777">
        <w:trPr>
          <w:trHeight w:val="454"/>
        </w:trPr>
        <w:tc>
          <w:tcPr>
            <w:tcW w:w="567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2874D65" w14:textId="77777777" w:rsidR="00B37AE9" w:rsidRDefault="00000000">
            <w:pPr>
              <w:ind w:firstLine="400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Avelumab</w:t>
            </w:r>
          </w:p>
        </w:tc>
        <w:tc>
          <w:tcPr>
            <w:tcW w:w="319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BB0DBC2" w14:textId="77777777" w:rsidR="00B37AE9" w:rsidRDefault="00000000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 (0.4)</w:t>
            </w:r>
          </w:p>
        </w:tc>
      </w:tr>
      <w:tr w:rsidR="00B37AE9" w14:paraId="79E6103A" w14:textId="77777777">
        <w:trPr>
          <w:trHeight w:val="454"/>
        </w:trPr>
        <w:tc>
          <w:tcPr>
            <w:tcW w:w="56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2E48945" w14:textId="77777777" w:rsidR="00B37AE9" w:rsidRDefault="00000000">
            <w:pPr>
              <w:ind w:firstLine="100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Chemotherapy plus immunotherapy</w:t>
            </w:r>
          </w:p>
        </w:tc>
        <w:tc>
          <w:tcPr>
            <w:tcW w:w="319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472F9CC" w14:textId="77777777" w:rsidR="00B37AE9" w:rsidRDefault="00000000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 (5.5)</w:t>
            </w:r>
          </w:p>
        </w:tc>
      </w:tr>
      <w:tr w:rsidR="00B37AE9" w14:paraId="195ADBF2" w14:textId="77777777">
        <w:trPr>
          <w:trHeight w:val="454"/>
        </w:trPr>
        <w:tc>
          <w:tcPr>
            <w:tcW w:w="5670" w:type="dxa"/>
            <w:shd w:val="clear" w:color="auto" w:fill="auto"/>
            <w:vAlign w:val="center"/>
          </w:tcPr>
          <w:p w14:paraId="0A096A7F" w14:textId="77777777" w:rsidR="00B37AE9" w:rsidRDefault="00000000">
            <w:pPr>
              <w:ind w:firstLine="400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Pembrolizumab</w:t>
            </w:r>
          </w:p>
        </w:tc>
        <w:tc>
          <w:tcPr>
            <w:tcW w:w="3197" w:type="dxa"/>
            <w:shd w:val="clear" w:color="auto" w:fill="auto"/>
            <w:vAlign w:val="center"/>
          </w:tcPr>
          <w:p w14:paraId="2647537E" w14:textId="77777777" w:rsidR="00B37AE9" w:rsidRDefault="00000000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 (3.8)</w:t>
            </w:r>
          </w:p>
        </w:tc>
      </w:tr>
      <w:tr w:rsidR="00B37AE9" w14:paraId="53DD6E9F" w14:textId="77777777">
        <w:trPr>
          <w:trHeight w:val="454"/>
        </w:trPr>
        <w:tc>
          <w:tcPr>
            <w:tcW w:w="567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DB49E37" w14:textId="77777777" w:rsidR="00B37AE9" w:rsidRDefault="00000000">
            <w:pPr>
              <w:ind w:firstLine="400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Atezolizumab</w:t>
            </w:r>
          </w:p>
        </w:tc>
        <w:tc>
          <w:tcPr>
            <w:tcW w:w="319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52692E0" w14:textId="77777777" w:rsidR="00B37AE9" w:rsidRDefault="00000000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 (1.7)</w:t>
            </w:r>
          </w:p>
        </w:tc>
      </w:tr>
      <w:tr w:rsidR="00B37AE9" w14:paraId="0B2CEBE9" w14:textId="77777777">
        <w:trPr>
          <w:trHeight w:val="454"/>
        </w:trPr>
        <w:tc>
          <w:tcPr>
            <w:tcW w:w="567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E99C08" w14:textId="77777777" w:rsidR="00B37AE9" w:rsidRDefault="00000000">
            <w:pPr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Prior ICI− </w:t>
            </w:r>
          </w:p>
        </w:tc>
        <w:tc>
          <w:tcPr>
            <w:tcW w:w="319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13C9AE" w14:textId="77777777" w:rsidR="00B37AE9" w:rsidRDefault="00000000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143 (60.3)</w:t>
            </w:r>
          </w:p>
        </w:tc>
      </w:tr>
      <w:tr w:rsidR="00B37AE9" w14:paraId="396D6D3A" w14:textId="77777777">
        <w:trPr>
          <w:trHeight w:val="454"/>
        </w:trPr>
        <w:tc>
          <w:tcPr>
            <w:tcW w:w="56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562F900" w14:textId="38809173" w:rsidR="00B37AE9" w:rsidRDefault="00B853E8">
            <w:pPr>
              <w:ind w:firstLine="200"/>
              <w:jc w:val="both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Cytotoxic chemotherapy</w:t>
            </w:r>
          </w:p>
        </w:tc>
        <w:tc>
          <w:tcPr>
            <w:tcW w:w="319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0F7470C" w14:textId="77777777" w:rsidR="00B37AE9" w:rsidRDefault="00000000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115 (48.5)</w:t>
            </w:r>
          </w:p>
        </w:tc>
      </w:tr>
      <w:tr w:rsidR="00B37AE9" w14:paraId="77FCAED9" w14:textId="77777777">
        <w:trPr>
          <w:trHeight w:val="454"/>
        </w:trPr>
        <w:tc>
          <w:tcPr>
            <w:tcW w:w="5670" w:type="dxa"/>
            <w:shd w:val="clear" w:color="auto" w:fill="auto"/>
            <w:vAlign w:val="center"/>
          </w:tcPr>
          <w:p w14:paraId="36042A0E" w14:textId="77777777" w:rsidR="00B37AE9" w:rsidRDefault="00000000">
            <w:pPr>
              <w:ind w:firstLine="400"/>
              <w:jc w:val="both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Platinum doublets</w:t>
            </w:r>
          </w:p>
        </w:tc>
        <w:tc>
          <w:tcPr>
            <w:tcW w:w="3197" w:type="dxa"/>
            <w:shd w:val="clear" w:color="auto" w:fill="auto"/>
            <w:vAlign w:val="center"/>
          </w:tcPr>
          <w:p w14:paraId="58CE28B6" w14:textId="77777777" w:rsidR="00B37AE9" w:rsidRDefault="00000000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53 (22.4)</w:t>
            </w:r>
          </w:p>
        </w:tc>
      </w:tr>
      <w:tr w:rsidR="00B37AE9" w14:paraId="2BB57DC8" w14:textId="77777777">
        <w:trPr>
          <w:trHeight w:val="454"/>
        </w:trPr>
        <w:tc>
          <w:tcPr>
            <w:tcW w:w="5670" w:type="dxa"/>
            <w:shd w:val="clear" w:color="auto" w:fill="auto"/>
            <w:vAlign w:val="center"/>
          </w:tcPr>
          <w:p w14:paraId="33CCA7C7" w14:textId="77777777" w:rsidR="00B37AE9" w:rsidRDefault="00000000">
            <w:pPr>
              <w:ind w:firstLine="400"/>
              <w:jc w:val="both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Platinum doublets or monotherapy plus bevacizumab</w:t>
            </w:r>
          </w:p>
        </w:tc>
        <w:tc>
          <w:tcPr>
            <w:tcW w:w="3197" w:type="dxa"/>
            <w:shd w:val="clear" w:color="auto" w:fill="auto"/>
            <w:vAlign w:val="center"/>
          </w:tcPr>
          <w:p w14:paraId="4D4D5B54" w14:textId="77777777" w:rsidR="00B37AE9" w:rsidRDefault="00000000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46 (19.3)</w:t>
            </w:r>
          </w:p>
        </w:tc>
      </w:tr>
      <w:tr w:rsidR="00B37AE9" w14:paraId="72F63C1E" w14:textId="77777777">
        <w:trPr>
          <w:trHeight w:val="454"/>
        </w:trPr>
        <w:tc>
          <w:tcPr>
            <w:tcW w:w="567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CA73A72" w14:textId="77777777" w:rsidR="00B37AE9" w:rsidRDefault="00000000">
            <w:pPr>
              <w:ind w:firstLine="400"/>
              <w:jc w:val="both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Monotherapy</w:t>
            </w:r>
          </w:p>
        </w:tc>
        <w:tc>
          <w:tcPr>
            <w:tcW w:w="319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67A0A9E" w14:textId="77777777" w:rsidR="00B37AE9" w:rsidRDefault="00000000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16 (6.8)</w:t>
            </w:r>
          </w:p>
        </w:tc>
      </w:tr>
      <w:tr w:rsidR="00B37AE9" w14:paraId="7D9F64B4" w14:textId="77777777">
        <w:trPr>
          <w:trHeight w:val="454"/>
        </w:trPr>
        <w:tc>
          <w:tcPr>
            <w:tcW w:w="56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B6D3A3D" w14:textId="77777777" w:rsidR="00B37AE9" w:rsidRDefault="00000000">
            <w:pPr>
              <w:ind w:firstLine="200"/>
              <w:jc w:val="both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EGFR inhibitors</w:t>
            </w:r>
          </w:p>
        </w:tc>
        <w:tc>
          <w:tcPr>
            <w:tcW w:w="319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860335D" w14:textId="77777777" w:rsidR="00B37AE9" w:rsidRDefault="00000000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28 (11.8)</w:t>
            </w:r>
          </w:p>
        </w:tc>
      </w:tr>
      <w:tr w:rsidR="00B37AE9" w14:paraId="291084CF" w14:textId="77777777">
        <w:trPr>
          <w:trHeight w:val="454"/>
        </w:trPr>
        <w:tc>
          <w:tcPr>
            <w:tcW w:w="5670" w:type="dxa"/>
            <w:shd w:val="clear" w:color="auto" w:fill="auto"/>
            <w:vAlign w:val="center"/>
          </w:tcPr>
          <w:p w14:paraId="66E73923" w14:textId="77777777" w:rsidR="00B37AE9" w:rsidRDefault="00000000">
            <w:pPr>
              <w:ind w:firstLine="400"/>
              <w:jc w:val="both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Erlotinib</w:t>
            </w:r>
          </w:p>
        </w:tc>
        <w:tc>
          <w:tcPr>
            <w:tcW w:w="3197" w:type="dxa"/>
            <w:shd w:val="clear" w:color="auto" w:fill="auto"/>
            <w:vAlign w:val="center"/>
          </w:tcPr>
          <w:p w14:paraId="4F87D559" w14:textId="77777777" w:rsidR="00B37AE9" w:rsidRDefault="00000000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 (1.7)</w:t>
            </w:r>
          </w:p>
        </w:tc>
      </w:tr>
      <w:tr w:rsidR="00B37AE9" w14:paraId="2BFEC001" w14:textId="77777777">
        <w:trPr>
          <w:trHeight w:val="454"/>
        </w:trPr>
        <w:tc>
          <w:tcPr>
            <w:tcW w:w="5670" w:type="dxa"/>
            <w:shd w:val="clear" w:color="auto" w:fill="auto"/>
            <w:vAlign w:val="center"/>
          </w:tcPr>
          <w:p w14:paraId="79C3CBFE" w14:textId="77777777" w:rsidR="00B37AE9" w:rsidRDefault="00000000">
            <w:pPr>
              <w:ind w:firstLine="400"/>
              <w:jc w:val="both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Afatinib</w:t>
            </w:r>
          </w:p>
        </w:tc>
        <w:tc>
          <w:tcPr>
            <w:tcW w:w="3197" w:type="dxa"/>
            <w:shd w:val="clear" w:color="auto" w:fill="auto"/>
            <w:vAlign w:val="center"/>
          </w:tcPr>
          <w:p w14:paraId="6775C476" w14:textId="77777777" w:rsidR="00B37AE9" w:rsidRDefault="00000000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 (2.5)</w:t>
            </w:r>
          </w:p>
        </w:tc>
      </w:tr>
      <w:tr w:rsidR="00B37AE9" w14:paraId="4BE11C0E" w14:textId="77777777">
        <w:trPr>
          <w:trHeight w:val="454"/>
        </w:trPr>
        <w:tc>
          <w:tcPr>
            <w:tcW w:w="5670" w:type="dxa"/>
            <w:shd w:val="clear" w:color="auto" w:fill="auto"/>
            <w:vAlign w:val="center"/>
          </w:tcPr>
          <w:p w14:paraId="6718B7BC" w14:textId="77777777" w:rsidR="00B37AE9" w:rsidRDefault="00000000">
            <w:pPr>
              <w:ind w:firstLine="400"/>
              <w:jc w:val="both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Osimerutinib</w:t>
            </w:r>
          </w:p>
        </w:tc>
        <w:tc>
          <w:tcPr>
            <w:tcW w:w="3197" w:type="dxa"/>
            <w:shd w:val="clear" w:color="auto" w:fill="auto"/>
            <w:vAlign w:val="center"/>
          </w:tcPr>
          <w:p w14:paraId="3A4D8B2D" w14:textId="77777777" w:rsidR="00B37AE9" w:rsidRDefault="00000000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17 (7.2)</w:t>
            </w:r>
          </w:p>
        </w:tc>
      </w:tr>
      <w:tr w:rsidR="00B37AE9" w14:paraId="5EA08CB7" w14:textId="77777777">
        <w:trPr>
          <w:trHeight w:val="454"/>
        </w:trPr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FE35B5" w14:textId="77777777" w:rsidR="00B37AE9" w:rsidRDefault="00000000">
            <w:pPr>
              <w:ind w:firstLine="400"/>
              <w:jc w:val="both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Other</w:t>
            </w:r>
          </w:p>
        </w:tc>
        <w:tc>
          <w:tcPr>
            <w:tcW w:w="31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5F1474" w14:textId="77777777" w:rsidR="00B37AE9" w:rsidRDefault="00000000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 (0.4)</w:t>
            </w:r>
          </w:p>
        </w:tc>
      </w:tr>
    </w:tbl>
    <w:p w14:paraId="50433BDF" w14:textId="77777777" w:rsidR="00B37AE9" w:rsidRDefault="00000000">
      <w:pPr>
        <w:rPr>
          <w:sz w:val="20"/>
        </w:rPr>
      </w:pPr>
      <w:r>
        <w:rPr>
          <w:rFonts w:ascii="Times New Roman" w:eastAsia="Times New Roman" w:hAnsi="Times New Roman" w:cs="Times New Roman"/>
          <w:sz w:val="20"/>
        </w:rPr>
        <w:t>RAM, ramucirumab; DOC, docetaxel; ICI, immune checkpoint inhibitor; EGFR, epidermal growth factor receptor</w:t>
      </w:r>
    </w:p>
    <w:p w14:paraId="3E5CA95C" w14:textId="77777777" w:rsidR="00B37AE9" w:rsidRDefault="00000000">
      <w:pPr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sz w:val="20"/>
        </w:rPr>
        <w:br w:type="page"/>
      </w:r>
    </w:p>
    <w:p w14:paraId="03DA15FA" w14:textId="77777777" w:rsidR="00B37AE9" w:rsidRDefault="00000000">
      <w:pPr>
        <w:spacing w:line="480" w:lineRule="auto"/>
        <w:rPr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 xml:space="preserve">Supplementary Table 2 </w:t>
      </w:r>
      <w:r>
        <w:rPr>
          <w:rFonts w:ascii="Times New Roman" w:eastAsia="Times New Roman" w:hAnsi="Times New Roman" w:cs="Times New Roman"/>
          <w:sz w:val="20"/>
        </w:rPr>
        <w:t>Response to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RAM and DOC with and without past ICI</w:t>
      </w: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77"/>
        <w:gridCol w:w="2054"/>
        <w:gridCol w:w="2054"/>
        <w:gridCol w:w="1641"/>
      </w:tblGrid>
      <w:tr w:rsidR="00B37AE9" w14:paraId="781424D4" w14:textId="77777777">
        <w:trPr>
          <w:trHeight w:val="456"/>
        </w:trPr>
        <w:tc>
          <w:tcPr>
            <w:tcW w:w="32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089CC58" w14:textId="77777777" w:rsidR="00B37AE9" w:rsidRDefault="00B37AE9">
            <w:pPr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713279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Past ICI</w:t>
            </w:r>
          </w:p>
          <w:p w14:paraId="0EAA1205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(N = 123)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81F6ED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No ICI</w:t>
            </w:r>
          </w:p>
          <w:p w14:paraId="6DEAA2E8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(N = 114)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D78A30D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P-value</w:t>
            </w:r>
          </w:p>
        </w:tc>
      </w:tr>
      <w:tr w:rsidR="00B37AE9" w14:paraId="4E55AC2F" w14:textId="77777777">
        <w:trPr>
          <w:trHeight w:val="456"/>
        </w:trPr>
        <w:tc>
          <w:tcPr>
            <w:tcW w:w="327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7D5C391" w14:textId="77777777" w:rsidR="00B37AE9" w:rsidRDefault="00000000">
            <w:pPr>
              <w:spacing w:line="48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Objective response rate, n (%)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EBC508B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34 (28.6)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96AA72F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24 (21.6)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B9C82E0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0.225</w:t>
            </w:r>
          </w:p>
        </w:tc>
      </w:tr>
      <w:tr w:rsidR="00B37AE9" w14:paraId="57857B17" w14:textId="77777777">
        <w:trPr>
          <w:trHeight w:val="456"/>
        </w:trPr>
        <w:tc>
          <w:tcPr>
            <w:tcW w:w="32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BB54A0" w14:textId="77777777" w:rsidR="00B37AE9" w:rsidRDefault="00000000">
            <w:pPr>
              <w:spacing w:line="48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Disease control rate, n (%)</w:t>
            </w:r>
          </w:p>
        </w:tc>
        <w:tc>
          <w:tcPr>
            <w:tcW w:w="205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AA57E3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80 (67.2)</w:t>
            </w:r>
          </w:p>
        </w:tc>
        <w:tc>
          <w:tcPr>
            <w:tcW w:w="205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FA9088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67 (60.4)</w:t>
            </w:r>
          </w:p>
        </w:tc>
        <w:tc>
          <w:tcPr>
            <w:tcW w:w="164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878EFE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0.279</w:t>
            </w:r>
          </w:p>
        </w:tc>
      </w:tr>
      <w:tr w:rsidR="00B37AE9" w14:paraId="6BFB591E" w14:textId="77777777">
        <w:trPr>
          <w:trHeight w:val="456"/>
        </w:trPr>
        <w:tc>
          <w:tcPr>
            <w:tcW w:w="32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D012DF" w14:textId="77777777" w:rsidR="00B37AE9" w:rsidRDefault="00000000">
            <w:pPr>
              <w:spacing w:line="48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Best response, n (%)</w:t>
            </w:r>
          </w:p>
        </w:tc>
        <w:tc>
          <w:tcPr>
            <w:tcW w:w="2054" w:type="dxa"/>
            <w:tcBorders>
              <w:left w:val="nil"/>
              <w:right w:val="nil"/>
            </w:tcBorders>
            <w:shd w:val="clear" w:color="auto" w:fill="auto"/>
          </w:tcPr>
          <w:p w14:paraId="6770D5F8" w14:textId="77777777" w:rsidR="00B37AE9" w:rsidRDefault="00B37AE9">
            <w:pPr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2054" w:type="dxa"/>
            <w:tcBorders>
              <w:left w:val="nil"/>
              <w:right w:val="nil"/>
            </w:tcBorders>
            <w:shd w:val="clear" w:color="auto" w:fill="auto"/>
          </w:tcPr>
          <w:p w14:paraId="6ECD6694" w14:textId="77777777" w:rsidR="00B37AE9" w:rsidRDefault="00B37AE9">
            <w:pPr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1641" w:type="dxa"/>
            <w:tcBorders>
              <w:left w:val="nil"/>
              <w:right w:val="nil"/>
            </w:tcBorders>
            <w:shd w:val="clear" w:color="auto" w:fill="auto"/>
          </w:tcPr>
          <w:p w14:paraId="58E533A6" w14:textId="77777777" w:rsidR="00B37AE9" w:rsidRDefault="00B37AE9">
            <w:pPr>
              <w:spacing w:line="480" w:lineRule="auto"/>
              <w:jc w:val="center"/>
              <w:rPr>
                <w:sz w:val="20"/>
              </w:rPr>
            </w:pPr>
          </w:p>
        </w:tc>
      </w:tr>
      <w:tr w:rsidR="00B37AE9" w14:paraId="0B60B2BB" w14:textId="77777777">
        <w:trPr>
          <w:trHeight w:val="456"/>
        </w:trPr>
        <w:tc>
          <w:tcPr>
            <w:tcW w:w="32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96D0BB" w14:textId="77777777" w:rsidR="00B37AE9" w:rsidRDefault="00000000">
            <w:pPr>
              <w:spacing w:line="480" w:lineRule="auto"/>
              <w:ind w:firstLine="240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Complete response</w:t>
            </w:r>
          </w:p>
        </w:tc>
        <w:tc>
          <w:tcPr>
            <w:tcW w:w="205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D26116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 (0.8)</w:t>
            </w:r>
          </w:p>
        </w:tc>
        <w:tc>
          <w:tcPr>
            <w:tcW w:w="205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E369F3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 (0.9)</w:t>
            </w:r>
          </w:p>
        </w:tc>
        <w:tc>
          <w:tcPr>
            <w:tcW w:w="1641" w:type="dxa"/>
            <w:tcBorders>
              <w:left w:val="nil"/>
              <w:right w:val="nil"/>
            </w:tcBorders>
            <w:shd w:val="clear" w:color="auto" w:fill="auto"/>
          </w:tcPr>
          <w:p w14:paraId="34646AC4" w14:textId="77777777" w:rsidR="00B37AE9" w:rsidRDefault="00B37AE9">
            <w:pPr>
              <w:spacing w:line="480" w:lineRule="auto"/>
              <w:jc w:val="center"/>
              <w:rPr>
                <w:sz w:val="20"/>
              </w:rPr>
            </w:pPr>
          </w:p>
        </w:tc>
      </w:tr>
      <w:tr w:rsidR="00B37AE9" w14:paraId="77682F92" w14:textId="77777777">
        <w:trPr>
          <w:trHeight w:val="456"/>
        </w:trPr>
        <w:tc>
          <w:tcPr>
            <w:tcW w:w="32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B55507" w14:textId="77777777" w:rsidR="00B37AE9" w:rsidRDefault="00000000">
            <w:pPr>
              <w:spacing w:line="480" w:lineRule="auto"/>
              <w:ind w:firstLine="240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Partial response</w:t>
            </w:r>
          </w:p>
        </w:tc>
        <w:tc>
          <w:tcPr>
            <w:tcW w:w="205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8B9DA6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33 (26.8)</w:t>
            </w:r>
          </w:p>
        </w:tc>
        <w:tc>
          <w:tcPr>
            <w:tcW w:w="205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2BB44E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 (20.2)</w:t>
            </w:r>
          </w:p>
        </w:tc>
        <w:tc>
          <w:tcPr>
            <w:tcW w:w="1641" w:type="dxa"/>
            <w:tcBorders>
              <w:left w:val="nil"/>
              <w:right w:val="nil"/>
            </w:tcBorders>
            <w:shd w:val="clear" w:color="auto" w:fill="auto"/>
          </w:tcPr>
          <w:p w14:paraId="64B10DB8" w14:textId="77777777" w:rsidR="00B37AE9" w:rsidRDefault="00B37AE9">
            <w:pPr>
              <w:spacing w:line="480" w:lineRule="auto"/>
              <w:jc w:val="center"/>
              <w:rPr>
                <w:sz w:val="20"/>
              </w:rPr>
            </w:pPr>
          </w:p>
        </w:tc>
      </w:tr>
      <w:tr w:rsidR="00B37AE9" w14:paraId="39FEE61D" w14:textId="77777777">
        <w:trPr>
          <w:trHeight w:val="456"/>
        </w:trPr>
        <w:tc>
          <w:tcPr>
            <w:tcW w:w="32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F5EB2C" w14:textId="77777777" w:rsidR="00B37AE9" w:rsidRDefault="00000000">
            <w:pPr>
              <w:spacing w:line="480" w:lineRule="auto"/>
              <w:ind w:firstLine="240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Stable disease</w:t>
            </w:r>
          </w:p>
        </w:tc>
        <w:tc>
          <w:tcPr>
            <w:tcW w:w="205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4BEFFE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46 (37.4)</w:t>
            </w:r>
          </w:p>
        </w:tc>
        <w:tc>
          <w:tcPr>
            <w:tcW w:w="205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42CA99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43 (37.7)</w:t>
            </w:r>
          </w:p>
        </w:tc>
        <w:tc>
          <w:tcPr>
            <w:tcW w:w="1641" w:type="dxa"/>
            <w:tcBorders>
              <w:left w:val="nil"/>
              <w:right w:val="nil"/>
            </w:tcBorders>
            <w:shd w:val="clear" w:color="auto" w:fill="auto"/>
          </w:tcPr>
          <w:p w14:paraId="40633BEE" w14:textId="77777777" w:rsidR="00B37AE9" w:rsidRDefault="00B37AE9">
            <w:pPr>
              <w:spacing w:line="480" w:lineRule="auto"/>
              <w:jc w:val="center"/>
              <w:rPr>
                <w:sz w:val="20"/>
              </w:rPr>
            </w:pPr>
          </w:p>
        </w:tc>
      </w:tr>
      <w:tr w:rsidR="00B37AE9" w14:paraId="718A380D" w14:textId="77777777">
        <w:trPr>
          <w:trHeight w:val="456"/>
        </w:trPr>
        <w:tc>
          <w:tcPr>
            <w:tcW w:w="327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CEB969" w14:textId="77777777" w:rsidR="00B37AE9" w:rsidRDefault="00000000">
            <w:pPr>
              <w:spacing w:line="480" w:lineRule="auto"/>
              <w:ind w:firstLine="240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Progressive disease</w:t>
            </w:r>
          </w:p>
        </w:tc>
        <w:tc>
          <w:tcPr>
            <w:tcW w:w="205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ABA093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39 (31.7)</w:t>
            </w:r>
          </w:p>
        </w:tc>
        <w:tc>
          <w:tcPr>
            <w:tcW w:w="205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3C006C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44 (38.6)</w:t>
            </w:r>
          </w:p>
        </w:tc>
        <w:tc>
          <w:tcPr>
            <w:tcW w:w="1641" w:type="dxa"/>
            <w:tcBorders>
              <w:left w:val="nil"/>
              <w:right w:val="nil"/>
            </w:tcBorders>
            <w:shd w:val="clear" w:color="auto" w:fill="auto"/>
          </w:tcPr>
          <w:p w14:paraId="46E8F19F" w14:textId="77777777" w:rsidR="00B37AE9" w:rsidRDefault="00B37AE9">
            <w:pPr>
              <w:spacing w:line="480" w:lineRule="auto"/>
              <w:jc w:val="center"/>
              <w:rPr>
                <w:sz w:val="20"/>
              </w:rPr>
            </w:pPr>
          </w:p>
        </w:tc>
      </w:tr>
      <w:tr w:rsidR="00B37AE9" w14:paraId="4E746AC1" w14:textId="77777777">
        <w:trPr>
          <w:trHeight w:val="456"/>
        </w:trPr>
        <w:tc>
          <w:tcPr>
            <w:tcW w:w="327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953C03" w14:textId="77777777" w:rsidR="00B37AE9" w:rsidRDefault="00000000">
            <w:pPr>
              <w:spacing w:line="480" w:lineRule="auto"/>
              <w:ind w:firstLine="240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Not evaluated</w:t>
            </w:r>
          </w:p>
        </w:tc>
        <w:tc>
          <w:tcPr>
            <w:tcW w:w="205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2C3182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 (3.3)</w:t>
            </w:r>
          </w:p>
        </w:tc>
        <w:tc>
          <w:tcPr>
            <w:tcW w:w="205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7409B7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 (2.6)</w:t>
            </w:r>
          </w:p>
        </w:tc>
        <w:tc>
          <w:tcPr>
            <w:tcW w:w="164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EA581E2" w14:textId="77777777" w:rsidR="00B37AE9" w:rsidRDefault="00B37AE9">
            <w:pPr>
              <w:spacing w:line="480" w:lineRule="auto"/>
              <w:jc w:val="center"/>
              <w:rPr>
                <w:sz w:val="20"/>
              </w:rPr>
            </w:pPr>
          </w:p>
        </w:tc>
      </w:tr>
    </w:tbl>
    <w:p w14:paraId="63305C08" w14:textId="77777777" w:rsidR="00B37AE9" w:rsidRDefault="00000000">
      <w:pPr>
        <w:spacing w:line="48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RAM, ramucirumab; DOC, docetaxel ; ICI, immune check inhibitor</w:t>
      </w:r>
    </w:p>
    <w:p w14:paraId="51478AA7" w14:textId="77777777" w:rsidR="00B37AE9" w:rsidRDefault="00000000">
      <w:pPr>
        <w:spacing w:after="200" w:line="48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br w:type="page"/>
      </w:r>
    </w:p>
    <w:p w14:paraId="409F0A26" w14:textId="77777777" w:rsidR="00B37AE9" w:rsidRDefault="00000000">
      <w:pPr>
        <w:spacing w:line="480" w:lineRule="auto"/>
        <w:rPr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>Supplementary Table 3</w:t>
      </w:r>
      <w:r>
        <w:rPr>
          <w:rFonts w:ascii="Times New Roman" w:eastAsia="Times New Roman" w:hAnsi="Times New Roman" w:cs="Times New Roman"/>
          <w:sz w:val="20"/>
        </w:rPr>
        <w:t xml:space="preserve"> Univariate and multivariate analyses of OS in all patients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0"/>
        <w:gridCol w:w="1967"/>
        <w:gridCol w:w="1070"/>
        <w:gridCol w:w="1975"/>
        <w:gridCol w:w="1074"/>
      </w:tblGrid>
      <w:tr w:rsidR="00B37AE9" w14:paraId="417D7878" w14:textId="77777777">
        <w:trPr>
          <w:trHeight w:val="722"/>
        </w:trPr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5539B5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Factor</w:t>
            </w:r>
          </w:p>
        </w:tc>
        <w:tc>
          <w:tcPr>
            <w:tcW w:w="30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3AFCB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Univariate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BCCD2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Multivariate</w:t>
            </w:r>
          </w:p>
        </w:tc>
      </w:tr>
      <w:tr w:rsidR="00B37AE9" w14:paraId="56E22EC8" w14:textId="77777777">
        <w:trPr>
          <w:trHeight w:val="722"/>
        </w:trPr>
        <w:tc>
          <w:tcPr>
            <w:tcW w:w="294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8367D1" w14:textId="77777777" w:rsidR="00B37AE9" w:rsidRDefault="00B37AE9"/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276B3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HR (95% CI)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0663A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P-value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E9790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HR (95% CI)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936A5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P-value</w:t>
            </w:r>
          </w:p>
        </w:tc>
      </w:tr>
      <w:tr w:rsidR="00B37AE9" w14:paraId="72065E99" w14:textId="77777777">
        <w:trPr>
          <w:trHeight w:val="722"/>
        </w:trPr>
        <w:tc>
          <w:tcPr>
            <w:tcW w:w="29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299C80" w14:textId="77777777" w:rsidR="00B37AE9" w:rsidRDefault="00000000">
            <w:pPr>
              <w:spacing w:line="480" w:lineRule="auto"/>
              <w:ind w:firstLine="236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Age (≥ 70 vs. &lt; 70)</w:t>
            </w:r>
          </w:p>
        </w:tc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14:paraId="5D65BF47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1.01 (0.71–1.43)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vAlign w:val="center"/>
          </w:tcPr>
          <w:p w14:paraId="2367EC66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0.950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vAlign w:val="center"/>
          </w:tcPr>
          <w:p w14:paraId="64E4C438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0.87 (0.60–1.27)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vAlign w:val="center"/>
          </w:tcPr>
          <w:p w14:paraId="374876E7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0.460</w:t>
            </w:r>
          </w:p>
        </w:tc>
      </w:tr>
      <w:tr w:rsidR="00B37AE9" w14:paraId="58C5EA9E" w14:textId="77777777">
        <w:trPr>
          <w:trHeight w:val="722"/>
        </w:trPr>
        <w:tc>
          <w:tcPr>
            <w:tcW w:w="2940" w:type="dxa"/>
            <w:shd w:val="clear" w:color="auto" w:fill="auto"/>
            <w:vAlign w:val="center"/>
          </w:tcPr>
          <w:p w14:paraId="7967F5E3" w14:textId="77777777" w:rsidR="00B37AE9" w:rsidRDefault="00000000">
            <w:pPr>
              <w:spacing w:line="480" w:lineRule="auto"/>
              <w:rPr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 xml:space="preserve">　</w:t>
            </w:r>
            <w:r>
              <w:rPr>
                <w:rFonts w:ascii="Times New Roman" w:eastAsia="Times New Roman" w:hAnsi="Times New Roman" w:cs="Times New Roman"/>
                <w:sz w:val="20"/>
              </w:rPr>
              <w:t>Sex (male vs. female)</w:t>
            </w:r>
          </w:p>
        </w:tc>
        <w:tc>
          <w:tcPr>
            <w:tcW w:w="1967" w:type="dxa"/>
            <w:vAlign w:val="center"/>
          </w:tcPr>
          <w:p w14:paraId="2450EB4B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1.35 (0.96–1.90)</w:t>
            </w:r>
          </w:p>
        </w:tc>
        <w:tc>
          <w:tcPr>
            <w:tcW w:w="1070" w:type="dxa"/>
            <w:vAlign w:val="center"/>
          </w:tcPr>
          <w:p w14:paraId="4F5F7064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0.087</w:t>
            </w:r>
          </w:p>
        </w:tc>
        <w:tc>
          <w:tcPr>
            <w:tcW w:w="1975" w:type="dxa"/>
            <w:vAlign w:val="center"/>
          </w:tcPr>
          <w:p w14:paraId="1B67857F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1.31 (0.83–2.06)</w:t>
            </w:r>
          </w:p>
        </w:tc>
        <w:tc>
          <w:tcPr>
            <w:tcW w:w="1074" w:type="dxa"/>
            <w:vAlign w:val="center"/>
          </w:tcPr>
          <w:p w14:paraId="6D791274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0.247</w:t>
            </w:r>
          </w:p>
        </w:tc>
      </w:tr>
      <w:tr w:rsidR="00B37AE9" w14:paraId="3BB32F65" w14:textId="77777777">
        <w:trPr>
          <w:trHeight w:val="722"/>
        </w:trPr>
        <w:tc>
          <w:tcPr>
            <w:tcW w:w="2940" w:type="dxa"/>
            <w:shd w:val="clear" w:color="auto" w:fill="auto"/>
            <w:vAlign w:val="center"/>
          </w:tcPr>
          <w:p w14:paraId="3BC6A09E" w14:textId="77777777" w:rsidR="00B37AE9" w:rsidRDefault="00000000">
            <w:pPr>
              <w:spacing w:line="480" w:lineRule="auto"/>
              <w:rPr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 xml:space="preserve">　</w:t>
            </w:r>
            <w:r>
              <w:rPr>
                <w:rFonts w:ascii="Times New Roman" w:eastAsia="Times New Roman" w:hAnsi="Times New Roman" w:cs="Times New Roman"/>
                <w:sz w:val="20"/>
              </w:rPr>
              <w:t>Smoking status</w:t>
            </w:r>
          </w:p>
          <w:p w14:paraId="4E0C927B" w14:textId="77777777" w:rsidR="00B37AE9" w:rsidRDefault="00000000">
            <w:pPr>
              <w:spacing w:line="480" w:lineRule="auto"/>
              <w:ind w:firstLine="118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(current/former vs. never)</w:t>
            </w:r>
          </w:p>
        </w:tc>
        <w:tc>
          <w:tcPr>
            <w:tcW w:w="1967" w:type="dxa"/>
            <w:vAlign w:val="center"/>
          </w:tcPr>
          <w:p w14:paraId="535C64A8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1.57 (1.06–2.34)</w:t>
            </w:r>
          </w:p>
        </w:tc>
        <w:tc>
          <w:tcPr>
            <w:tcW w:w="1070" w:type="dxa"/>
            <w:vAlign w:val="center"/>
          </w:tcPr>
          <w:p w14:paraId="1A8E510F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0.025</w:t>
            </w:r>
          </w:p>
        </w:tc>
        <w:tc>
          <w:tcPr>
            <w:tcW w:w="1975" w:type="dxa"/>
            <w:vAlign w:val="center"/>
          </w:tcPr>
          <w:p w14:paraId="60C85FA0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1.15 (0.66–1.99)</w:t>
            </w:r>
          </w:p>
        </w:tc>
        <w:tc>
          <w:tcPr>
            <w:tcW w:w="1074" w:type="dxa"/>
            <w:vAlign w:val="center"/>
          </w:tcPr>
          <w:p w14:paraId="0209594A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0.621</w:t>
            </w:r>
          </w:p>
        </w:tc>
      </w:tr>
      <w:tr w:rsidR="00B37AE9" w14:paraId="7AD2BFA3" w14:textId="77777777">
        <w:trPr>
          <w:trHeight w:val="722"/>
        </w:trPr>
        <w:tc>
          <w:tcPr>
            <w:tcW w:w="2940" w:type="dxa"/>
            <w:shd w:val="clear" w:color="auto" w:fill="auto"/>
            <w:vAlign w:val="center"/>
          </w:tcPr>
          <w:p w14:paraId="642E026B" w14:textId="77777777" w:rsidR="00B37AE9" w:rsidRDefault="00000000">
            <w:pPr>
              <w:spacing w:line="480" w:lineRule="auto"/>
              <w:rPr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 xml:space="preserve">　</w:t>
            </w:r>
            <w:r>
              <w:rPr>
                <w:rFonts w:ascii="Times New Roman" w:eastAsia="Times New Roman" w:hAnsi="Times New Roman" w:cs="Times New Roman"/>
                <w:sz w:val="20"/>
              </w:rPr>
              <w:t>ECOG-PS (2–4 vs. 0–1)</w:t>
            </w:r>
          </w:p>
        </w:tc>
        <w:tc>
          <w:tcPr>
            <w:tcW w:w="1967" w:type="dxa"/>
            <w:vAlign w:val="center"/>
          </w:tcPr>
          <w:p w14:paraId="541FB3B6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2.37 (1.64–3.42)</w:t>
            </w:r>
          </w:p>
        </w:tc>
        <w:tc>
          <w:tcPr>
            <w:tcW w:w="1070" w:type="dxa"/>
            <w:vAlign w:val="center"/>
          </w:tcPr>
          <w:p w14:paraId="5F3E3C16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&lt; 0.001</w:t>
            </w:r>
          </w:p>
        </w:tc>
        <w:tc>
          <w:tcPr>
            <w:tcW w:w="1975" w:type="dxa"/>
            <w:vAlign w:val="center"/>
          </w:tcPr>
          <w:p w14:paraId="7193F234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2.53 (1.68–3.82)</w:t>
            </w:r>
          </w:p>
        </w:tc>
        <w:tc>
          <w:tcPr>
            <w:tcW w:w="1074" w:type="dxa"/>
            <w:vAlign w:val="center"/>
          </w:tcPr>
          <w:p w14:paraId="53BFA967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&lt; 0.001</w:t>
            </w:r>
          </w:p>
        </w:tc>
      </w:tr>
      <w:tr w:rsidR="00B37AE9" w14:paraId="40FDAE78" w14:textId="77777777">
        <w:trPr>
          <w:trHeight w:val="722"/>
        </w:trPr>
        <w:tc>
          <w:tcPr>
            <w:tcW w:w="2940" w:type="dxa"/>
            <w:shd w:val="clear" w:color="auto" w:fill="auto"/>
            <w:vAlign w:val="center"/>
          </w:tcPr>
          <w:p w14:paraId="020ECDA6" w14:textId="77777777" w:rsidR="00B37AE9" w:rsidRDefault="00000000">
            <w:pPr>
              <w:spacing w:line="480" w:lineRule="auto"/>
              <w:rPr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 xml:space="preserve">　</w:t>
            </w:r>
            <w:r>
              <w:rPr>
                <w:rFonts w:ascii="Times New Roman" w:eastAsia="Times New Roman" w:hAnsi="Times New Roman" w:cs="Times New Roman"/>
                <w:sz w:val="20"/>
              </w:rPr>
              <w:t>Stage (Ⅳ vs. others)</w:t>
            </w:r>
          </w:p>
        </w:tc>
        <w:tc>
          <w:tcPr>
            <w:tcW w:w="1967" w:type="dxa"/>
            <w:vAlign w:val="center"/>
          </w:tcPr>
          <w:p w14:paraId="0CF40F7B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0.90 (0.63–1.29)</w:t>
            </w:r>
          </w:p>
        </w:tc>
        <w:tc>
          <w:tcPr>
            <w:tcW w:w="1070" w:type="dxa"/>
            <w:vAlign w:val="center"/>
          </w:tcPr>
          <w:p w14:paraId="0A02A1AE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0.576</w:t>
            </w:r>
          </w:p>
        </w:tc>
        <w:tc>
          <w:tcPr>
            <w:tcW w:w="1975" w:type="dxa"/>
            <w:vAlign w:val="center"/>
          </w:tcPr>
          <w:p w14:paraId="220138F7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0.75 (0.51–1.10)</w:t>
            </w:r>
          </w:p>
        </w:tc>
        <w:tc>
          <w:tcPr>
            <w:tcW w:w="1074" w:type="dxa"/>
            <w:vAlign w:val="center"/>
          </w:tcPr>
          <w:p w14:paraId="23F31F1F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0.137</w:t>
            </w:r>
          </w:p>
        </w:tc>
      </w:tr>
      <w:tr w:rsidR="00B37AE9" w14:paraId="4A957451" w14:textId="77777777">
        <w:trPr>
          <w:trHeight w:val="722"/>
        </w:trPr>
        <w:tc>
          <w:tcPr>
            <w:tcW w:w="2940" w:type="dxa"/>
            <w:shd w:val="clear" w:color="auto" w:fill="auto"/>
            <w:vAlign w:val="center"/>
          </w:tcPr>
          <w:p w14:paraId="5F1B1300" w14:textId="77777777" w:rsidR="00B37AE9" w:rsidRDefault="00000000">
            <w:pPr>
              <w:spacing w:line="48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Histology (non-ad vs. ad)</w:t>
            </w:r>
          </w:p>
        </w:tc>
        <w:tc>
          <w:tcPr>
            <w:tcW w:w="1967" w:type="dxa"/>
            <w:vAlign w:val="center"/>
          </w:tcPr>
          <w:p w14:paraId="2CB4C5F0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1.32 (0.91–1.92)</w:t>
            </w:r>
          </w:p>
        </w:tc>
        <w:tc>
          <w:tcPr>
            <w:tcW w:w="1070" w:type="dxa"/>
            <w:vAlign w:val="center"/>
          </w:tcPr>
          <w:p w14:paraId="2E1A40FC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0.140</w:t>
            </w:r>
          </w:p>
        </w:tc>
        <w:tc>
          <w:tcPr>
            <w:tcW w:w="1975" w:type="dxa"/>
            <w:vAlign w:val="center"/>
          </w:tcPr>
          <w:p w14:paraId="403BD13F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1.52 (0.98–2.36)</w:t>
            </w:r>
          </w:p>
        </w:tc>
        <w:tc>
          <w:tcPr>
            <w:tcW w:w="1074" w:type="dxa"/>
            <w:vAlign w:val="center"/>
          </w:tcPr>
          <w:p w14:paraId="51D74596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0.064</w:t>
            </w:r>
          </w:p>
        </w:tc>
      </w:tr>
      <w:tr w:rsidR="00B37AE9" w14:paraId="601E1C70" w14:textId="77777777">
        <w:trPr>
          <w:trHeight w:val="722"/>
        </w:trPr>
        <w:tc>
          <w:tcPr>
            <w:tcW w:w="2940" w:type="dxa"/>
            <w:shd w:val="clear" w:color="auto" w:fill="auto"/>
            <w:vAlign w:val="center"/>
          </w:tcPr>
          <w:p w14:paraId="629C25AF" w14:textId="77777777" w:rsidR="00B37AE9" w:rsidRDefault="00000000">
            <w:pPr>
              <w:spacing w:line="480" w:lineRule="auto"/>
              <w:rPr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 xml:space="preserve">　</w:t>
            </w:r>
            <w:r>
              <w:rPr>
                <w:rFonts w:ascii="Times New Roman" w:eastAsia="Times New Roman" w:hAnsi="Times New Roman" w:cs="Times New Roman"/>
                <w:sz w:val="20"/>
              </w:rPr>
              <w:t>EGFR mutation (no vs. yes)</w:t>
            </w:r>
          </w:p>
        </w:tc>
        <w:tc>
          <w:tcPr>
            <w:tcW w:w="1967" w:type="dxa"/>
            <w:vAlign w:val="center"/>
          </w:tcPr>
          <w:p w14:paraId="1B5E97BF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1.24 (0.85–1.80)</w:t>
            </w:r>
          </w:p>
        </w:tc>
        <w:tc>
          <w:tcPr>
            <w:tcW w:w="1070" w:type="dxa"/>
            <w:vAlign w:val="center"/>
          </w:tcPr>
          <w:p w14:paraId="16F046D1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0.257</w:t>
            </w:r>
          </w:p>
        </w:tc>
        <w:tc>
          <w:tcPr>
            <w:tcW w:w="1975" w:type="dxa"/>
            <w:vAlign w:val="center"/>
          </w:tcPr>
          <w:p w14:paraId="1AD97DE5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1.12 (0.66–1.89)</w:t>
            </w:r>
          </w:p>
        </w:tc>
        <w:tc>
          <w:tcPr>
            <w:tcW w:w="1074" w:type="dxa"/>
            <w:vAlign w:val="center"/>
          </w:tcPr>
          <w:p w14:paraId="24BF75FC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0.676</w:t>
            </w:r>
          </w:p>
        </w:tc>
      </w:tr>
      <w:tr w:rsidR="00B37AE9" w14:paraId="7E9ED018" w14:textId="77777777">
        <w:trPr>
          <w:trHeight w:val="722"/>
        </w:trPr>
        <w:tc>
          <w:tcPr>
            <w:tcW w:w="2940" w:type="dxa"/>
            <w:shd w:val="clear" w:color="auto" w:fill="auto"/>
            <w:vAlign w:val="center"/>
          </w:tcPr>
          <w:p w14:paraId="7E35D0FF" w14:textId="77777777" w:rsidR="00B37AE9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 xml:space="preserve">　</w:t>
            </w:r>
            <w:r>
              <w:rPr>
                <w:rFonts w:ascii="Times New Roman" w:eastAsia="Times New Roman" w:hAnsi="Times New Roman" w:cs="Times New Roman"/>
                <w:sz w:val="20"/>
              </w:rPr>
              <w:t>No of prior treatments</w:t>
            </w:r>
          </w:p>
          <w:p w14:paraId="719FBE72" w14:textId="77777777" w:rsidR="00B37AE9" w:rsidRDefault="00000000">
            <w:pPr>
              <w:spacing w:line="480" w:lineRule="auto"/>
              <w:ind w:firstLine="240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(≥ 3 vs. 1–2)</w:t>
            </w:r>
          </w:p>
        </w:tc>
        <w:tc>
          <w:tcPr>
            <w:tcW w:w="1967" w:type="dxa"/>
            <w:vAlign w:val="center"/>
          </w:tcPr>
          <w:p w14:paraId="185A0657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0.93 (0.67–1.29)</w:t>
            </w:r>
          </w:p>
        </w:tc>
        <w:tc>
          <w:tcPr>
            <w:tcW w:w="1070" w:type="dxa"/>
            <w:vAlign w:val="center"/>
          </w:tcPr>
          <w:p w14:paraId="50B1F2E0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0.661</w:t>
            </w:r>
          </w:p>
        </w:tc>
        <w:tc>
          <w:tcPr>
            <w:tcW w:w="1975" w:type="dxa"/>
            <w:vAlign w:val="center"/>
          </w:tcPr>
          <w:p w14:paraId="55BF48DA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0.82 (0.54–1.23)</w:t>
            </w:r>
          </w:p>
        </w:tc>
        <w:tc>
          <w:tcPr>
            <w:tcW w:w="1074" w:type="dxa"/>
            <w:vAlign w:val="center"/>
          </w:tcPr>
          <w:p w14:paraId="265AA5FE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0.341</w:t>
            </w:r>
          </w:p>
        </w:tc>
      </w:tr>
      <w:tr w:rsidR="00B37AE9" w14:paraId="67285E9C" w14:textId="77777777">
        <w:trPr>
          <w:trHeight w:val="722"/>
        </w:trPr>
        <w:tc>
          <w:tcPr>
            <w:tcW w:w="29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A22C38" w14:textId="77777777" w:rsidR="00B37AE9" w:rsidRDefault="00000000">
            <w:pPr>
              <w:spacing w:line="480" w:lineRule="auto"/>
              <w:rPr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 xml:space="preserve">　</w:t>
            </w:r>
            <w:r>
              <w:rPr>
                <w:rFonts w:ascii="Times New Roman" w:eastAsia="Times New Roman" w:hAnsi="Times New Roman" w:cs="Times New Roman"/>
                <w:sz w:val="20"/>
              </w:rPr>
              <w:t>Prior ICI (yes vs. no)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418731CB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1.19 (0.86–1.66)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14:paraId="7A8DFD3A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0.300</w:t>
            </w:r>
          </w:p>
        </w:tc>
        <w:tc>
          <w:tcPr>
            <w:tcW w:w="1975" w:type="dxa"/>
            <w:tcBorders>
              <w:bottom w:val="single" w:sz="4" w:space="0" w:color="auto"/>
            </w:tcBorders>
            <w:vAlign w:val="center"/>
          </w:tcPr>
          <w:p w14:paraId="34389B06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1.00 (0.68–1.46)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vAlign w:val="center"/>
          </w:tcPr>
          <w:p w14:paraId="7A9FFFE1" w14:textId="77777777" w:rsidR="00B37AE9" w:rsidRDefault="00000000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1.000</w:t>
            </w:r>
          </w:p>
        </w:tc>
      </w:tr>
    </w:tbl>
    <w:p w14:paraId="12C27AE4" w14:textId="77777777" w:rsidR="00B37AE9" w:rsidRDefault="00000000">
      <w:pPr>
        <w:spacing w:line="48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OS, overall survival; ECOG-PS, Eastern Cooperative Oncology Group Performance Status; EGFR, epidermal growth factor receptor; ICI, immune checkpoint inhibitors</w:t>
      </w:r>
    </w:p>
    <w:p w14:paraId="49F125BD" w14:textId="77777777" w:rsidR="00B37AE9" w:rsidRDefault="00000000">
      <w:pPr>
        <w:spacing w:after="200" w:line="48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br w:type="page"/>
      </w:r>
    </w:p>
    <w:p w14:paraId="4846BD88" w14:textId="1A4D0DEE" w:rsidR="00B37AE9" w:rsidRDefault="00000000">
      <w:pPr>
        <w:spacing w:line="48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>Supplementary Fig. 1</w:t>
      </w:r>
    </w:p>
    <w:p w14:paraId="191C179D" w14:textId="775B7853" w:rsidR="007D1B8D" w:rsidRDefault="007D1B8D">
      <w:pPr>
        <w:spacing w:line="480" w:lineRule="auto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0B24001E" wp14:editId="232B839B">
            <wp:extent cx="5731510" cy="4187825"/>
            <wp:effectExtent l="0" t="0" r="0" b="317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8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1F088" w14:textId="70AE5D54" w:rsidR="00B37AE9" w:rsidRDefault="00000000">
      <w:pPr>
        <w:spacing w:line="480" w:lineRule="auto"/>
        <w:rPr>
          <w:sz w:val="20"/>
        </w:rPr>
      </w:pPr>
      <w:r>
        <w:rPr>
          <w:rFonts w:ascii="Times New Roman" w:eastAsia="Times New Roman" w:hAnsi="Times New Roman" w:cs="Times New Roman"/>
          <w:sz w:val="20"/>
        </w:rPr>
        <w:t>Kaplan</w:t>
      </w:r>
      <w:r>
        <w:rPr>
          <w:rFonts w:ascii="Symbol" w:eastAsia="Symbol" w:hAnsi="Symbol" w:cs="Symbol"/>
          <w:sz w:val="20"/>
        </w:rPr>
        <w:t>-</w:t>
      </w:r>
      <w:r>
        <w:rPr>
          <w:rFonts w:ascii="Times New Roman" w:eastAsia="Times New Roman" w:hAnsi="Times New Roman" w:cs="Times New Roman"/>
          <w:sz w:val="20"/>
        </w:rPr>
        <w:t xml:space="preserve">Meier curves of OS compared between the groups with and without prior treatment, including </w:t>
      </w:r>
      <w:r w:rsidR="007D1B8D">
        <w:rPr>
          <w:rFonts w:ascii="Times New Roman" w:eastAsia="Times New Roman" w:hAnsi="Times New Roman" w:cs="Times New Roman"/>
          <w:sz w:val="20"/>
        </w:rPr>
        <w:t xml:space="preserve">(a) </w:t>
      </w:r>
      <w:r>
        <w:rPr>
          <w:rFonts w:ascii="Times New Roman" w:eastAsia="Times New Roman" w:hAnsi="Times New Roman" w:cs="Times New Roman"/>
          <w:sz w:val="20"/>
        </w:rPr>
        <w:t xml:space="preserve">ICI, </w:t>
      </w:r>
      <w:r w:rsidR="007D1B8D">
        <w:rPr>
          <w:rFonts w:ascii="Times New Roman" w:eastAsia="Times New Roman" w:hAnsi="Times New Roman" w:cs="Times New Roman"/>
          <w:sz w:val="20"/>
        </w:rPr>
        <w:t xml:space="preserve">(b) </w:t>
      </w:r>
      <w:r>
        <w:rPr>
          <w:rFonts w:ascii="Times New Roman" w:eastAsia="Times New Roman" w:hAnsi="Times New Roman" w:cs="Times New Roman"/>
          <w:sz w:val="20"/>
        </w:rPr>
        <w:t>CTx</w:t>
      </w:r>
      <w:r w:rsidR="007D1B8D">
        <w:rPr>
          <w:rFonts w:ascii="Times New Roman" w:eastAsia="Times New Roman" w:hAnsi="Times New Roman" w:cs="Times New Roman"/>
          <w:sz w:val="20"/>
        </w:rPr>
        <w:t xml:space="preserve"> alone</w:t>
      </w:r>
      <w:r>
        <w:rPr>
          <w:rFonts w:ascii="Times New Roman" w:eastAsia="Times New Roman" w:hAnsi="Times New Roman" w:cs="Times New Roman"/>
          <w:sz w:val="20"/>
        </w:rPr>
        <w:t xml:space="preserve">, </w:t>
      </w:r>
      <w:r w:rsidR="007D1B8D">
        <w:rPr>
          <w:rFonts w:ascii="Times New Roman" w:eastAsia="Times New Roman" w:hAnsi="Times New Roman" w:cs="Times New Roman"/>
          <w:sz w:val="20"/>
        </w:rPr>
        <w:t xml:space="preserve">(c) </w:t>
      </w:r>
      <w:r>
        <w:rPr>
          <w:rFonts w:ascii="Times New Roman" w:eastAsia="Times New Roman" w:hAnsi="Times New Roman" w:cs="Times New Roman"/>
          <w:sz w:val="20"/>
        </w:rPr>
        <w:t xml:space="preserve">BEV, and </w:t>
      </w:r>
      <w:r w:rsidR="007D1B8D">
        <w:rPr>
          <w:rFonts w:ascii="Times New Roman" w:eastAsia="Times New Roman" w:hAnsi="Times New Roman" w:cs="Times New Roman"/>
          <w:sz w:val="20"/>
        </w:rPr>
        <w:t xml:space="preserve">(d) </w:t>
      </w:r>
      <w:r>
        <w:rPr>
          <w:rFonts w:ascii="Times New Roman" w:eastAsia="Times New Roman" w:hAnsi="Times New Roman" w:cs="Times New Roman"/>
          <w:sz w:val="20"/>
        </w:rPr>
        <w:t>TKI in patients with NSCLC who received RAM and DOC.</w:t>
      </w:r>
    </w:p>
    <w:p w14:paraId="62D58159" w14:textId="318CC8A6" w:rsidR="00B37AE9" w:rsidRDefault="00000000">
      <w:pPr>
        <w:spacing w:line="48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OS, overall survival; ICI, immune checkpoint inhibitor; CTx, cytotoxic agents; BEV, bevacizumab; TKI, tyrosine kinase inhibitor; NSCLC, non-small</w:t>
      </w:r>
      <w:r w:rsidR="006F2AD5">
        <w:rPr>
          <w:rFonts w:ascii="Times New Roman" w:eastAsia="Times New Roman" w:hAnsi="Times New Roman" w:cs="Times New Roman"/>
          <w:sz w:val="20"/>
        </w:rPr>
        <w:t>-</w:t>
      </w:r>
      <w:r>
        <w:rPr>
          <w:rFonts w:ascii="Times New Roman" w:eastAsia="Times New Roman" w:hAnsi="Times New Roman" w:cs="Times New Roman"/>
          <w:sz w:val="20"/>
        </w:rPr>
        <w:t>cell lung cancer; RAM, ramucirumab; DOC, docetaxel; CI, confidence interval</w:t>
      </w:r>
    </w:p>
    <w:p w14:paraId="33D01B69" w14:textId="67637AAB" w:rsidR="00B37AE9" w:rsidRDefault="00B37AE9">
      <w:pPr>
        <w:spacing w:line="480" w:lineRule="auto"/>
        <w:rPr>
          <w:sz w:val="20"/>
        </w:rPr>
      </w:pPr>
    </w:p>
    <w:p w14:paraId="6E65E9DB" w14:textId="56C95A70" w:rsidR="007D1B8D" w:rsidRDefault="007D1B8D">
      <w:pPr>
        <w:spacing w:line="480" w:lineRule="auto"/>
        <w:rPr>
          <w:sz w:val="20"/>
        </w:rPr>
      </w:pPr>
    </w:p>
    <w:p w14:paraId="059F597A" w14:textId="4D38482E" w:rsidR="007D1B8D" w:rsidRDefault="007D1B8D">
      <w:pPr>
        <w:spacing w:line="480" w:lineRule="auto"/>
        <w:rPr>
          <w:sz w:val="20"/>
        </w:rPr>
      </w:pPr>
    </w:p>
    <w:p w14:paraId="0335E2A8" w14:textId="4545079F" w:rsidR="007D1B8D" w:rsidRDefault="007D1B8D">
      <w:pPr>
        <w:spacing w:line="480" w:lineRule="auto"/>
        <w:rPr>
          <w:sz w:val="20"/>
        </w:rPr>
      </w:pPr>
    </w:p>
    <w:p w14:paraId="04422846" w14:textId="790FB0CF" w:rsidR="007D1B8D" w:rsidRDefault="007D1B8D">
      <w:pPr>
        <w:spacing w:line="480" w:lineRule="auto"/>
        <w:rPr>
          <w:sz w:val="20"/>
        </w:rPr>
      </w:pPr>
    </w:p>
    <w:p w14:paraId="69FEFBEB" w14:textId="761356FC" w:rsidR="007D1B8D" w:rsidRDefault="007D1B8D">
      <w:pPr>
        <w:spacing w:line="480" w:lineRule="auto"/>
        <w:rPr>
          <w:sz w:val="20"/>
        </w:rPr>
      </w:pPr>
    </w:p>
    <w:p w14:paraId="5EFD01F9" w14:textId="2B41942F" w:rsidR="007D1B8D" w:rsidRDefault="007D1B8D">
      <w:pPr>
        <w:spacing w:line="480" w:lineRule="auto"/>
        <w:rPr>
          <w:sz w:val="20"/>
        </w:rPr>
      </w:pPr>
    </w:p>
    <w:p w14:paraId="2B1222F6" w14:textId="26B73C03" w:rsidR="007D1B8D" w:rsidRDefault="007D1B8D">
      <w:pPr>
        <w:spacing w:line="480" w:lineRule="auto"/>
        <w:rPr>
          <w:sz w:val="20"/>
        </w:rPr>
      </w:pPr>
    </w:p>
    <w:p w14:paraId="5E8611B2" w14:textId="77777777" w:rsidR="00B12A72" w:rsidRDefault="00B12A72">
      <w:pPr>
        <w:spacing w:line="480" w:lineRule="auto"/>
        <w:rPr>
          <w:rFonts w:hint="eastAsia"/>
          <w:sz w:val="20"/>
        </w:rPr>
      </w:pPr>
    </w:p>
    <w:p w14:paraId="51B84A15" w14:textId="6C3F4E08" w:rsidR="00B37AE9" w:rsidRDefault="00000000">
      <w:pPr>
        <w:spacing w:line="48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>Supplementary Fig. 2</w:t>
      </w:r>
    </w:p>
    <w:p w14:paraId="53A1861C" w14:textId="5EC9341A" w:rsidR="007D1B8D" w:rsidRDefault="007D1B8D">
      <w:pPr>
        <w:spacing w:line="480" w:lineRule="auto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67E0AB13" wp14:editId="354D091D">
            <wp:extent cx="5731510" cy="250253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EF7A6" w14:textId="3C00C298" w:rsidR="00B37AE9" w:rsidRDefault="00000000">
      <w:pPr>
        <w:spacing w:line="480" w:lineRule="auto"/>
        <w:rPr>
          <w:sz w:val="20"/>
        </w:rPr>
      </w:pPr>
      <w:r>
        <w:rPr>
          <w:rFonts w:ascii="Times New Roman" w:eastAsia="Times New Roman" w:hAnsi="Times New Roman" w:cs="Times New Roman"/>
          <w:sz w:val="20"/>
        </w:rPr>
        <w:t>Kaplan</w:t>
      </w:r>
      <w:r>
        <w:rPr>
          <w:rFonts w:ascii="Symbol" w:eastAsia="Symbol" w:hAnsi="Symbol" w:cs="Symbol"/>
          <w:sz w:val="20"/>
        </w:rPr>
        <w:t>-</w:t>
      </w:r>
      <w:r>
        <w:rPr>
          <w:rFonts w:ascii="Times New Roman" w:eastAsia="Times New Roman" w:hAnsi="Times New Roman" w:cs="Times New Roman"/>
          <w:sz w:val="20"/>
        </w:rPr>
        <w:t xml:space="preserve">Meier curves of </w:t>
      </w:r>
      <w:r w:rsidR="007D1B8D">
        <w:rPr>
          <w:rFonts w:ascii="Times New Roman" w:eastAsia="Times New Roman" w:hAnsi="Times New Roman" w:cs="Times New Roman"/>
          <w:sz w:val="20"/>
        </w:rPr>
        <w:t xml:space="preserve">(a) </w:t>
      </w:r>
      <w:r>
        <w:rPr>
          <w:rFonts w:ascii="Times New Roman" w:eastAsia="Times New Roman" w:hAnsi="Times New Roman" w:cs="Times New Roman"/>
          <w:sz w:val="20"/>
        </w:rPr>
        <w:t xml:space="preserve">PFS and </w:t>
      </w:r>
      <w:r w:rsidR="007D1B8D">
        <w:rPr>
          <w:rFonts w:ascii="Times New Roman" w:eastAsia="Times New Roman" w:hAnsi="Times New Roman" w:cs="Times New Roman"/>
          <w:sz w:val="20"/>
        </w:rPr>
        <w:t xml:space="preserve">(b) </w:t>
      </w:r>
      <w:r>
        <w:rPr>
          <w:rFonts w:ascii="Times New Roman" w:eastAsia="Times New Roman" w:hAnsi="Times New Roman" w:cs="Times New Roman"/>
          <w:sz w:val="20"/>
        </w:rPr>
        <w:t xml:space="preserve">OS compared between </w:t>
      </w:r>
      <w:r w:rsidR="007D1B8D">
        <w:rPr>
          <w:rFonts w:ascii="Times New Roman" w:eastAsia="Times New Roman" w:hAnsi="Times New Roman" w:cs="Times New Roman"/>
          <w:sz w:val="20"/>
        </w:rPr>
        <w:t>the</w:t>
      </w:r>
      <w:r>
        <w:rPr>
          <w:rFonts w:ascii="Times New Roman" w:eastAsia="Times New Roman" w:hAnsi="Times New Roman" w:cs="Times New Roman"/>
          <w:sz w:val="20"/>
        </w:rPr>
        <w:t xml:space="preserve"> past ICI and no ICI groups in patients with NSCLC who received RAM and DOC.</w:t>
      </w:r>
    </w:p>
    <w:p w14:paraId="416F63FC" w14:textId="7DAAD95B" w:rsidR="00B37AE9" w:rsidRDefault="00000000">
      <w:pPr>
        <w:spacing w:line="480" w:lineRule="auto"/>
        <w:rPr>
          <w:sz w:val="20"/>
        </w:rPr>
      </w:pPr>
      <w:r>
        <w:rPr>
          <w:rFonts w:ascii="Times New Roman" w:eastAsia="Times New Roman" w:hAnsi="Times New Roman" w:cs="Times New Roman"/>
          <w:sz w:val="20"/>
        </w:rPr>
        <w:t>PFS, progression-free survival; OS, overall survival; ICI, immune checkpoint inhibitor; NSCLC, non-small</w:t>
      </w:r>
      <w:r w:rsidR="006F2AD5">
        <w:rPr>
          <w:rFonts w:ascii="Times New Roman" w:eastAsia="Times New Roman" w:hAnsi="Times New Roman" w:cs="Times New Roman"/>
          <w:sz w:val="20"/>
        </w:rPr>
        <w:t>-</w:t>
      </w:r>
      <w:r>
        <w:rPr>
          <w:rFonts w:ascii="Times New Roman" w:eastAsia="Times New Roman" w:hAnsi="Times New Roman" w:cs="Times New Roman"/>
          <w:sz w:val="20"/>
        </w:rPr>
        <w:t>cell lung cancer; RAM, ramucirumab; DOC, docetaxel; CI, confidence interval</w:t>
      </w:r>
    </w:p>
    <w:sectPr w:rsidR="00B37AE9">
      <w:type w:val="continuous"/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bordersDoNotSurroundHeader/>
  <w:bordersDoNotSurroundFooter/>
  <w:proofState w:spelling="clean" w:grammar="clean"/>
  <w:defaultTabStop w:val="960"/>
  <w:drawingGridHorizontalSpacing w:val="221"/>
  <w:drawingGridVerticalSpacing w:val="387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AE9"/>
    <w:rsid w:val="003A5A09"/>
    <w:rsid w:val="006101F7"/>
    <w:rsid w:val="006F2AD5"/>
    <w:rsid w:val="007D1B8D"/>
    <w:rsid w:val="00B12A72"/>
    <w:rsid w:val="00B37AE9"/>
    <w:rsid w:val="00B8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721EF6"/>
  <w15:docId w15:val="{020814D7-C3B6-405E-8DDA-A1395D50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a">
    <w:name w:val="Normal"/>
    <w:qFormat/>
    <w:rPr>
      <w:sz w:val="22"/>
      <w:lang w:val=""/>
    </w:rPr>
  </w:style>
  <w:style w:type="paragraph" w:styleId="1">
    <w:name w:val="heading 1"/>
    <w:basedOn w:val="a"/>
    <w:qFormat/>
    <w:pPr>
      <w:keepNext/>
      <w:outlineLvl w:val="0"/>
    </w:pPr>
    <w:rPr>
      <w:rFonts w:ascii="游ゴシック Light" w:eastAsia="游ゴシック Light" w:hAnsi="游ゴシック Light" w:cs="游ゴシック Light"/>
    </w:rPr>
  </w:style>
  <w:style w:type="paragraph" w:styleId="2">
    <w:name w:val="heading 2"/>
    <w:basedOn w:val="a"/>
    <w:qFormat/>
    <w:pPr>
      <w:keepNext/>
      <w:outlineLvl w:val="1"/>
    </w:pPr>
    <w:rPr>
      <w:rFonts w:ascii="游ゴシック Light" w:eastAsia="游ゴシック Light" w:hAnsi="游ゴシック Light" w:cs="游ゴシック Light"/>
    </w:rPr>
  </w:style>
  <w:style w:type="paragraph" w:styleId="3">
    <w:name w:val="heading 3"/>
    <w:basedOn w:val="a"/>
    <w:qFormat/>
    <w:pPr>
      <w:keepNext/>
      <w:ind w:left="400"/>
      <w:outlineLvl w:val="2"/>
    </w:pPr>
    <w:rPr>
      <w:rFonts w:ascii="游ゴシック Light" w:eastAsia="游ゴシック Light" w:hAnsi="游ゴシック Light" w:cs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0">
    <w:name w:val="toc 2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styleId="30">
    <w:name w:val="toc 3"/>
    <w:basedOn w:val="a"/>
    <w:pPr>
      <w:spacing w:line="360" w:lineRule="auto"/>
    </w:pPr>
    <w:rPr>
      <w:rFonts w:ascii="Calibri" w:eastAsia="Calibri" w:hAnsi="Calibri" w:cs="Calibri"/>
    </w:rPr>
  </w:style>
  <w:style w:type="paragraph" w:styleId="4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CellMar>
        <w:top w:w="0" w:type="dxa"/>
        <w:left w:w="10" w:type="dxa"/>
        <w:bottom w:w="0" w:type="dxa"/>
        <w:right w:w="10" w:type="dxa"/>
      </w:tblCellMar>
    </w:tblPr>
  </w:style>
  <w:style w:type="character" w:styleId="a4">
    <w:name w:val="annotation reference"/>
    <w:basedOn w:val="a0"/>
    <w:uiPriority w:val="99"/>
    <w:rPr>
      <w:sz w:val="16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character" w:styleId="a7">
    <w:name w:val="Emphasis"/>
    <w:basedOn w:val="a0"/>
    <w:qFormat/>
    <w:rPr>
      <w:i/>
    </w:rPr>
  </w:style>
  <w:style w:type="paragraph" w:styleId="a8">
    <w:name w:val="No Spacing"/>
    <w:rPr>
      <w:rFonts w:ascii="ＭＳ Ｐゴシック" w:eastAsia="ＭＳ Ｐゴシック" w:hAnsi="ＭＳ Ｐゴシック" w:cs="ＭＳ Ｐゴシック"/>
    </w:rPr>
  </w:style>
  <w:style w:type="paragraph" w:customStyle="1" w:styleId="TableList">
    <w:name w:val="Table List"/>
    <w:basedOn w:val="a"/>
    <w:pPr>
      <w:ind w:left="300" w:hanging="300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</w:style>
  <w:style w:type="character" w:customStyle="1" w:styleId="FamilyName">
    <w:name w:val="Family Name"/>
    <w:basedOn w:val="a0"/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</w:rPr>
  </w:style>
  <w:style w:type="character" w:customStyle="1" w:styleId="Cross-reference">
    <w:name w:val="Cross-reference"/>
    <w:basedOn w:val="a0"/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Postcode">
    <w:name w:val="Postcode"/>
    <w:basedOn w:val="a0"/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character" w:customStyle="1" w:styleId="GrantID">
    <w:name w:val="Grant ID"/>
    <w:basedOn w:val="a0"/>
  </w:style>
  <w:style w:type="paragraph" w:customStyle="1" w:styleId="Annotation">
    <w:name w:val="Annotation"/>
    <w:basedOn w:val="a"/>
    <w:pPr>
      <w:spacing w:after="160" w:line="360" w:lineRule="auto"/>
      <w:ind w:left="400"/>
    </w:pPr>
    <w:rPr>
      <w:rFonts w:ascii="Calibri" w:eastAsia="Calibri" w:hAnsi="Calibri" w:cs="Calibri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</w:rPr>
  </w:style>
  <w:style w:type="paragraph" w:styleId="a9">
    <w:name w:val="footnote text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</w:pPr>
    <w:rPr>
      <w:rFonts w:ascii="Calibri" w:eastAsia="Calibri" w:hAnsi="Calibri" w:cs="Calibri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  <w:jc w:val="both"/>
    </w:pPr>
    <w:rPr>
      <w:rFonts w:ascii="Calibri" w:eastAsia="Calibri" w:hAnsi="Calibri" w:cs="Calibri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  <w:jc w:val="both"/>
    </w:pPr>
    <w:rPr>
      <w:rFonts w:ascii="Calibri" w:eastAsia="Calibri" w:hAnsi="Calibri" w:cs="Calibri"/>
    </w:rPr>
  </w:style>
  <w:style w:type="character" w:customStyle="1" w:styleId="Label">
    <w:name w:val="Label"/>
    <w:basedOn w:val="a0"/>
    <w:rPr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</w:style>
  <w:style w:type="paragraph" w:styleId="21">
    <w:name w:val="List 2"/>
    <w:basedOn w:val="a"/>
    <w:pPr>
      <w:spacing w:line="360" w:lineRule="auto"/>
      <w:ind w:left="800" w:hanging="400"/>
      <w:jc w:val="both"/>
    </w:pPr>
    <w:rPr>
      <w:rFonts w:ascii="Calibri" w:eastAsia="Calibri" w:hAnsi="Calibri" w:cs="Calibri"/>
    </w:rPr>
  </w:style>
  <w:style w:type="character" w:customStyle="1" w:styleId="GlossaryTerm">
    <w:name w:val="Glossary Term"/>
    <w:basedOn w:val="a0"/>
  </w:style>
  <w:style w:type="paragraph" w:styleId="aa">
    <w:name w:val="endnote text"/>
    <w:basedOn w:val="a"/>
    <w:rPr>
      <w:rFonts w:ascii="Calibri" w:eastAsia="Calibri" w:hAnsi="Calibri" w:cs="Calibri"/>
    </w:rPr>
  </w:style>
  <w:style w:type="paragraph" w:styleId="ab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</w:rPr>
  </w:style>
  <w:style w:type="paragraph" w:customStyle="1" w:styleId="Authors">
    <w:name w:val="Authors"/>
    <w:basedOn w:val="a"/>
    <w:pPr>
      <w:spacing w:before="360" w:after="120" w:line="283" w:lineRule="auto"/>
    </w:pPr>
    <w:rPr>
      <w:rFonts w:ascii="Calibri" w:eastAsia="Calibri" w:hAnsi="Calibri" w:cs="Calibri"/>
      <w:sz w:val="28"/>
    </w:rPr>
  </w:style>
  <w:style w:type="character" w:customStyle="1" w:styleId="City">
    <w:name w:val="City"/>
    <w:basedOn w:val="a0"/>
  </w:style>
  <w:style w:type="character" w:styleId="ac">
    <w:name w:val="Hyperlink"/>
    <w:basedOn w:val="a0"/>
    <w:rPr>
      <w:color w:val="0563C1"/>
    </w:rPr>
  </w:style>
  <w:style w:type="character" w:customStyle="1" w:styleId="Region">
    <w:name w:val="Region"/>
    <w:basedOn w:val="a0"/>
  </w:style>
  <w:style w:type="character" w:customStyle="1" w:styleId="DatabaseLink">
    <w:name w:val="Database Link"/>
    <w:basedOn w:val="a0"/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</w:rPr>
  </w:style>
  <w:style w:type="paragraph" w:customStyle="1" w:styleId="AbstractSubheading">
    <w:name w:val="Abstract Subheading"/>
    <w:basedOn w:val="a"/>
    <w:pPr>
      <w:ind w:left="1440"/>
      <w:outlineLvl w:val="8"/>
    </w:p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</w:rPr>
  </w:style>
  <w:style w:type="character" w:customStyle="1" w:styleId="Country">
    <w:name w:val="Country"/>
    <w:basedOn w:val="a0"/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  <w:jc w:val="both"/>
    </w:pPr>
    <w:rPr>
      <w:rFonts w:ascii="Calibri" w:eastAsia="Calibri" w:hAnsi="Calibri" w:cs="Calibri"/>
      <w:sz w:val="20"/>
    </w:rPr>
  </w:style>
  <w:style w:type="character" w:customStyle="1" w:styleId="PageNumbers">
    <w:name w:val="Page Numbers"/>
    <w:basedOn w:val="a0"/>
  </w:style>
  <w:style w:type="paragraph" w:styleId="ad">
    <w:name w:val="Normal Indent"/>
    <w:basedOn w:val="a"/>
    <w:qFormat/>
    <w:pPr>
      <w:ind w:firstLine="480"/>
    </w:pPr>
  </w:style>
  <w:style w:type="character" w:customStyle="1" w:styleId="ArticleTitle">
    <w:name w:val="Article Title"/>
    <w:basedOn w:val="a0"/>
    <w:qFormat/>
  </w:style>
  <w:style w:type="character" w:customStyle="1" w:styleId="VolumeNumber">
    <w:name w:val="Volume Number"/>
    <w:basedOn w:val="a0"/>
  </w:style>
  <w:style w:type="character" w:customStyle="1" w:styleId="GeneSequence">
    <w:name w:val="Gene Sequence"/>
    <w:basedOn w:val="a0"/>
  </w:style>
  <w:style w:type="paragraph" w:styleId="ae">
    <w:name w:val="Balloon Text"/>
    <w:basedOn w:val="a"/>
    <w:rPr>
      <w:rFonts w:ascii="Calibri" w:eastAsia="Calibri" w:hAnsi="Calibri" w:cs="Calibri"/>
      <w:color w:val="000000"/>
      <w:sz w:val="16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</w:rPr>
  </w:style>
  <w:style w:type="character" w:customStyle="1" w:styleId="IssueNumber">
    <w:name w:val="Issue Number"/>
    <w:basedOn w:val="a0"/>
  </w:style>
  <w:style w:type="paragraph" w:styleId="af">
    <w:name w:val="List"/>
    <w:basedOn w:val="a"/>
    <w:pPr>
      <w:spacing w:line="360" w:lineRule="auto"/>
      <w:ind w:left="400" w:hanging="400"/>
      <w:jc w:val="both"/>
    </w:pPr>
    <w:rPr>
      <w:rFonts w:ascii="Calibri" w:eastAsia="Calibri" w:hAnsi="Calibri" w:cs="Calibri"/>
    </w:rPr>
  </w:style>
  <w:style w:type="character" w:customStyle="1" w:styleId="Edition">
    <w:name w:val="Edition"/>
    <w:basedOn w:val="a0"/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</w:rPr>
  </w:style>
  <w:style w:type="paragraph" w:styleId="31">
    <w:name w:val="List 3"/>
    <w:basedOn w:val="a"/>
    <w:pPr>
      <w:spacing w:line="360" w:lineRule="auto"/>
      <w:ind w:left="1200" w:hanging="400"/>
      <w:jc w:val="both"/>
    </w:pPr>
    <w:rPr>
      <w:rFonts w:ascii="Calibri" w:eastAsia="Calibri" w:hAnsi="Calibri" w:cs="Calibri"/>
    </w:rPr>
  </w:style>
  <w:style w:type="character" w:customStyle="1" w:styleId="Conference">
    <w:name w:val="Conference"/>
    <w:basedOn w:val="a0"/>
  </w:style>
  <w:style w:type="paragraph" w:customStyle="1" w:styleId="Surtitle">
    <w:name w:val="Surtitle"/>
    <w:basedOn w:val="a"/>
    <w:qFormat/>
    <w:pPr>
      <w:spacing w:after="160" w:line="208" w:lineRule="auto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</w:pPr>
    <w:rPr>
      <w:rFonts w:ascii="Calibri" w:eastAsia="Calibri" w:hAnsi="Calibri" w:cs="Calibri"/>
    </w:rPr>
  </w:style>
  <w:style w:type="character" w:customStyle="1" w:styleId="Miscellaneous">
    <w:name w:val="Miscellaneous"/>
    <w:basedOn w:val="a0"/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</w:style>
  <w:style w:type="paragraph" w:styleId="af0">
    <w:name w:val="Subtitle"/>
    <w:basedOn w:val="a"/>
    <w:qFormat/>
    <w:pPr>
      <w:spacing w:after="160" w:line="208" w:lineRule="auto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</w:rPr>
  </w:style>
  <w:style w:type="paragraph" w:customStyle="1" w:styleId="TableHead">
    <w:name w:val="Table Head"/>
    <w:basedOn w:val="a"/>
    <w:pPr>
      <w:shd w:val="clear" w:color="auto" w:fill="FFEDFA"/>
    </w:pPr>
    <w:rPr>
      <w:rFonts w:ascii="Calibri" w:eastAsia="Calibri" w:hAnsi="Calibri" w:cs="Calibri"/>
      <w:sz w:val="20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  <w:jc w:val="both"/>
    </w:pPr>
    <w:rPr>
      <w:rFonts w:ascii="Calibri" w:eastAsia="Calibri" w:hAnsi="Calibri" w:cs="Calibri"/>
    </w:rPr>
  </w:style>
  <w:style w:type="paragraph" w:customStyle="1" w:styleId="TableBody">
    <w:name w:val="Table Body"/>
    <w:basedOn w:val="a"/>
    <w:pPr>
      <w:spacing w:after="160" w:line="396" w:lineRule="auto"/>
    </w:pPr>
    <w:rPr>
      <w:rFonts w:ascii="Calibri" w:eastAsia="Calibri" w:hAnsi="Calibri" w:cs="Calibri"/>
      <w:sz w:val="20"/>
    </w:rPr>
  </w:style>
  <w:style w:type="character" w:customStyle="1" w:styleId="Year">
    <w:name w:val="Year"/>
    <w:basedOn w:val="a0"/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</w:rPr>
  </w:style>
  <w:style w:type="character" w:customStyle="1" w:styleId="Location">
    <w:name w:val="Location"/>
    <w:basedOn w:val="a0"/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</w:rPr>
  </w:style>
  <w:style w:type="paragraph" w:styleId="af1">
    <w:name w:val="annotation text"/>
    <w:basedOn w:val="a"/>
    <w:link w:val="af2"/>
    <w:uiPriority w:val="99"/>
    <w:rPr>
      <w:rFonts w:ascii="Calibri" w:eastAsia="Calibri" w:hAnsi="Calibri" w:cs="Calibri"/>
      <w:sz w:val="20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</w:style>
  <w:style w:type="paragraph" w:styleId="af3">
    <w:name w:val="caption"/>
    <w:basedOn w:val="a"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</w:rPr>
  </w:style>
  <w:style w:type="paragraph" w:customStyle="1" w:styleId="List1">
    <w:name w:val="List 1"/>
    <w:basedOn w:val="a"/>
    <w:pPr>
      <w:ind w:left="1200" w:hanging="600"/>
      <w:jc w:val="both"/>
    </w:pPr>
    <w:rPr>
      <w:rFonts w:ascii="Times New Roman" w:eastAsia="Times New Roman" w:hAnsi="Times New Roman" w:cs="Times New Roman"/>
    </w:rPr>
  </w:style>
  <w:style w:type="paragraph" w:customStyle="1" w:styleId="List9">
    <w:name w:val="List 9"/>
    <w:basedOn w:val="a"/>
    <w:pPr>
      <w:ind w:left="1200" w:hanging="600"/>
      <w:jc w:val="both"/>
    </w:pPr>
    <w:rPr>
      <w:rFonts w:ascii="Times New Roman" w:eastAsia="Times New Roman" w:hAnsi="Times New Roman" w:cs="Times New Roman"/>
    </w:rPr>
  </w:style>
  <w:style w:type="paragraph" w:styleId="af4">
    <w:name w:val="annotation subject"/>
    <w:basedOn w:val="af1"/>
    <w:rPr>
      <w:b/>
    </w:rPr>
  </w:style>
  <w:style w:type="paragraph" w:styleId="af5">
    <w:name w:val="Revision"/>
    <w:rPr>
      <w:sz w:val="22"/>
    </w:rPr>
  </w:style>
  <w:style w:type="character" w:customStyle="1" w:styleId="af2">
    <w:name w:val="コメント文字列 (文字)"/>
    <w:basedOn w:val="a0"/>
    <w:link w:val="af1"/>
    <w:uiPriority w:val="99"/>
    <w:rsid w:val="003A5A09"/>
    <w:rPr>
      <w:rFonts w:ascii="Calibri" w:eastAsia="Calibri" w:hAnsi="Calibri" w:cs="Calibri"/>
      <w:sz w:val="20"/>
      <w:lang w:val="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游ゴシック Light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C1C8C7-039D-AF44-B724-126950DDC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639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Summa</dc:creator>
  <cp:lastModifiedBy>錦之介 松本</cp:lastModifiedBy>
  <cp:revision>3</cp:revision>
  <dcterms:created xsi:type="dcterms:W3CDTF">2022-11-11T12:46:00Z</dcterms:created>
  <dcterms:modified xsi:type="dcterms:W3CDTF">2022-11-11T12:52:00Z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>numerical</vt:lpwstr>
  </property>
  <property fmtid="{D5CDD505-2E9C-101B-9397-08002B2CF9AE}" pid="14" name="Subject">
    <vt:lpwstr/>
  </property>
  <property fmtid="{D5CDD505-2E9C-101B-9397-08002B2CF9AE}" pid="15" name="Merops word count">
    <vt:lpwstr>459</vt:lpwstr>
  </property>
  <property fmtid="{D5CDD505-2E9C-101B-9397-08002B2CF9AE}" pid="16" name="Merops references count">
    <vt:lpwstr>0</vt:lpwstr>
  </property>
  <property fmtid="{D5CDD505-2E9C-101B-9397-08002B2CF9AE}" pid="17" name="Merops PubMed links count">
    <vt:lpwstr>0</vt:lpwstr>
  </property>
  <property fmtid="{D5CDD505-2E9C-101B-9397-08002B2CF9AE}" pid="18" name="Merops DOI links count">
    <vt:lpwstr>0</vt:lpwstr>
  </property>
  <property fmtid="{D5CDD505-2E9C-101B-9397-08002B2CF9AE}" pid="19" name="Merops tables count">
    <vt:lpwstr>3</vt:lpwstr>
  </property>
  <property fmtid="{D5CDD505-2E9C-101B-9397-08002B2CF9AE}" pid="20" name="Merops figures count">
    <vt:lpwstr>2</vt:lpwstr>
  </property>
  <property fmtid="{D5CDD505-2E9C-101B-9397-08002B2CF9AE}" pid="21" name="Merops graphics count">
    <vt:lpwstr>0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0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*</vt:lpwstr>
  </property>
  <property fmtid="{D5CDD505-2E9C-101B-9397-08002B2CF9AE}" pid="26" name="Merops Standard Set modified">
    <vt:lpwstr>*</vt:lpwstr>
  </property>
  <property fmtid="{D5CDD505-2E9C-101B-9397-08002B2CF9AE}" pid="27" name="Merops client version">
    <vt:lpwstr>*</vt:lpwstr>
  </property>
  <property fmtid="{D5CDD505-2E9C-101B-9397-08002B2CF9AE}" pid="28" name="Merops input file path">
    <vt:lpwstr>*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>*</vt:lpwstr>
  </property>
  <property fmtid="{D5CDD505-2E9C-101B-9397-08002B2CF9AE}" pid="31" name="Merops processed date">
    <vt:lpwstr>2022/10/27 12:19:12 PM</vt:lpwstr>
  </property>
  <property fmtid="{D5CDD505-2E9C-101B-9397-08002B2CF9AE}" pid="32" name="Merops WorldCat links count">
    <vt:lpwstr>0</vt:lpwstr>
  </property>
  <property fmtid="{D5CDD505-2E9C-101B-9397-08002B2CF9AE}" pid="33" name="Merops Scopus links count">
    <vt:lpwstr>0</vt:lpwstr>
  </property>
  <property fmtid="{D5CDD505-2E9C-101B-9397-08002B2CF9AE}" pid="34" name="Merops comment count">
    <vt:lpwstr>0</vt:lpwstr>
  </property>
  <property fmtid="{D5CDD505-2E9C-101B-9397-08002B2CF9AE}" pid="35" name="Merops change count">
    <vt:lpwstr>3</vt:lpwstr>
  </property>
  <property fmtid="{D5CDD505-2E9C-101B-9397-08002B2CF9AE}" pid="36" name="GrammarlyDocumentId">
    <vt:lpwstr>e81479559d8a8843b72e3d2235574e19eea73a82d86d4f2fec6f9f19b4401755</vt:lpwstr>
  </property>
</Properties>
</file>