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875DFE" w14:textId="12028027" w:rsidR="001F53E7" w:rsidRDefault="001F53E7" w:rsidP="001F53E7">
      <w:pPr>
        <w:spacing w:line="480" w:lineRule="auto"/>
        <w:jc w:val="center"/>
        <w:rPr>
          <w:b/>
          <w:sz w:val="28"/>
        </w:rPr>
      </w:pPr>
      <w:r>
        <w:rPr>
          <w:rFonts w:eastAsia="Times New Roman"/>
          <w:b/>
          <w:sz w:val="28"/>
        </w:rPr>
        <w:t>The changing in lactate dehydrogenase for the serum survival predictor for treatment with polymyxin B-immobilized fiber column-direct hemoperfusion in patients with acute exacerbation of idiopathic interstitial pneumonias</w:t>
      </w:r>
    </w:p>
    <w:p w14:paraId="55BEB7E9" w14:textId="77777777" w:rsidR="003F4CBC" w:rsidRPr="00F31BD2" w:rsidRDefault="003F4CBC" w:rsidP="005C078D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</w:p>
    <w:p w14:paraId="55BEB7EA" w14:textId="77777777" w:rsidR="003F4CBC" w:rsidRPr="00F31BD2" w:rsidRDefault="0033123F" w:rsidP="003F4CBC">
      <w:pPr>
        <w:spacing w:line="480" w:lineRule="auto"/>
        <w:jc w:val="center"/>
        <w:rPr>
          <w:b/>
          <w:bCs w:val="0"/>
          <w:color w:val="000000" w:themeColor="text1"/>
          <w:sz w:val="28"/>
          <w:szCs w:val="28"/>
        </w:rPr>
      </w:pPr>
      <w:r w:rsidRPr="00F31BD2">
        <w:rPr>
          <w:rFonts w:hint="eastAsia"/>
          <w:b/>
          <w:bCs w:val="0"/>
          <w:color w:val="000000" w:themeColor="text1"/>
          <w:sz w:val="28"/>
          <w:szCs w:val="28"/>
        </w:rPr>
        <w:t>S</w:t>
      </w:r>
      <w:r w:rsidRPr="00F31BD2">
        <w:rPr>
          <w:b/>
          <w:bCs w:val="0"/>
          <w:color w:val="000000" w:themeColor="text1"/>
          <w:sz w:val="28"/>
          <w:szCs w:val="28"/>
        </w:rPr>
        <w:t>upplementary materials</w:t>
      </w:r>
    </w:p>
    <w:p w14:paraId="55BEB7EB" w14:textId="77777777" w:rsidR="003F4CBC" w:rsidRPr="00F31BD2" w:rsidRDefault="003F4CBC" w:rsidP="005C078D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</w:p>
    <w:p w14:paraId="55BEB7EC" w14:textId="35DA0230" w:rsidR="003F4CBC" w:rsidRPr="00F31BD2" w:rsidRDefault="0033123F" w:rsidP="003F4CBC">
      <w:pPr>
        <w:spacing w:line="480" w:lineRule="auto"/>
        <w:jc w:val="left"/>
        <w:rPr>
          <w:color w:val="000000" w:themeColor="text1"/>
          <w:sz w:val="24"/>
          <w:szCs w:val="24"/>
        </w:rPr>
      </w:pPr>
      <w:r w:rsidRPr="00F31BD2">
        <w:rPr>
          <w:color w:val="000000" w:themeColor="text1"/>
          <w:sz w:val="24"/>
          <w:szCs w:val="24"/>
        </w:rPr>
        <w:t>Motoyasu Kato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 xml:space="preserve">, </w:t>
      </w:r>
      <w:r w:rsidR="008A4F87" w:rsidRPr="00F31BD2">
        <w:rPr>
          <w:color w:val="000000" w:themeColor="text1"/>
          <w:sz w:val="24"/>
          <w:szCs w:val="24"/>
        </w:rPr>
        <w:t>Shun Nakazawa</w:t>
      </w:r>
      <w:r w:rsidR="008A4F87" w:rsidRPr="00F31BD2">
        <w:rPr>
          <w:color w:val="000000" w:themeColor="text1"/>
          <w:sz w:val="24"/>
          <w:szCs w:val="24"/>
          <w:vertAlign w:val="superscript"/>
        </w:rPr>
        <w:t>1</w:t>
      </w:r>
      <w:r w:rsidR="008A4F87" w:rsidRPr="00F31BD2">
        <w:rPr>
          <w:color w:val="000000" w:themeColor="text1"/>
          <w:sz w:val="24"/>
          <w:szCs w:val="24"/>
        </w:rPr>
        <w:t xml:space="preserve">, </w:t>
      </w:r>
      <w:r w:rsidRPr="00F31BD2">
        <w:rPr>
          <w:color w:val="000000" w:themeColor="text1"/>
          <w:sz w:val="24"/>
          <w:szCs w:val="24"/>
        </w:rPr>
        <w:t>Takashi Akimoto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 xml:space="preserve">, </w:t>
      </w:r>
      <w:proofErr w:type="spellStart"/>
      <w:r w:rsidRPr="00F31BD2">
        <w:rPr>
          <w:color w:val="000000" w:themeColor="text1"/>
          <w:sz w:val="24"/>
          <w:szCs w:val="24"/>
        </w:rPr>
        <w:t>Soichiro</w:t>
      </w:r>
      <w:proofErr w:type="spellEnd"/>
      <w:r w:rsidRPr="00F31BD2">
        <w:rPr>
          <w:color w:val="000000" w:themeColor="text1"/>
          <w:sz w:val="24"/>
          <w:szCs w:val="24"/>
        </w:rPr>
        <w:t xml:space="preserve"> Soma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Eri Hayakawa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Yuta Arai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Misa Tateyama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Hiroaki Motomura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Tomoko Yamada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Yusuke Ochi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Issei Sumiyoshi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Junko Watanabe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Hiroaki Ihara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Shinsaku Togo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Shinichi Sasaki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>, Arata Azuma</w:t>
      </w:r>
      <w:r w:rsidRPr="00F31BD2">
        <w:rPr>
          <w:color w:val="000000" w:themeColor="text1"/>
          <w:sz w:val="24"/>
          <w:szCs w:val="24"/>
          <w:vertAlign w:val="superscript"/>
        </w:rPr>
        <w:t>2</w:t>
      </w:r>
      <w:r w:rsidRPr="00F31BD2">
        <w:rPr>
          <w:color w:val="000000" w:themeColor="text1"/>
          <w:sz w:val="24"/>
          <w:szCs w:val="24"/>
        </w:rPr>
        <w:t>, Kazuhisa Takahashi</w:t>
      </w:r>
      <w:r w:rsidRPr="00F31BD2">
        <w:rPr>
          <w:color w:val="000000" w:themeColor="text1"/>
          <w:sz w:val="24"/>
          <w:szCs w:val="24"/>
          <w:vertAlign w:val="superscript"/>
        </w:rPr>
        <w:t>1</w:t>
      </w:r>
    </w:p>
    <w:p w14:paraId="55BEB7ED" w14:textId="77777777" w:rsidR="003F4CBC" w:rsidRPr="00F31BD2" w:rsidRDefault="003F4CBC" w:rsidP="003F4CBC">
      <w:pPr>
        <w:spacing w:line="480" w:lineRule="auto"/>
        <w:rPr>
          <w:color w:val="000000" w:themeColor="text1"/>
          <w:sz w:val="24"/>
          <w:szCs w:val="24"/>
        </w:rPr>
      </w:pPr>
    </w:p>
    <w:p w14:paraId="55BEB7EE" w14:textId="77777777" w:rsidR="003F4CBC" w:rsidRPr="00F31BD2" w:rsidRDefault="0033123F" w:rsidP="003F4CBC">
      <w:pPr>
        <w:spacing w:line="480" w:lineRule="auto"/>
        <w:rPr>
          <w:color w:val="000000" w:themeColor="text1"/>
          <w:sz w:val="24"/>
          <w:szCs w:val="24"/>
        </w:rPr>
      </w:pPr>
      <w:r w:rsidRPr="00F31BD2">
        <w:rPr>
          <w:color w:val="000000" w:themeColor="text1"/>
          <w:sz w:val="24"/>
          <w:szCs w:val="24"/>
          <w:vertAlign w:val="superscript"/>
        </w:rPr>
        <w:t>1</w:t>
      </w:r>
      <w:r w:rsidRPr="00F31BD2">
        <w:rPr>
          <w:color w:val="000000" w:themeColor="text1"/>
          <w:sz w:val="24"/>
          <w:szCs w:val="24"/>
        </w:rPr>
        <w:t xml:space="preserve">Department of Respiratory </w:t>
      </w:r>
      <w:r w:rsidRPr="00F31BD2">
        <w:rPr>
          <w:rFonts w:hint="eastAsia"/>
          <w:color w:val="000000" w:themeColor="text1"/>
          <w:sz w:val="24"/>
          <w:szCs w:val="24"/>
        </w:rPr>
        <w:t>Medicine, J</w:t>
      </w:r>
      <w:r w:rsidRPr="00F31BD2">
        <w:rPr>
          <w:color w:val="000000" w:themeColor="text1"/>
          <w:sz w:val="24"/>
          <w:szCs w:val="24"/>
        </w:rPr>
        <w:t>untendo University Graduate School of Medicine, Tokyo, Japan</w:t>
      </w:r>
    </w:p>
    <w:p w14:paraId="55BEB7EF" w14:textId="77777777" w:rsidR="003F4CBC" w:rsidRPr="00F31BD2" w:rsidRDefault="0033123F" w:rsidP="003F4CBC">
      <w:pPr>
        <w:spacing w:line="480" w:lineRule="auto"/>
        <w:rPr>
          <w:color w:val="000000" w:themeColor="text1"/>
          <w:sz w:val="24"/>
          <w:szCs w:val="24"/>
        </w:rPr>
      </w:pPr>
      <w:r w:rsidRPr="00F31BD2">
        <w:rPr>
          <w:color w:val="000000" w:themeColor="text1"/>
          <w:sz w:val="24"/>
          <w:szCs w:val="24"/>
          <w:vertAlign w:val="superscript"/>
        </w:rPr>
        <w:t>2</w:t>
      </w:r>
      <w:r w:rsidRPr="00F31BD2">
        <w:rPr>
          <w:color w:val="000000" w:themeColor="text1"/>
          <w:sz w:val="24"/>
          <w:szCs w:val="24"/>
        </w:rPr>
        <w:t>Graduate School of Pulmonary Medicine, Nippon Medical School, Tokyo Japan</w:t>
      </w:r>
    </w:p>
    <w:p w14:paraId="55BEB7F0" w14:textId="77777777" w:rsidR="003F4CBC" w:rsidRPr="00F31BD2" w:rsidRDefault="003F4CBC" w:rsidP="005C078D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</w:p>
    <w:p w14:paraId="55BEB7F1" w14:textId="77777777" w:rsidR="003F4CBC" w:rsidRPr="00F31BD2" w:rsidRDefault="003F4CBC" w:rsidP="005C078D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</w:p>
    <w:p w14:paraId="55BEB7F2" w14:textId="77777777" w:rsidR="003F4CBC" w:rsidRPr="00F31BD2" w:rsidRDefault="003F4CBC" w:rsidP="005C078D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</w:p>
    <w:p w14:paraId="55BEB7F3" w14:textId="77777777" w:rsidR="003F4CBC" w:rsidRPr="00F31BD2" w:rsidRDefault="003F4CBC" w:rsidP="005C078D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</w:p>
    <w:p w14:paraId="55BEB7F4" w14:textId="77777777" w:rsidR="003F4CBC" w:rsidRPr="00F31BD2" w:rsidRDefault="003F4CBC" w:rsidP="005C078D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</w:p>
    <w:p w14:paraId="55BEB7F5" w14:textId="77777777" w:rsidR="003F4CBC" w:rsidRPr="00F31BD2" w:rsidRDefault="003F4CBC" w:rsidP="005C078D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</w:p>
    <w:p w14:paraId="55BEB7F6" w14:textId="77777777" w:rsidR="005C078D" w:rsidRPr="00F31BD2" w:rsidRDefault="0033123F" w:rsidP="005C078D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  <w:r w:rsidRPr="00F31BD2">
        <w:rPr>
          <w:b/>
          <w:bCs w:val="0"/>
          <w:color w:val="000000" w:themeColor="text1"/>
          <w:sz w:val="28"/>
          <w:szCs w:val="28"/>
        </w:rPr>
        <w:lastRenderedPageBreak/>
        <w:t xml:space="preserve">Supplementary </w:t>
      </w:r>
      <w:r w:rsidR="00DA204F" w:rsidRPr="00F31BD2">
        <w:rPr>
          <w:b/>
          <w:bCs w:val="0"/>
          <w:color w:val="000000" w:themeColor="text1"/>
          <w:sz w:val="28"/>
          <w:szCs w:val="28"/>
        </w:rPr>
        <w:t>Figures</w:t>
      </w:r>
    </w:p>
    <w:p w14:paraId="55BEB7F7" w14:textId="77777777" w:rsidR="005C078D" w:rsidRPr="00F31BD2" w:rsidRDefault="0033123F" w:rsidP="004B4C3C">
      <w:pPr>
        <w:spacing w:line="480" w:lineRule="auto"/>
        <w:jc w:val="left"/>
        <w:rPr>
          <w:b/>
          <w:bCs w:val="0"/>
          <w:color w:val="000000" w:themeColor="text1"/>
          <w:sz w:val="24"/>
          <w:szCs w:val="24"/>
        </w:rPr>
      </w:pPr>
      <w:r w:rsidRPr="00F31BD2">
        <w:rPr>
          <w:rFonts w:hint="eastAsia"/>
          <w:b/>
          <w:bCs w:val="0"/>
          <w:color w:val="000000" w:themeColor="text1"/>
          <w:sz w:val="24"/>
          <w:szCs w:val="24"/>
        </w:rPr>
        <w:t>F</w:t>
      </w:r>
      <w:r w:rsidRPr="00F31BD2">
        <w:rPr>
          <w:b/>
          <w:bCs w:val="0"/>
          <w:color w:val="000000" w:themeColor="text1"/>
          <w:sz w:val="24"/>
          <w:szCs w:val="24"/>
        </w:rPr>
        <w:t>igure S1</w:t>
      </w:r>
    </w:p>
    <w:p w14:paraId="55BEB7F8" w14:textId="77777777" w:rsidR="00C930BC" w:rsidRPr="00F31BD2" w:rsidRDefault="0033123F" w:rsidP="004B4C3C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  <w:r w:rsidRPr="00F31BD2">
        <w:rPr>
          <w:rFonts w:hint="eastAsia"/>
          <w:b/>
          <w:bCs w:val="0"/>
          <w:color w:val="000000" w:themeColor="text1"/>
          <w:sz w:val="28"/>
          <w:szCs w:val="28"/>
        </w:rPr>
        <w:t>(</w:t>
      </w:r>
      <w:r w:rsidRPr="00F31BD2">
        <w:rPr>
          <w:b/>
          <w:bCs w:val="0"/>
          <w:color w:val="000000" w:themeColor="text1"/>
          <w:sz w:val="28"/>
          <w:szCs w:val="28"/>
        </w:rPr>
        <w:t xml:space="preserve">A)                            </w:t>
      </w:r>
      <w:r w:rsidR="000D7257" w:rsidRPr="00F31BD2">
        <w:rPr>
          <w:b/>
          <w:bCs w:val="0"/>
          <w:color w:val="000000" w:themeColor="text1"/>
          <w:sz w:val="28"/>
          <w:szCs w:val="28"/>
        </w:rPr>
        <w:t xml:space="preserve">  </w:t>
      </w:r>
      <w:r w:rsidRPr="00F31BD2">
        <w:rPr>
          <w:b/>
          <w:bCs w:val="0"/>
          <w:color w:val="000000" w:themeColor="text1"/>
          <w:sz w:val="28"/>
          <w:szCs w:val="28"/>
        </w:rPr>
        <w:t>(B)</w:t>
      </w:r>
    </w:p>
    <w:p w14:paraId="55BEB7F9" w14:textId="77777777" w:rsidR="005C078D" w:rsidRPr="00F31BD2" w:rsidRDefault="0033123F" w:rsidP="004B4C3C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  <w:r w:rsidRPr="00F31BD2">
        <w:rPr>
          <w:b/>
          <w:bCs w:val="0"/>
          <w:noProof/>
          <w:color w:val="000000" w:themeColor="text1"/>
          <w:sz w:val="28"/>
          <w:szCs w:val="28"/>
          <w:lang w:eastAsia="en-US"/>
        </w:rPr>
        <w:drawing>
          <wp:inline distT="0" distB="0" distL="0" distR="0" wp14:anchorId="55BEB898" wp14:editId="55BEB899">
            <wp:extent cx="2165350" cy="1982028"/>
            <wp:effectExtent l="0" t="0" r="6350" b="0"/>
            <wp:docPr id="44" name="図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38962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849" cy="2047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1BD2">
        <w:rPr>
          <w:rFonts w:hint="eastAsia"/>
          <w:b/>
          <w:bCs w:val="0"/>
          <w:color w:val="000000" w:themeColor="text1"/>
          <w:sz w:val="28"/>
          <w:szCs w:val="28"/>
        </w:rPr>
        <w:t xml:space="preserve"> </w:t>
      </w:r>
      <w:r w:rsidR="000D7257" w:rsidRPr="00F31BD2">
        <w:rPr>
          <w:b/>
          <w:bCs w:val="0"/>
          <w:color w:val="000000" w:themeColor="text1"/>
          <w:sz w:val="28"/>
          <w:szCs w:val="28"/>
        </w:rPr>
        <w:t xml:space="preserve">   </w:t>
      </w:r>
      <w:r w:rsidRPr="00F31BD2">
        <w:rPr>
          <w:b/>
          <w:bCs w:val="0"/>
          <w:color w:val="000000" w:themeColor="text1"/>
          <w:sz w:val="28"/>
          <w:szCs w:val="28"/>
        </w:rPr>
        <w:t xml:space="preserve">   </w:t>
      </w:r>
      <w:r w:rsidR="000D7257" w:rsidRPr="00F31BD2">
        <w:rPr>
          <w:b/>
          <w:bCs w:val="0"/>
          <w:color w:val="000000" w:themeColor="text1"/>
          <w:sz w:val="28"/>
          <w:szCs w:val="28"/>
        </w:rPr>
        <w:t xml:space="preserve"> </w:t>
      </w:r>
      <w:r w:rsidR="000D7257" w:rsidRPr="00F31BD2">
        <w:rPr>
          <w:b/>
          <w:bCs w:val="0"/>
          <w:noProof/>
          <w:color w:val="000000" w:themeColor="text1"/>
          <w:sz w:val="28"/>
          <w:szCs w:val="28"/>
        </w:rPr>
        <w:t xml:space="preserve">     </w:t>
      </w:r>
      <w:r w:rsidRPr="00F31BD2">
        <w:rPr>
          <w:b/>
          <w:bCs w:val="0"/>
          <w:noProof/>
          <w:color w:val="000000" w:themeColor="text1"/>
          <w:sz w:val="28"/>
          <w:szCs w:val="28"/>
          <w:lang w:eastAsia="en-US"/>
        </w:rPr>
        <w:drawing>
          <wp:inline distT="0" distB="0" distL="0" distR="0" wp14:anchorId="55BEB89A" wp14:editId="55BEB89B">
            <wp:extent cx="2073991" cy="1890944"/>
            <wp:effectExtent l="0" t="0" r="2540" b="0"/>
            <wp:docPr id="45" name="図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235201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580" cy="196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EB7FA" w14:textId="77777777" w:rsidR="005C078D" w:rsidRPr="00F31BD2" w:rsidRDefault="0033123F" w:rsidP="004B4C3C">
      <w:pPr>
        <w:spacing w:line="480" w:lineRule="auto"/>
        <w:jc w:val="left"/>
        <w:rPr>
          <w:b/>
          <w:bCs w:val="0"/>
          <w:color w:val="000000" w:themeColor="text1"/>
          <w:sz w:val="24"/>
          <w:szCs w:val="24"/>
        </w:rPr>
      </w:pPr>
      <w:r w:rsidRPr="00F31BD2">
        <w:rPr>
          <w:rFonts w:hint="eastAsia"/>
          <w:b/>
          <w:bCs w:val="0"/>
          <w:color w:val="000000" w:themeColor="text1"/>
          <w:sz w:val="24"/>
          <w:szCs w:val="24"/>
        </w:rPr>
        <w:t>F</w:t>
      </w:r>
      <w:r w:rsidRPr="00F31BD2">
        <w:rPr>
          <w:b/>
          <w:bCs w:val="0"/>
          <w:color w:val="000000" w:themeColor="text1"/>
          <w:sz w:val="24"/>
          <w:szCs w:val="24"/>
        </w:rPr>
        <w:t>igure S2</w:t>
      </w:r>
    </w:p>
    <w:p w14:paraId="55BEB7FB" w14:textId="77777777" w:rsidR="00C930BC" w:rsidRPr="00F31BD2" w:rsidRDefault="0033123F" w:rsidP="004B4C3C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  <w:r w:rsidRPr="00F31BD2">
        <w:rPr>
          <w:rFonts w:hint="eastAsia"/>
          <w:b/>
          <w:bCs w:val="0"/>
          <w:color w:val="000000" w:themeColor="text1"/>
          <w:sz w:val="28"/>
          <w:szCs w:val="28"/>
        </w:rPr>
        <w:t>(</w:t>
      </w:r>
      <w:r w:rsidRPr="00F31BD2">
        <w:rPr>
          <w:b/>
          <w:bCs w:val="0"/>
          <w:color w:val="000000" w:themeColor="text1"/>
          <w:sz w:val="28"/>
          <w:szCs w:val="28"/>
        </w:rPr>
        <w:t>A)                               (B)</w:t>
      </w:r>
    </w:p>
    <w:p w14:paraId="55BEB7FC" w14:textId="77777777" w:rsidR="00C930BC" w:rsidRPr="00F31BD2" w:rsidRDefault="0033123F" w:rsidP="000D7257">
      <w:pPr>
        <w:spacing w:line="480" w:lineRule="auto"/>
        <w:ind w:firstLineChars="50" w:firstLine="137"/>
        <w:jc w:val="left"/>
        <w:rPr>
          <w:b/>
          <w:bCs w:val="0"/>
          <w:color w:val="000000" w:themeColor="text1"/>
          <w:sz w:val="28"/>
          <w:szCs w:val="28"/>
        </w:rPr>
      </w:pPr>
      <w:r w:rsidRPr="00F31BD2">
        <w:rPr>
          <w:b/>
          <w:bCs w:val="0"/>
          <w:noProof/>
          <w:color w:val="000000" w:themeColor="text1"/>
          <w:sz w:val="28"/>
          <w:szCs w:val="28"/>
          <w:lang w:eastAsia="en-US"/>
        </w:rPr>
        <w:drawing>
          <wp:inline distT="0" distB="0" distL="0" distR="0" wp14:anchorId="55BEB89C" wp14:editId="55BEB89D">
            <wp:extent cx="2205400" cy="1650723"/>
            <wp:effectExtent l="0" t="0" r="4445" b="0"/>
            <wp:docPr id="46" name="図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459272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147" cy="168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1BD2">
        <w:rPr>
          <w:b/>
          <w:bCs w:val="0"/>
          <w:noProof/>
          <w:color w:val="000000" w:themeColor="text1"/>
          <w:sz w:val="28"/>
          <w:szCs w:val="28"/>
        </w:rPr>
        <w:t xml:space="preserve">        </w:t>
      </w:r>
      <w:r w:rsidR="00B31FE9" w:rsidRPr="00F31BD2">
        <w:rPr>
          <w:b/>
          <w:bCs w:val="0"/>
          <w:noProof/>
          <w:color w:val="000000" w:themeColor="text1"/>
          <w:sz w:val="28"/>
          <w:szCs w:val="28"/>
        </w:rPr>
        <w:t xml:space="preserve"> </w:t>
      </w:r>
      <w:r w:rsidRPr="00F31BD2">
        <w:rPr>
          <w:b/>
          <w:bCs w:val="0"/>
          <w:noProof/>
          <w:color w:val="000000" w:themeColor="text1"/>
          <w:sz w:val="28"/>
          <w:szCs w:val="28"/>
          <w:lang w:eastAsia="en-US"/>
        </w:rPr>
        <w:drawing>
          <wp:inline distT="0" distB="0" distL="0" distR="0" wp14:anchorId="55BEB89E" wp14:editId="55BEB89F">
            <wp:extent cx="2384138" cy="1730745"/>
            <wp:effectExtent l="0" t="0" r="0" b="0"/>
            <wp:docPr id="47" name="図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171595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660" cy="178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EB7FD" w14:textId="4FEB5301" w:rsidR="00C930BC" w:rsidRPr="00F31BD2" w:rsidRDefault="0033123F" w:rsidP="004B4C3C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  <w:r w:rsidRPr="00F31BD2">
        <w:rPr>
          <w:b/>
          <w:bCs w:val="0"/>
          <w:color w:val="000000" w:themeColor="text1"/>
          <w:sz w:val="28"/>
          <w:szCs w:val="28"/>
        </w:rPr>
        <w:t>(C)                               (D)</w:t>
      </w:r>
    </w:p>
    <w:p w14:paraId="55BEB7FE" w14:textId="77777777" w:rsidR="00C930BC" w:rsidRPr="00F31BD2" w:rsidRDefault="0033123F" w:rsidP="004B4C3C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  <w:r w:rsidRPr="00F31BD2">
        <w:rPr>
          <w:b/>
          <w:bCs w:val="0"/>
          <w:noProof/>
          <w:color w:val="000000" w:themeColor="text1"/>
          <w:sz w:val="28"/>
          <w:szCs w:val="28"/>
          <w:lang w:eastAsia="en-US"/>
        </w:rPr>
        <w:drawing>
          <wp:inline distT="0" distB="0" distL="0" distR="0" wp14:anchorId="55BEB8A0" wp14:editId="55BEB8A1">
            <wp:extent cx="2719070" cy="1844675"/>
            <wp:effectExtent l="0" t="0" r="5080" b="0"/>
            <wp:docPr id="48" name="図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406084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079" cy="1881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1BD2">
        <w:rPr>
          <w:b/>
          <w:bCs w:val="0"/>
          <w:noProof/>
          <w:color w:val="000000" w:themeColor="text1"/>
          <w:sz w:val="28"/>
          <w:szCs w:val="28"/>
        </w:rPr>
        <w:t xml:space="preserve">    </w:t>
      </w:r>
      <w:r w:rsidRPr="00F31BD2">
        <w:rPr>
          <w:b/>
          <w:bCs w:val="0"/>
          <w:noProof/>
          <w:color w:val="000000" w:themeColor="text1"/>
          <w:sz w:val="28"/>
          <w:szCs w:val="28"/>
          <w:lang w:eastAsia="en-US"/>
        </w:rPr>
        <w:drawing>
          <wp:inline distT="0" distB="0" distL="0" distR="0" wp14:anchorId="55BEB8A2" wp14:editId="55BEB8A3">
            <wp:extent cx="2538671" cy="1797050"/>
            <wp:effectExtent l="0" t="0" r="0" b="0"/>
            <wp:docPr id="50" name="図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981181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664" cy="1839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EB7FF" w14:textId="77777777" w:rsidR="004B4C3C" w:rsidRPr="00F31BD2" w:rsidRDefault="0033123F" w:rsidP="004B4C3C">
      <w:pPr>
        <w:spacing w:line="480" w:lineRule="auto"/>
        <w:jc w:val="left"/>
        <w:rPr>
          <w:b/>
          <w:bCs w:val="0"/>
          <w:color w:val="000000" w:themeColor="text1"/>
          <w:sz w:val="28"/>
          <w:szCs w:val="28"/>
        </w:rPr>
      </w:pPr>
      <w:r w:rsidRPr="00F31BD2">
        <w:rPr>
          <w:b/>
          <w:bCs w:val="0"/>
          <w:color w:val="000000" w:themeColor="text1"/>
          <w:sz w:val="28"/>
          <w:szCs w:val="28"/>
        </w:rPr>
        <w:lastRenderedPageBreak/>
        <w:t>Supplementary Figure Legends</w:t>
      </w:r>
    </w:p>
    <w:p w14:paraId="55BEB800" w14:textId="77777777" w:rsidR="00175374" w:rsidRPr="00F31BD2" w:rsidRDefault="0033123F" w:rsidP="004B4C3C">
      <w:pPr>
        <w:spacing w:line="480" w:lineRule="auto"/>
        <w:jc w:val="left"/>
        <w:rPr>
          <w:b/>
          <w:bCs w:val="0"/>
          <w:color w:val="000000" w:themeColor="text1"/>
          <w:sz w:val="24"/>
          <w:szCs w:val="24"/>
        </w:rPr>
      </w:pPr>
      <w:r w:rsidRPr="00F31BD2">
        <w:rPr>
          <w:rFonts w:hint="eastAsia"/>
          <w:b/>
          <w:bCs w:val="0"/>
          <w:color w:val="000000" w:themeColor="text1"/>
          <w:sz w:val="24"/>
          <w:szCs w:val="24"/>
        </w:rPr>
        <w:t>F</w:t>
      </w:r>
      <w:r w:rsidRPr="00F31BD2">
        <w:rPr>
          <w:b/>
          <w:bCs w:val="0"/>
          <w:color w:val="000000" w:themeColor="text1"/>
          <w:sz w:val="24"/>
          <w:szCs w:val="24"/>
        </w:rPr>
        <w:t xml:space="preserve">igure S1 </w:t>
      </w:r>
    </w:p>
    <w:p w14:paraId="0F8948D0" w14:textId="6B78B648" w:rsidR="00D01E48" w:rsidRDefault="0033123F" w:rsidP="004B4C3C">
      <w:pPr>
        <w:spacing w:line="480" w:lineRule="auto"/>
        <w:jc w:val="left"/>
        <w:rPr>
          <w:color w:val="000000" w:themeColor="text1"/>
          <w:sz w:val="24"/>
          <w:szCs w:val="24"/>
        </w:rPr>
      </w:pPr>
      <w:r w:rsidRPr="00F31BD2">
        <w:rPr>
          <w:b/>
          <w:bCs w:val="0"/>
          <w:color w:val="000000" w:themeColor="text1"/>
          <w:sz w:val="24"/>
          <w:szCs w:val="24"/>
        </w:rPr>
        <w:t>Receiver operating characteristic curve analysis</w:t>
      </w:r>
      <w:r w:rsidRPr="00F31BD2">
        <w:rPr>
          <w:color w:val="000000" w:themeColor="text1"/>
          <w:sz w:val="24"/>
          <w:szCs w:val="24"/>
        </w:rPr>
        <w:t xml:space="preserve"> </w:t>
      </w:r>
    </w:p>
    <w:p w14:paraId="55BEB801" w14:textId="1BBCDA05" w:rsidR="004B4C3C" w:rsidRPr="00F31BD2" w:rsidRDefault="0033123F" w:rsidP="004B4C3C">
      <w:pPr>
        <w:spacing w:line="480" w:lineRule="auto"/>
        <w:jc w:val="left"/>
        <w:rPr>
          <w:color w:val="000000" w:themeColor="text1"/>
          <w:sz w:val="24"/>
          <w:szCs w:val="24"/>
        </w:rPr>
      </w:pPr>
      <w:r w:rsidRPr="00F31BD2">
        <w:rPr>
          <w:color w:val="000000" w:themeColor="text1"/>
          <w:sz w:val="24"/>
          <w:szCs w:val="24"/>
        </w:rPr>
        <w:t xml:space="preserve">Receiver operating characteristic (ROC) curve analyses to determine the optimal cut-off values of (A) FVC and (B) GAP index. </w:t>
      </w:r>
      <w:r>
        <w:rPr>
          <w:color w:val="000000"/>
          <w:sz w:val="24"/>
          <w:szCs w:val="24"/>
        </w:rPr>
        <w:t xml:space="preserve">The </w:t>
      </w:r>
      <w:r w:rsidRPr="00F31BD2">
        <w:rPr>
          <w:color w:val="000000" w:themeColor="text1"/>
          <w:sz w:val="24"/>
          <w:szCs w:val="24"/>
        </w:rPr>
        <w:t xml:space="preserve">sensitivity or true positive rate is plotted on the y-axis and false positive rate, or 1-specificity, </w:t>
      </w:r>
      <w:r w:rsidR="00D01E48">
        <w:rPr>
          <w:color w:val="000000" w:themeColor="text1"/>
          <w:sz w:val="24"/>
          <w:szCs w:val="24"/>
        </w:rPr>
        <w:t xml:space="preserve">is plotted </w:t>
      </w:r>
      <w:r w:rsidRPr="00F31BD2">
        <w:rPr>
          <w:color w:val="000000" w:themeColor="text1"/>
          <w:sz w:val="24"/>
          <w:szCs w:val="24"/>
        </w:rPr>
        <w:t xml:space="preserve">on the x-axis. The area under the curve (AUC) is equivalent to the numerator of the Mann–Whitney U statistic </w:t>
      </w:r>
      <w:r w:rsidR="00973EE8">
        <w:rPr>
          <w:color w:val="000000" w:themeColor="text1"/>
          <w:sz w:val="24"/>
          <w:szCs w:val="24"/>
        </w:rPr>
        <w:t xml:space="preserve">for the </w:t>
      </w:r>
      <w:r w:rsidR="00973EE8" w:rsidRPr="00F31BD2">
        <w:rPr>
          <w:color w:val="000000" w:themeColor="text1"/>
          <w:sz w:val="24"/>
          <w:szCs w:val="24"/>
        </w:rPr>
        <w:t>compari</w:t>
      </w:r>
      <w:r w:rsidR="00973EE8">
        <w:rPr>
          <w:color w:val="000000" w:themeColor="text1"/>
          <w:sz w:val="24"/>
          <w:szCs w:val="24"/>
        </w:rPr>
        <w:t>son of</w:t>
      </w:r>
      <w:r w:rsidR="00973EE8" w:rsidRPr="00F31BD2">
        <w:rPr>
          <w:color w:val="000000" w:themeColor="text1"/>
          <w:sz w:val="24"/>
          <w:szCs w:val="24"/>
        </w:rPr>
        <w:t xml:space="preserve"> </w:t>
      </w:r>
      <w:r w:rsidRPr="00F31BD2">
        <w:rPr>
          <w:color w:val="000000" w:themeColor="text1"/>
          <w:sz w:val="24"/>
          <w:szCs w:val="24"/>
        </w:rPr>
        <w:t xml:space="preserve">the marker distributions between the survival and the non-survival group after </w:t>
      </w:r>
      <w:r w:rsidR="00973EE8">
        <w:rPr>
          <w:color w:val="000000" w:themeColor="text1"/>
          <w:sz w:val="24"/>
          <w:szCs w:val="24"/>
        </w:rPr>
        <w:t xml:space="preserve">the initiation of </w:t>
      </w:r>
      <w:r w:rsidRPr="00F31BD2">
        <w:rPr>
          <w:color w:val="000000" w:themeColor="text1"/>
          <w:sz w:val="24"/>
          <w:szCs w:val="24"/>
        </w:rPr>
        <w:t>PMX-DHP</w:t>
      </w:r>
      <w:r w:rsidR="00973EE8">
        <w:rPr>
          <w:color w:val="000000" w:themeColor="text1"/>
          <w:sz w:val="24"/>
          <w:szCs w:val="24"/>
        </w:rPr>
        <w:t xml:space="preserve"> therapy</w:t>
      </w:r>
      <w:r w:rsidRPr="00F31BD2">
        <w:rPr>
          <w:color w:val="000000" w:themeColor="text1"/>
          <w:sz w:val="24"/>
          <w:szCs w:val="24"/>
        </w:rPr>
        <w:t xml:space="preserve">. </w:t>
      </w:r>
    </w:p>
    <w:p w14:paraId="55BEB802" w14:textId="77777777" w:rsidR="00800FFB" w:rsidRPr="00F31BD2" w:rsidRDefault="0033123F" w:rsidP="005C078D">
      <w:pPr>
        <w:spacing w:line="480" w:lineRule="auto"/>
        <w:jc w:val="left"/>
        <w:rPr>
          <w:b/>
          <w:bCs w:val="0"/>
          <w:color w:val="000000" w:themeColor="text1"/>
          <w:sz w:val="24"/>
          <w:szCs w:val="24"/>
        </w:rPr>
      </w:pPr>
      <w:r w:rsidRPr="00F31BD2">
        <w:rPr>
          <w:rFonts w:hint="eastAsia"/>
          <w:b/>
          <w:bCs w:val="0"/>
          <w:color w:val="000000" w:themeColor="text1"/>
          <w:sz w:val="24"/>
          <w:szCs w:val="24"/>
        </w:rPr>
        <w:t>F</w:t>
      </w:r>
      <w:r w:rsidRPr="00F31BD2">
        <w:rPr>
          <w:b/>
          <w:bCs w:val="0"/>
          <w:color w:val="000000" w:themeColor="text1"/>
          <w:sz w:val="24"/>
          <w:szCs w:val="24"/>
        </w:rPr>
        <w:t xml:space="preserve">igure S2 </w:t>
      </w:r>
    </w:p>
    <w:p w14:paraId="55BEB803" w14:textId="55EFCC2D" w:rsidR="00723DAA" w:rsidRPr="00F31BD2" w:rsidRDefault="0033123F" w:rsidP="000D7257">
      <w:pPr>
        <w:spacing w:line="480" w:lineRule="auto"/>
        <w:jc w:val="left"/>
        <w:rPr>
          <w:color w:val="000000" w:themeColor="text1"/>
          <w:sz w:val="24"/>
          <w:szCs w:val="24"/>
        </w:rPr>
      </w:pPr>
      <w:r w:rsidRPr="00F31BD2">
        <w:rPr>
          <w:b/>
          <w:bCs w:val="0"/>
          <w:color w:val="000000" w:themeColor="text1"/>
          <w:sz w:val="24"/>
          <w:szCs w:val="24"/>
        </w:rPr>
        <w:t xml:space="preserve">Survival curves. </w:t>
      </w:r>
      <w:r w:rsidRPr="00F31BD2">
        <w:rPr>
          <w:color w:val="000000" w:themeColor="text1"/>
          <w:sz w:val="24"/>
          <w:szCs w:val="24"/>
        </w:rPr>
        <w:t xml:space="preserve">(A) Difference in survival time </w:t>
      </w:r>
      <w:r w:rsidR="004219B0">
        <w:rPr>
          <w:color w:val="000000" w:themeColor="text1"/>
          <w:sz w:val="24"/>
          <w:szCs w:val="24"/>
        </w:rPr>
        <w:t xml:space="preserve">since </w:t>
      </w:r>
      <w:r w:rsidRPr="00F31BD2">
        <w:rPr>
          <w:color w:val="000000" w:themeColor="text1"/>
          <w:sz w:val="24"/>
          <w:szCs w:val="24"/>
        </w:rPr>
        <w:t xml:space="preserve">the </w:t>
      </w:r>
      <w:r w:rsidR="004219B0">
        <w:rPr>
          <w:color w:val="000000" w:themeColor="text1"/>
          <w:sz w:val="24"/>
          <w:szCs w:val="24"/>
        </w:rPr>
        <w:t xml:space="preserve">initiation of </w:t>
      </w:r>
      <w:r w:rsidRPr="00F31BD2">
        <w:rPr>
          <w:color w:val="000000" w:themeColor="text1"/>
          <w:sz w:val="24"/>
          <w:szCs w:val="24"/>
        </w:rPr>
        <w:t xml:space="preserve">PMX-DHP </w:t>
      </w:r>
      <w:r w:rsidR="004219B0">
        <w:rPr>
          <w:color w:val="000000" w:themeColor="text1"/>
          <w:sz w:val="24"/>
          <w:szCs w:val="24"/>
        </w:rPr>
        <w:t xml:space="preserve">therapy </w:t>
      </w:r>
      <w:r w:rsidRPr="00F31BD2">
        <w:rPr>
          <w:color w:val="000000" w:themeColor="text1"/>
          <w:sz w:val="24"/>
          <w:szCs w:val="24"/>
        </w:rPr>
        <w:t xml:space="preserve">between </w:t>
      </w:r>
      <w:r w:rsidR="004219B0">
        <w:rPr>
          <w:color w:val="000000" w:themeColor="text1"/>
          <w:sz w:val="24"/>
          <w:szCs w:val="24"/>
        </w:rPr>
        <w:t xml:space="preserve">patients with </w:t>
      </w:r>
      <w:r w:rsidRPr="00F31BD2">
        <w:rPr>
          <w:color w:val="000000" w:themeColor="text1"/>
          <w:sz w:val="24"/>
          <w:szCs w:val="24"/>
        </w:rPr>
        <w:t>low and high FVC level</w:t>
      </w:r>
      <w:r w:rsidR="004219B0">
        <w:rPr>
          <w:color w:val="000000" w:themeColor="text1"/>
          <w:sz w:val="24"/>
          <w:szCs w:val="24"/>
        </w:rPr>
        <w:t>s</w:t>
      </w:r>
      <w:r w:rsidRPr="00F31BD2">
        <w:rPr>
          <w:color w:val="000000" w:themeColor="text1"/>
          <w:sz w:val="24"/>
          <w:szCs w:val="24"/>
        </w:rPr>
        <w:t xml:space="preserve"> prior to the development of AE-IIPs. Blue and red lines indicate the number of patients and survival </w:t>
      </w:r>
      <w:r w:rsidR="004219B0">
        <w:rPr>
          <w:color w:val="000000" w:themeColor="text1"/>
          <w:sz w:val="24"/>
          <w:szCs w:val="24"/>
        </w:rPr>
        <w:t>of patients with</w:t>
      </w:r>
      <w:r w:rsidR="004219B0" w:rsidRPr="00F31BD2">
        <w:rPr>
          <w:color w:val="000000" w:themeColor="text1"/>
          <w:sz w:val="24"/>
          <w:szCs w:val="24"/>
        </w:rPr>
        <w:t xml:space="preserve"> </w:t>
      </w:r>
      <w:r w:rsidRPr="00F31BD2">
        <w:rPr>
          <w:color w:val="000000" w:themeColor="text1"/>
          <w:sz w:val="24"/>
          <w:szCs w:val="24"/>
        </w:rPr>
        <w:t>low and high FVC</w:t>
      </w:r>
      <w:r w:rsidR="004219B0">
        <w:rPr>
          <w:color w:val="000000" w:themeColor="text1"/>
          <w:sz w:val="24"/>
          <w:szCs w:val="24"/>
        </w:rPr>
        <w:t>s</w:t>
      </w:r>
      <w:r w:rsidRPr="00F31BD2">
        <w:rPr>
          <w:color w:val="000000" w:themeColor="text1"/>
          <w:sz w:val="24"/>
          <w:szCs w:val="24"/>
        </w:rPr>
        <w:t xml:space="preserve">, respectively. (B) Difference in survival time </w:t>
      </w:r>
      <w:r w:rsidR="004219B0">
        <w:rPr>
          <w:color w:val="000000" w:themeColor="text1"/>
          <w:sz w:val="24"/>
          <w:szCs w:val="24"/>
        </w:rPr>
        <w:t xml:space="preserve">since </w:t>
      </w:r>
      <w:r w:rsidR="004219B0" w:rsidRPr="00F31BD2">
        <w:rPr>
          <w:color w:val="000000" w:themeColor="text1"/>
          <w:sz w:val="24"/>
          <w:szCs w:val="24"/>
        </w:rPr>
        <w:t xml:space="preserve">the </w:t>
      </w:r>
      <w:r w:rsidR="004219B0">
        <w:rPr>
          <w:color w:val="000000" w:themeColor="text1"/>
          <w:sz w:val="24"/>
          <w:szCs w:val="24"/>
        </w:rPr>
        <w:t xml:space="preserve">initiation of </w:t>
      </w:r>
      <w:r w:rsidRPr="00F31BD2">
        <w:rPr>
          <w:color w:val="000000" w:themeColor="text1"/>
          <w:sz w:val="24"/>
          <w:szCs w:val="24"/>
        </w:rPr>
        <w:t xml:space="preserve">PMX-DHP </w:t>
      </w:r>
      <w:r w:rsidR="004219B0">
        <w:rPr>
          <w:color w:val="000000" w:themeColor="text1"/>
          <w:sz w:val="24"/>
          <w:szCs w:val="24"/>
        </w:rPr>
        <w:t xml:space="preserve">therapy </w:t>
      </w:r>
      <w:r w:rsidRPr="00F31BD2">
        <w:rPr>
          <w:color w:val="000000" w:themeColor="text1"/>
          <w:sz w:val="24"/>
          <w:szCs w:val="24"/>
        </w:rPr>
        <w:t xml:space="preserve">between </w:t>
      </w:r>
      <w:r w:rsidR="004219B0">
        <w:rPr>
          <w:color w:val="000000" w:themeColor="text1"/>
          <w:sz w:val="24"/>
          <w:szCs w:val="24"/>
        </w:rPr>
        <w:t xml:space="preserve">patients with </w:t>
      </w:r>
      <w:r w:rsidRPr="00F31BD2">
        <w:rPr>
          <w:color w:val="000000" w:themeColor="text1"/>
          <w:sz w:val="24"/>
          <w:szCs w:val="24"/>
        </w:rPr>
        <w:t xml:space="preserve">low and high GAP </w:t>
      </w:r>
      <w:r w:rsidR="004219B0" w:rsidRPr="00F31BD2">
        <w:rPr>
          <w:color w:val="000000" w:themeColor="text1"/>
          <w:sz w:val="24"/>
          <w:szCs w:val="24"/>
        </w:rPr>
        <w:t>ind</w:t>
      </w:r>
      <w:r w:rsidR="004219B0">
        <w:rPr>
          <w:color w:val="000000" w:themeColor="text1"/>
          <w:sz w:val="24"/>
          <w:szCs w:val="24"/>
        </w:rPr>
        <w:t>ices</w:t>
      </w:r>
      <w:r w:rsidRPr="00F31BD2">
        <w:rPr>
          <w:color w:val="000000" w:themeColor="text1"/>
          <w:sz w:val="24"/>
          <w:szCs w:val="24"/>
        </w:rPr>
        <w:t xml:space="preserve">. Blue and red lines indicate the number of patients and survival </w:t>
      </w:r>
      <w:r w:rsidR="004219B0">
        <w:rPr>
          <w:color w:val="000000" w:themeColor="text1"/>
          <w:sz w:val="24"/>
          <w:szCs w:val="24"/>
        </w:rPr>
        <w:t>of patients with</w:t>
      </w:r>
      <w:r w:rsidR="004219B0" w:rsidRPr="00F31BD2">
        <w:rPr>
          <w:color w:val="000000" w:themeColor="text1"/>
          <w:sz w:val="24"/>
          <w:szCs w:val="24"/>
        </w:rPr>
        <w:t xml:space="preserve"> </w:t>
      </w:r>
      <w:r w:rsidRPr="00F31BD2">
        <w:rPr>
          <w:color w:val="000000" w:themeColor="text1"/>
          <w:sz w:val="24"/>
          <w:szCs w:val="24"/>
        </w:rPr>
        <w:t xml:space="preserve">low and high GAP </w:t>
      </w:r>
      <w:r w:rsidR="004219B0" w:rsidRPr="00F31BD2">
        <w:rPr>
          <w:color w:val="000000" w:themeColor="text1"/>
          <w:sz w:val="24"/>
          <w:szCs w:val="24"/>
        </w:rPr>
        <w:t>ind</w:t>
      </w:r>
      <w:r w:rsidR="004219B0">
        <w:rPr>
          <w:color w:val="000000" w:themeColor="text1"/>
          <w:sz w:val="24"/>
          <w:szCs w:val="24"/>
        </w:rPr>
        <w:t>ices</w:t>
      </w:r>
      <w:r w:rsidRPr="00F31BD2">
        <w:rPr>
          <w:color w:val="000000" w:themeColor="text1"/>
          <w:sz w:val="24"/>
          <w:szCs w:val="24"/>
        </w:rPr>
        <w:t xml:space="preserve">, respectively. (C) Difference in survival time </w:t>
      </w:r>
      <w:r w:rsidR="004219B0">
        <w:rPr>
          <w:color w:val="000000" w:themeColor="text1"/>
          <w:sz w:val="24"/>
          <w:szCs w:val="24"/>
        </w:rPr>
        <w:t xml:space="preserve">since </w:t>
      </w:r>
      <w:r w:rsidR="004219B0" w:rsidRPr="00F31BD2">
        <w:rPr>
          <w:color w:val="000000" w:themeColor="text1"/>
          <w:sz w:val="24"/>
          <w:szCs w:val="24"/>
        </w:rPr>
        <w:t xml:space="preserve">the </w:t>
      </w:r>
      <w:r w:rsidR="004219B0">
        <w:rPr>
          <w:color w:val="000000" w:themeColor="text1"/>
          <w:sz w:val="24"/>
          <w:szCs w:val="24"/>
        </w:rPr>
        <w:t xml:space="preserve">initiation of </w:t>
      </w:r>
      <w:r w:rsidRPr="00F31BD2">
        <w:rPr>
          <w:color w:val="000000" w:themeColor="text1"/>
          <w:sz w:val="24"/>
          <w:szCs w:val="24"/>
        </w:rPr>
        <w:t xml:space="preserve">PMX-DHP </w:t>
      </w:r>
      <w:r w:rsidR="0089225D">
        <w:rPr>
          <w:color w:val="000000" w:themeColor="text1"/>
          <w:sz w:val="24"/>
          <w:szCs w:val="24"/>
        </w:rPr>
        <w:t xml:space="preserve">therapy </w:t>
      </w:r>
      <w:r w:rsidRPr="00F31BD2">
        <w:rPr>
          <w:color w:val="000000" w:themeColor="text1"/>
          <w:sz w:val="24"/>
          <w:szCs w:val="24"/>
        </w:rPr>
        <w:t xml:space="preserve">among </w:t>
      </w:r>
      <w:r w:rsidR="0089225D">
        <w:rPr>
          <w:color w:val="000000" w:themeColor="text1"/>
          <w:sz w:val="24"/>
          <w:szCs w:val="24"/>
        </w:rPr>
        <w:t xml:space="preserve">patients with </w:t>
      </w:r>
      <w:r w:rsidRPr="00F31BD2">
        <w:rPr>
          <w:color w:val="000000" w:themeColor="text1"/>
          <w:sz w:val="24"/>
          <w:szCs w:val="24"/>
        </w:rPr>
        <w:t>the clinical AE-IIPs types</w:t>
      </w:r>
      <w:r w:rsidR="0089225D">
        <w:rPr>
          <w:color w:val="000000" w:themeColor="text1"/>
          <w:sz w:val="24"/>
          <w:szCs w:val="24"/>
        </w:rPr>
        <w:t>:</w:t>
      </w:r>
      <w:r w:rsidRPr="00F31BD2">
        <w:rPr>
          <w:color w:val="000000" w:themeColor="text1"/>
          <w:sz w:val="24"/>
          <w:szCs w:val="24"/>
        </w:rPr>
        <w:t xml:space="preserve"> idiopathic, infection-triggered, and non-infection triggered. Blue, red, and green lines indicate the number of patients and survival </w:t>
      </w:r>
      <w:r w:rsidR="00380B0D">
        <w:rPr>
          <w:color w:val="000000" w:themeColor="text1"/>
          <w:sz w:val="24"/>
          <w:szCs w:val="24"/>
        </w:rPr>
        <w:t>of patients with</w:t>
      </w:r>
      <w:r w:rsidR="00380B0D" w:rsidRPr="00F31BD2">
        <w:rPr>
          <w:color w:val="000000" w:themeColor="text1"/>
          <w:sz w:val="24"/>
          <w:szCs w:val="24"/>
        </w:rPr>
        <w:t xml:space="preserve"> </w:t>
      </w:r>
      <w:r w:rsidRPr="00F31BD2">
        <w:rPr>
          <w:color w:val="000000" w:themeColor="text1"/>
          <w:sz w:val="24"/>
          <w:szCs w:val="24"/>
        </w:rPr>
        <w:t>non-infection-triggered, infection-triggered, and idiopathic</w:t>
      </w:r>
      <w:r w:rsidR="0089225D">
        <w:rPr>
          <w:color w:val="000000" w:themeColor="text1"/>
          <w:sz w:val="24"/>
          <w:szCs w:val="24"/>
        </w:rPr>
        <w:t xml:space="preserve"> </w:t>
      </w:r>
      <w:r w:rsidR="0089225D" w:rsidRPr="00F31BD2">
        <w:rPr>
          <w:color w:val="000000" w:themeColor="text1"/>
          <w:sz w:val="24"/>
          <w:szCs w:val="24"/>
        </w:rPr>
        <w:t>IIPs</w:t>
      </w:r>
      <w:r w:rsidRPr="00F31BD2">
        <w:rPr>
          <w:color w:val="000000" w:themeColor="text1"/>
          <w:sz w:val="24"/>
          <w:szCs w:val="24"/>
        </w:rPr>
        <w:t xml:space="preserve">. (D) Difference in survival time </w:t>
      </w:r>
      <w:r w:rsidR="00380B0D">
        <w:rPr>
          <w:color w:val="000000" w:themeColor="text1"/>
          <w:sz w:val="24"/>
          <w:szCs w:val="24"/>
        </w:rPr>
        <w:t xml:space="preserve">since the initiation of </w:t>
      </w:r>
      <w:r w:rsidRPr="00F31BD2">
        <w:rPr>
          <w:color w:val="000000" w:themeColor="text1"/>
          <w:sz w:val="24"/>
          <w:szCs w:val="24"/>
        </w:rPr>
        <w:t xml:space="preserve">PMX-DHP between </w:t>
      </w:r>
      <w:r w:rsidR="00970C7E">
        <w:rPr>
          <w:color w:val="000000" w:themeColor="text1"/>
          <w:sz w:val="24"/>
          <w:szCs w:val="24"/>
        </w:rPr>
        <w:t xml:space="preserve">patients who received </w:t>
      </w:r>
      <w:r w:rsidRPr="00F31BD2">
        <w:rPr>
          <w:color w:val="000000" w:themeColor="text1"/>
          <w:sz w:val="24"/>
          <w:szCs w:val="24"/>
        </w:rPr>
        <w:t xml:space="preserve">PMX-DHP </w:t>
      </w:r>
      <w:r w:rsidR="00970C7E">
        <w:rPr>
          <w:color w:val="000000" w:themeColor="text1"/>
          <w:sz w:val="24"/>
          <w:szCs w:val="24"/>
        </w:rPr>
        <w:t xml:space="preserve">within </w:t>
      </w:r>
      <w:r w:rsidRPr="00F31BD2">
        <w:rPr>
          <w:color w:val="000000" w:themeColor="text1"/>
          <w:sz w:val="24"/>
          <w:szCs w:val="24"/>
        </w:rPr>
        <w:t xml:space="preserve">and </w:t>
      </w:r>
      <w:r w:rsidR="00970C7E">
        <w:rPr>
          <w:color w:val="000000" w:themeColor="text1"/>
          <w:sz w:val="24"/>
          <w:szCs w:val="24"/>
        </w:rPr>
        <w:lastRenderedPageBreak/>
        <w:t xml:space="preserve">after </w:t>
      </w:r>
      <w:r w:rsidRPr="00F31BD2">
        <w:rPr>
          <w:color w:val="000000" w:themeColor="text1"/>
          <w:sz w:val="24"/>
          <w:szCs w:val="24"/>
        </w:rPr>
        <w:t xml:space="preserve">48 h. Blue and red lines indicate the number of patients and survival </w:t>
      </w:r>
      <w:r w:rsidR="00970C7E">
        <w:rPr>
          <w:color w:val="000000" w:themeColor="text1"/>
          <w:sz w:val="24"/>
          <w:szCs w:val="24"/>
        </w:rPr>
        <w:t xml:space="preserve">of the patients who received therapy within </w:t>
      </w:r>
      <w:r w:rsidRPr="00F31BD2">
        <w:rPr>
          <w:color w:val="000000" w:themeColor="text1"/>
          <w:sz w:val="24"/>
          <w:szCs w:val="24"/>
        </w:rPr>
        <w:t xml:space="preserve">and </w:t>
      </w:r>
      <w:r w:rsidR="00970C7E">
        <w:rPr>
          <w:color w:val="000000" w:themeColor="text1"/>
          <w:sz w:val="24"/>
          <w:szCs w:val="24"/>
        </w:rPr>
        <w:t xml:space="preserve">after </w:t>
      </w:r>
      <w:r w:rsidRPr="00F31BD2">
        <w:rPr>
          <w:color w:val="000000" w:themeColor="text1"/>
          <w:sz w:val="24"/>
          <w:szCs w:val="24"/>
        </w:rPr>
        <w:t xml:space="preserve">48 h, respectively. p-value was calculated using the log-rank test in all analyses. </w:t>
      </w:r>
    </w:p>
    <w:p w14:paraId="55BEB804" w14:textId="77777777" w:rsidR="00DA204F" w:rsidRPr="00F31BD2" w:rsidRDefault="00DA204F" w:rsidP="000D7257">
      <w:pPr>
        <w:spacing w:line="480" w:lineRule="auto"/>
        <w:jc w:val="left"/>
        <w:rPr>
          <w:color w:val="000000" w:themeColor="text1"/>
          <w:sz w:val="24"/>
          <w:szCs w:val="24"/>
        </w:rPr>
        <w:sectPr w:rsidR="00DA204F" w:rsidRPr="00F31BD2" w:rsidSect="004B4C3C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55BEB805" w14:textId="77777777" w:rsidR="00DA204F" w:rsidRPr="00F31BD2" w:rsidRDefault="0033123F" w:rsidP="00DA204F">
      <w:pPr>
        <w:rPr>
          <w:rFonts w:eastAsia="HG丸ｺﾞｼｯｸM-PRO"/>
          <w:b/>
          <w:bCs w:val="0"/>
          <w:color w:val="000000" w:themeColor="text1"/>
          <w:sz w:val="28"/>
          <w:szCs w:val="28"/>
        </w:rPr>
      </w:pPr>
      <w:r w:rsidRPr="00F31BD2">
        <w:rPr>
          <w:rFonts w:eastAsia="HG丸ｺﾞｼｯｸM-PRO" w:hint="eastAsia"/>
          <w:b/>
          <w:bCs w:val="0"/>
          <w:color w:val="000000" w:themeColor="text1"/>
          <w:sz w:val="28"/>
          <w:szCs w:val="28"/>
        </w:rPr>
        <w:lastRenderedPageBreak/>
        <w:t>S</w:t>
      </w:r>
      <w:r w:rsidRPr="00F31BD2">
        <w:rPr>
          <w:rFonts w:eastAsia="HG丸ｺﾞｼｯｸM-PRO"/>
          <w:b/>
          <w:bCs w:val="0"/>
          <w:color w:val="000000" w:themeColor="text1"/>
          <w:sz w:val="28"/>
          <w:szCs w:val="28"/>
        </w:rPr>
        <w:t>upplementary Table</w:t>
      </w:r>
    </w:p>
    <w:p w14:paraId="55BEB806" w14:textId="77777777" w:rsidR="00DA204F" w:rsidRPr="00F31BD2" w:rsidRDefault="00DA204F" w:rsidP="00DA204F">
      <w:pPr>
        <w:rPr>
          <w:rFonts w:eastAsia="HG丸ｺﾞｼｯｸM-PRO"/>
          <w:b/>
          <w:bCs w:val="0"/>
          <w:color w:val="000000" w:themeColor="text1"/>
          <w:sz w:val="28"/>
          <w:szCs w:val="28"/>
        </w:rPr>
      </w:pPr>
    </w:p>
    <w:p w14:paraId="55BEB807" w14:textId="77777777" w:rsidR="00DA204F" w:rsidRPr="00F31BD2" w:rsidRDefault="0033123F" w:rsidP="00DA204F">
      <w:pPr>
        <w:rPr>
          <w:rFonts w:eastAsia="HG丸ｺﾞｼｯｸM-PRO"/>
          <w:b/>
          <w:bCs w:val="0"/>
          <w:color w:val="000000" w:themeColor="text1"/>
          <w:sz w:val="24"/>
          <w:szCs w:val="24"/>
        </w:rPr>
      </w:pPr>
      <w:r w:rsidRPr="00F31BD2">
        <w:rPr>
          <w:rFonts w:eastAsia="HG丸ｺﾞｼｯｸM-PRO"/>
          <w:b/>
          <w:bCs w:val="0"/>
          <w:color w:val="000000" w:themeColor="text1"/>
          <w:sz w:val="24"/>
          <w:szCs w:val="24"/>
        </w:rPr>
        <w:t xml:space="preserve">Supplementary </w:t>
      </w:r>
      <w:r w:rsidRPr="00F31BD2">
        <w:rPr>
          <w:rFonts w:eastAsia="HG丸ｺﾞｼｯｸM-PRO" w:hint="eastAsia"/>
          <w:b/>
          <w:bCs w:val="0"/>
          <w:color w:val="000000" w:themeColor="text1"/>
          <w:sz w:val="24"/>
          <w:szCs w:val="24"/>
        </w:rPr>
        <w:t>T</w:t>
      </w:r>
      <w:r w:rsidRPr="00F31BD2">
        <w:rPr>
          <w:rFonts w:eastAsia="HG丸ｺﾞｼｯｸM-PRO"/>
          <w:b/>
          <w:bCs w:val="0"/>
          <w:color w:val="000000" w:themeColor="text1"/>
          <w:sz w:val="24"/>
          <w:szCs w:val="24"/>
        </w:rPr>
        <w:t>able 1</w:t>
      </w:r>
      <w:r w:rsidR="00175374" w:rsidRPr="00F31BD2">
        <w:rPr>
          <w:rFonts w:eastAsia="HG丸ｺﾞｼｯｸM-PRO"/>
          <w:b/>
          <w:bCs w:val="0"/>
          <w:color w:val="000000" w:themeColor="text1"/>
          <w:sz w:val="24"/>
          <w:szCs w:val="24"/>
        </w:rPr>
        <w:t>.</w:t>
      </w:r>
      <w:r w:rsidRPr="00F31BD2">
        <w:rPr>
          <w:rFonts w:eastAsia="HG丸ｺﾞｼｯｸM-PRO"/>
          <w:b/>
          <w:bCs w:val="0"/>
          <w:color w:val="000000" w:themeColor="text1"/>
          <w:sz w:val="24"/>
          <w:szCs w:val="24"/>
        </w:rPr>
        <w:t xml:space="preserve"> The difference in serum markers associated with interstitial pneumonia between survival over and within 30 days</w:t>
      </w:r>
    </w:p>
    <w:tbl>
      <w:tblPr>
        <w:tblpPr w:leftFromText="142" w:rightFromText="142" w:vertAnchor="text" w:horzAnchor="margin" w:tblpY="80"/>
        <w:tblW w:w="1260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676"/>
        <w:gridCol w:w="2126"/>
        <w:gridCol w:w="2693"/>
        <w:gridCol w:w="2410"/>
        <w:gridCol w:w="1701"/>
      </w:tblGrid>
      <w:tr w:rsidR="00A238C9" w14:paraId="55BEB811" w14:textId="77777777" w:rsidTr="00494B6E">
        <w:trPr>
          <w:trHeight w:val="479"/>
        </w:trPr>
        <w:tc>
          <w:tcPr>
            <w:tcW w:w="367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08" w14:textId="77777777" w:rsidR="00DA204F" w:rsidRPr="00F31BD2" w:rsidRDefault="00DA204F" w:rsidP="00494B6E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09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/>
                <w:color w:val="000000" w:themeColor="text1"/>
                <w:kern w:val="24"/>
              </w:rPr>
              <w:t>Total</w:t>
            </w:r>
          </w:p>
          <w:p w14:paraId="55BEB80A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/>
                <w:color w:val="000000" w:themeColor="text1"/>
                <w:kern w:val="24"/>
              </w:rPr>
              <w:t>N = 33</w:t>
            </w: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0B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/>
                <w:color w:val="000000" w:themeColor="text1"/>
                <w:kern w:val="24"/>
              </w:rPr>
              <w:t xml:space="preserve">Survival </w:t>
            </w:r>
            <w:r w:rsidRPr="00F31BD2">
              <w:rPr>
                <w:rFonts w:eastAsia="ＭＳ Ｐゴシック" w:hint="eastAsia"/>
                <w:b/>
                <w:color w:val="000000" w:themeColor="text1"/>
                <w:kern w:val="24"/>
              </w:rPr>
              <w:t>≥</w:t>
            </w:r>
            <w:r w:rsidRPr="00F31BD2">
              <w:rPr>
                <w:rFonts w:eastAsia="ＭＳ Ｐゴシック" w:hint="eastAsia"/>
                <w:b/>
                <w:color w:val="000000" w:themeColor="text1"/>
                <w:kern w:val="24"/>
              </w:rPr>
              <w:t xml:space="preserve"> </w:t>
            </w:r>
            <w:r w:rsidRPr="00F31BD2">
              <w:rPr>
                <w:rFonts w:eastAsia="ＭＳ Ｐゴシック"/>
                <w:b/>
                <w:color w:val="000000" w:themeColor="text1"/>
                <w:kern w:val="24"/>
              </w:rPr>
              <w:t>30 days</w:t>
            </w:r>
          </w:p>
          <w:p w14:paraId="55BEB80C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/>
                <w:color w:val="000000" w:themeColor="text1"/>
                <w:kern w:val="24"/>
              </w:rPr>
              <w:t>N = 18</w:t>
            </w:r>
          </w:p>
        </w:tc>
        <w:tc>
          <w:tcPr>
            <w:tcW w:w="241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0D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/>
                <w:color w:val="000000" w:themeColor="text1"/>
                <w:kern w:val="24"/>
              </w:rPr>
              <w:t xml:space="preserve">Survival </w:t>
            </w:r>
            <w:r w:rsidRPr="00F31BD2">
              <w:rPr>
                <w:rFonts w:eastAsia="ＭＳ Ｐゴシック" w:hint="eastAsia"/>
                <w:b/>
                <w:color w:val="000000" w:themeColor="text1"/>
                <w:kern w:val="24"/>
              </w:rPr>
              <w:t>&lt;</w:t>
            </w:r>
            <w:r w:rsidRPr="00F31BD2">
              <w:rPr>
                <w:rFonts w:eastAsia="ＭＳ Ｐゴシック"/>
                <w:b/>
                <w:color w:val="000000" w:themeColor="text1"/>
                <w:kern w:val="24"/>
              </w:rPr>
              <w:t xml:space="preserve"> 30 days</w:t>
            </w:r>
          </w:p>
          <w:p w14:paraId="55BEB80E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/>
                <w:color w:val="000000" w:themeColor="text1"/>
                <w:kern w:val="24"/>
              </w:rPr>
              <w:t>N = 15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0F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/>
                <w:i/>
                <w:iCs/>
                <w:color w:val="000000" w:themeColor="text1"/>
                <w:kern w:val="24"/>
              </w:rPr>
            </w:pPr>
          </w:p>
          <w:p w14:paraId="55BEB810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</w:rPr>
            </w:pPr>
            <w:r w:rsidRPr="00F31BD2">
              <w:rPr>
                <w:rFonts w:eastAsia="ＭＳ Ｐゴシック"/>
                <w:b/>
                <w:i/>
                <w:iCs/>
                <w:color w:val="000000" w:themeColor="text1"/>
                <w:kern w:val="24"/>
              </w:rPr>
              <w:t>p-value</w:t>
            </w:r>
          </w:p>
        </w:tc>
      </w:tr>
      <w:tr w:rsidR="00A238C9" w14:paraId="55BEB81C" w14:textId="77777777" w:rsidTr="00494B6E">
        <w:trPr>
          <w:trHeight w:val="479"/>
        </w:trPr>
        <w:tc>
          <w:tcPr>
            <w:tcW w:w="367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12" w14:textId="77777777" w:rsidR="00DA204F" w:rsidRPr="00F31BD2" w:rsidRDefault="0033123F" w:rsidP="00494B6E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Baseline serum markers</w:t>
            </w:r>
          </w:p>
          <w:p w14:paraId="55BEB813" w14:textId="77777777" w:rsidR="00DA204F" w:rsidRPr="00F31BD2" w:rsidRDefault="0033123F" w:rsidP="00494B6E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 xml:space="preserve">   KL-6</w:t>
            </w:r>
            <w:r w:rsidR="00CA07A3"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, IU/L</w:t>
            </w:r>
          </w:p>
        </w:tc>
        <w:tc>
          <w:tcPr>
            <w:tcW w:w="2126" w:type="dxa"/>
            <w:tcBorders>
              <w:top w:val="single" w:sz="8" w:space="0" w:color="000000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14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</w:p>
          <w:p w14:paraId="55BEB815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791 (289-2922)</w:t>
            </w:r>
          </w:p>
        </w:tc>
        <w:tc>
          <w:tcPr>
            <w:tcW w:w="2693" w:type="dxa"/>
            <w:tcBorders>
              <w:top w:val="single" w:sz="8" w:space="0" w:color="000000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16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</w:p>
          <w:p w14:paraId="55BEB817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711 (289-2922)</w:t>
            </w:r>
          </w:p>
        </w:tc>
        <w:tc>
          <w:tcPr>
            <w:tcW w:w="2410" w:type="dxa"/>
            <w:tcBorders>
              <w:top w:val="single" w:sz="8" w:space="0" w:color="000000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18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</w:p>
          <w:p w14:paraId="55BEB819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969 (304-2674)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1A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</w:p>
          <w:p w14:paraId="55BEB81B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0.5551</w:t>
            </w:r>
          </w:p>
        </w:tc>
      </w:tr>
      <w:tr w:rsidR="00A238C9" w14:paraId="55BEB822" w14:textId="77777777" w:rsidTr="00494B6E">
        <w:trPr>
          <w:trHeight w:val="479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1D" w14:textId="77777777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color w:val="000000" w:themeColor="text1"/>
              </w:rPr>
              <w:t xml:space="preserve">   SP-D, ng/mL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1E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219 (84-484)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1F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199 (94-484)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0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264 (84-414)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1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0.8003</w:t>
            </w:r>
          </w:p>
        </w:tc>
      </w:tr>
      <w:tr w:rsidR="00A238C9" w14:paraId="55BEB828" w14:textId="77777777" w:rsidTr="00494B6E">
        <w:trPr>
          <w:trHeight w:val="479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3" w14:textId="77777777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color w:val="000000" w:themeColor="text1"/>
              </w:rPr>
              <w:t xml:space="preserve">   LDH, IU/L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4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242 (158-897)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5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240 (167-897)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6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242 (158-482)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7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0.5993</w:t>
            </w:r>
          </w:p>
        </w:tc>
      </w:tr>
      <w:tr w:rsidR="00A238C9" w14:paraId="55BEB82E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9" w14:textId="77777777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color w:val="000000" w:themeColor="text1"/>
              </w:rPr>
              <w:t xml:space="preserve">   WBC, /µL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A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9700 (3900-15700)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B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8800 (3900-14200)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C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10500 (5700-15700)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2D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0.1887</w:t>
            </w:r>
          </w:p>
        </w:tc>
      </w:tr>
      <w:tr w:rsidR="00A238C9" w14:paraId="55BEB834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2F" w14:textId="77777777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 xml:space="preserve">   Neutrophil, /µL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30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7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300 (2450-14200)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31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6001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 xml:space="preserve"> (2450-11520)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32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8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245 (4176-14200)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33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i/>
                <w:iCs/>
                <w:color w:val="000000" w:themeColor="text1"/>
                <w:kern w:val="24"/>
              </w:rPr>
              <w:t>0</w:t>
            </w: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.0</w:t>
            </w:r>
            <w:r w:rsidRPr="00F31BD2">
              <w:rPr>
                <w:rFonts w:eastAsia="ＭＳ Ｐゴシック" w:hint="eastAsia"/>
                <w:bCs w:val="0"/>
                <w:i/>
                <w:iCs/>
                <w:color w:val="000000" w:themeColor="text1"/>
                <w:kern w:val="24"/>
              </w:rPr>
              <w:t>503</w:t>
            </w:r>
          </w:p>
        </w:tc>
      </w:tr>
      <w:tr w:rsidR="00A238C9" w14:paraId="55BEB83A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35" w14:textId="3945A379" w:rsidR="00CA07A3" w:rsidRPr="00F31BD2" w:rsidRDefault="0033123F" w:rsidP="00CA07A3">
            <w:pPr>
              <w:widowControl/>
              <w:ind w:firstLineChars="150" w:firstLine="315"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>Lymphocyte</w:t>
            </w:r>
            <w:r w:rsidR="007653AF">
              <w:rPr>
                <w:color w:val="000000" w:themeColor="text1"/>
              </w:rPr>
              <w:t>,</w:t>
            </w:r>
            <w:r w:rsidRPr="00F31BD2">
              <w:rPr>
                <w:color w:val="000000" w:themeColor="text1"/>
              </w:rPr>
              <w:t xml:space="preserve"> /µL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36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1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377 (157-3884)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37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1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461 (315-2430)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38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1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377 (157-3884)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39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i/>
                <w:iCs/>
                <w:color w:val="000000" w:themeColor="text1"/>
                <w:kern w:val="24"/>
              </w:rPr>
              <w:t>0</w:t>
            </w: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.5337</w:t>
            </w:r>
          </w:p>
        </w:tc>
      </w:tr>
      <w:tr w:rsidR="00A238C9" w14:paraId="55BEB840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3B" w14:textId="77777777" w:rsidR="00CA07A3" w:rsidRPr="00F31BD2" w:rsidRDefault="0033123F" w:rsidP="00CA07A3">
            <w:pPr>
              <w:widowControl/>
              <w:ind w:firstLineChars="150" w:firstLine="315"/>
              <w:jc w:val="left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color w:val="000000" w:themeColor="text1"/>
              </w:rPr>
              <w:t>CRP, mg/dL</w:t>
            </w:r>
          </w:p>
        </w:tc>
        <w:tc>
          <w:tcPr>
            <w:tcW w:w="2126" w:type="dxa"/>
            <w:tcBorders>
              <w:top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3C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1.55 (0.1-16.92)</w:t>
            </w:r>
          </w:p>
        </w:tc>
        <w:tc>
          <w:tcPr>
            <w:tcW w:w="2693" w:type="dxa"/>
            <w:tcBorders>
              <w:top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3D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1.62 (0.13-12.63)</w:t>
            </w:r>
          </w:p>
        </w:tc>
        <w:tc>
          <w:tcPr>
            <w:tcW w:w="2410" w:type="dxa"/>
            <w:tcBorders>
              <w:top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3E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1.51 (0.15-16.92)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3F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0.9237</w:t>
            </w:r>
          </w:p>
        </w:tc>
      </w:tr>
      <w:tr w:rsidR="00A238C9" w14:paraId="55BEB846" w14:textId="77777777" w:rsidTr="00494B6E">
        <w:trPr>
          <w:trHeight w:val="434"/>
        </w:trPr>
        <w:tc>
          <w:tcPr>
            <w:tcW w:w="36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41" w14:textId="23DB0B6D" w:rsidR="00CA07A3" w:rsidRPr="00F31BD2" w:rsidRDefault="0033123F" w:rsidP="00CA07A3">
            <w:pPr>
              <w:widowControl/>
              <w:ind w:firstLineChars="150" w:firstLine="315"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>Platelet</w:t>
            </w:r>
            <w:r w:rsidR="007653AF">
              <w:rPr>
                <w:color w:val="000000" w:themeColor="text1"/>
              </w:rPr>
              <w:t>,</w:t>
            </w:r>
            <w:r w:rsidR="007653AF" w:rsidRPr="00F31BD2">
              <w:rPr>
                <w:color w:val="000000" w:themeColor="text1"/>
              </w:rPr>
              <w:t xml:space="preserve"> </w:t>
            </w:r>
            <w:r w:rsidRPr="00F31BD2">
              <w:rPr>
                <w:color w:val="000000" w:themeColor="text1"/>
              </w:rPr>
              <w:t>/µL</w:t>
            </w:r>
          </w:p>
        </w:tc>
        <w:tc>
          <w:tcPr>
            <w:tcW w:w="21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42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2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1.5 (4.3-47.8)</w:t>
            </w:r>
          </w:p>
        </w:tc>
        <w:tc>
          <w:tcPr>
            <w:tcW w:w="269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43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2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2.3 (4.3-41.1)</w:t>
            </w:r>
          </w:p>
        </w:tc>
        <w:tc>
          <w:tcPr>
            <w:tcW w:w="241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44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2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0.2 (9.6-47.8)</w:t>
            </w:r>
          </w:p>
        </w:tc>
        <w:tc>
          <w:tcPr>
            <w:tcW w:w="1701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45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i/>
                <w:iCs/>
                <w:color w:val="000000" w:themeColor="text1"/>
                <w:kern w:val="24"/>
              </w:rPr>
              <w:t>0</w:t>
            </w: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.9515</w:t>
            </w:r>
          </w:p>
        </w:tc>
      </w:tr>
      <w:tr w:rsidR="00A238C9" w14:paraId="55BEB84C" w14:textId="77777777" w:rsidTr="00494B6E">
        <w:trPr>
          <w:trHeight w:val="434"/>
        </w:trPr>
        <w:tc>
          <w:tcPr>
            <w:tcW w:w="3676" w:type="dxa"/>
            <w:tcBorders>
              <w:left w:val="single" w:sz="8" w:space="0" w:color="FFFFFF"/>
              <w:bottom w:val="dashSmallGap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47" w14:textId="31A1B64A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color w:val="000000" w:themeColor="text1"/>
              </w:rPr>
              <w:t xml:space="preserve">   D-dimer</w:t>
            </w:r>
            <w:r w:rsidR="007653AF">
              <w:rPr>
                <w:color w:val="000000" w:themeColor="text1"/>
              </w:rPr>
              <w:t>,</w:t>
            </w:r>
            <w:r w:rsidR="007653AF" w:rsidRPr="00F31BD2">
              <w:rPr>
                <w:color w:val="000000" w:themeColor="text1"/>
              </w:rPr>
              <w:t xml:space="preserve"> </w:t>
            </w:r>
            <w:r w:rsidRPr="00F31BD2">
              <w:rPr>
                <w:color w:val="000000" w:themeColor="text1"/>
              </w:rPr>
              <w:t>ng/mL</w:t>
            </w:r>
          </w:p>
        </w:tc>
        <w:tc>
          <w:tcPr>
            <w:tcW w:w="2126" w:type="dxa"/>
            <w:tcBorders>
              <w:bottom w:val="dashSmallGap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48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1.8 (1.0-8.3)</w:t>
            </w:r>
          </w:p>
        </w:tc>
        <w:tc>
          <w:tcPr>
            <w:tcW w:w="2693" w:type="dxa"/>
            <w:tcBorders>
              <w:bottom w:val="dashSmallGap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49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1.4 (1.0-3.0)</w:t>
            </w:r>
          </w:p>
        </w:tc>
        <w:tc>
          <w:tcPr>
            <w:tcW w:w="2410" w:type="dxa"/>
            <w:tcBorders>
              <w:bottom w:val="dashSmallGap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4A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2.0 (1.0-8.3)</w:t>
            </w:r>
          </w:p>
        </w:tc>
        <w:tc>
          <w:tcPr>
            <w:tcW w:w="1701" w:type="dxa"/>
            <w:tcBorders>
              <w:left w:val="nil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EB84B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0.0654</w:t>
            </w:r>
          </w:p>
        </w:tc>
      </w:tr>
      <w:tr w:rsidR="00A238C9" w14:paraId="55BEB85B" w14:textId="77777777" w:rsidTr="00494B6E">
        <w:trPr>
          <w:trHeight w:val="434"/>
        </w:trPr>
        <w:tc>
          <w:tcPr>
            <w:tcW w:w="3676" w:type="dxa"/>
            <w:tcBorders>
              <w:top w:val="dashSmallGap" w:sz="4" w:space="0" w:color="auto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4D" w14:textId="77777777" w:rsidR="00DA204F" w:rsidRPr="00F31BD2" w:rsidRDefault="0033123F" w:rsidP="00494B6E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 xml:space="preserve">Δ Serum markers between </w:t>
            </w: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PMX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 xml:space="preserve">-DHP </w:t>
            </w: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i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nitiated day and baseline</w:t>
            </w:r>
          </w:p>
          <w:p w14:paraId="55BEB84E" w14:textId="77777777" w:rsidR="00DA204F" w:rsidRPr="00F31BD2" w:rsidRDefault="0033123F" w:rsidP="00494B6E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 xml:space="preserve">   KL-6</w:t>
            </w:r>
            <w:r w:rsidR="00CA07A3"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, IU/L</w:t>
            </w:r>
          </w:p>
        </w:tc>
        <w:tc>
          <w:tcPr>
            <w:tcW w:w="2126" w:type="dxa"/>
            <w:tcBorders>
              <w:top w:val="dashSmallGap" w:sz="4" w:space="0" w:color="auto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4F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</w:p>
          <w:p w14:paraId="55BEB850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</w:p>
          <w:p w14:paraId="55BEB851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334 (-114-4753)</w:t>
            </w:r>
          </w:p>
        </w:tc>
        <w:tc>
          <w:tcPr>
            <w:tcW w:w="2693" w:type="dxa"/>
            <w:tcBorders>
              <w:top w:val="dashSmallGap" w:sz="4" w:space="0" w:color="auto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52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</w:p>
          <w:p w14:paraId="55BEB853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</w:p>
          <w:p w14:paraId="55BEB854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245 (-114-2904)</w:t>
            </w:r>
          </w:p>
        </w:tc>
        <w:tc>
          <w:tcPr>
            <w:tcW w:w="2410" w:type="dxa"/>
            <w:tcBorders>
              <w:top w:val="dashSmallGap" w:sz="4" w:space="0" w:color="auto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55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</w:p>
          <w:p w14:paraId="55BEB856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</w:p>
          <w:p w14:paraId="55BEB857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408 (-10-4753)</w:t>
            </w:r>
          </w:p>
        </w:tc>
        <w:tc>
          <w:tcPr>
            <w:tcW w:w="1701" w:type="dxa"/>
            <w:tcBorders>
              <w:top w:val="dashSmallGap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58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</w:p>
          <w:p w14:paraId="55BEB859" w14:textId="77777777" w:rsidR="00DA204F" w:rsidRPr="00F31BD2" w:rsidRDefault="00DA204F" w:rsidP="00494B6E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</w:p>
          <w:p w14:paraId="55BEB85A" w14:textId="77777777" w:rsidR="00DA204F" w:rsidRPr="00F31BD2" w:rsidRDefault="0033123F" w:rsidP="00494B6E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0.6162</w:t>
            </w:r>
          </w:p>
        </w:tc>
      </w:tr>
      <w:tr w:rsidR="00A238C9" w14:paraId="55BEB861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5C" w14:textId="77777777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 xml:space="preserve">   SP-D, ng/mL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5D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245 (-126-2886)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5E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240 (-126-1318)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5F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406 (60-2886)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0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0.3336</w:t>
            </w:r>
          </w:p>
        </w:tc>
      </w:tr>
      <w:tr w:rsidR="00A238C9" w14:paraId="55BEB867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2" w14:textId="77777777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lastRenderedPageBreak/>
              <w:t xml:space="preserve">   LDH, IU/L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3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89 (-500-549)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4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100 (-500-549)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5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80 (15-391)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6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0.8509</w:t>
            </w:r>
          </w:p>
        </w:tc>
      </w:tr>
      <w:tr w:rsidR="00A238C9" w14:paraId="55BEB86D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8" w14:textId="77777777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 xml:space="preserve">   WBC, /µL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9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2450 (-4000-8700)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A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3300 (-3000-8700)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B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2200 (-4000-7500)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C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0.7272</w:t>
            </w:r>
          </w:p>
        </w:tc>
      </w:tr>
      <w:tr w:rsidR="00A238C9" w14:paraId="55BEB873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E" w14:textId="77777777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 xml:space="preserve">   Neutrophil, /µL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6F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2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596 (-3045-8280)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0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3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096 (-3045-8280)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1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1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070 (-4580-8676)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2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i/>
                <w:iCs/>
                <w:color w:val="000000" w:themeColor="text1"/>
                <w:kern w:val="24"/>
              </w:rPr>
              <w:t>0</w:t>
            </w: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.6365</w:t>
            </w:r>
          </w:p>
        </w:tc>
      </w:tr>
      <w:tr w:rsidR="00A238C9" w14:paraId="55BEB879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4" w14:textId="7A05DC45" w:rsidR="00CA07A3" w:rsidRPr="00F31BD2" w:rsidRDefault="0033123F" w:rsidP="00CA07A3">
            <w:pPr>
              <w:widowControl/>
              <w:ind w:firstLineChars="150" w:firstLine="315"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>Lymphocyte</w:t>
            </w:r>
            <w:r w:rsidR="007653AF">
              <w:rPr>
                <w:color w:val="000000" w:themeColor="text1"/>
              </w:rPr>
              <w:t>,</w:t>
            </w:r>
            <w:r w:rsidR="007653AF" w:rsidRPr="00F31BD2">
              <w:rPr>
                <w:color w:val="000000" w:themeColor="text1"/>
              </w:rPr>
              <w:t xml:space="preserve"> </w:t>
            </w:r>
            <w:r w:rsidRPr="00F31BD2">
              <w:rPr>
                <w:color w:val="000000" w:themeColor="text1"/>
              </w:rPr>
              <w:t>/µL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5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-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557 (-2169-696)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6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-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568 (-1294-696)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7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-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430 (-2169-423)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8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i/>
                <w:iCs/>
                <w:color w:val="000000" w:themeColor="text1"/>
                <w:kern w:val="24"/>
              </w:rPr>
              <w:t>0</w:t>
            </w: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.8333</w:t>
            </w:r>
          </w:p>
        </w:tc>
      </w:tr>
      <w:tr w:rsidR="00A238C9" w14:paraId="55BEB87F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A" w14:textId="77777777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 xml:space="preserve">   CRP, mg/dL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B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6.65 (-10.56-26.71)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C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5.08 (-3.09-26.71)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D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9.11 (-10.56-17.66)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7E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0.9676</w:t>
            </w:r>
          </w:p>
        </w:tc>
      </w:tr>
      <w:tr w:rsidR="00A238C9" w14:paraId="55BEB885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0" w14:textId="52D59A95" w:rsidR="00CA07A3" w:rsidRPr="00F31BD2" w:rsidRDefault="0033123F" w:rsidP="00CA07A3">
            <w:pPr>
              <w:widowControl/>
              <w:ind w:firstLineChars="150" w:firstLine="315"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>Platelet</w:t>
            </w:r>
            <w:r w:rsidR="007653AF">
              <w:rPr>
                <w:color w:val="000000" w:themeColor="text1"/>
              </w:rPr>
              <w:t>,</w:t>
            </w:r>
            <w:r w:rsidR="007653AF" w:rsidRPr="00F31BD2">
              <w:rPr>
                <w:color w:val="000000" w:themeColor="text1"/>
              </w:rPr>
              <w:t xml:space="preserve"> </w:t>
            </w:r>
            <w:r w:rsidRPr="00F31BD2">
              <w:rPr>
                <w:color w:val="000000" w:themeColor="text1"/>
              </w:rPr>
              <w:t>/µL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1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0.8 (-12.0-16.0)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2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1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.4 (-10.7-16.0)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3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color w:val="000000" w:themeColor="text1"/>
                <w:kern w:val="24"/>
              </w:rPr>
              <w:t>0</w:t>
            </w: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.8 (-12.0-8.3)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4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 w:hint="eastAsia"/>
                <w:bCs w:val="0"/>
                <w:i/>
                <w:iCs/>
                <w:color w:val="000000" w:themeColor="text1"/>
                <w:kern w:val="24"/>
              </w:rPr>
              <w:t>0</w:t>
            </w: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.2898</w:t>
            </w:r>
          </w:p>
        </w:tc>
      </w:tr>
      <w:tr w:rsidR="00A238C9" w14:paraId="55BEB88B" w14:textId="77777777" w:rsidTr="00494B6E">
        <w:trPr>
          <w:trHeight w:val="434"/>
        </w:trPr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6" w14:textId="6798389E" w:rsidR="00CA07A3" w:rsidRPr="00F31BD2" w:rsidRDefault="0033123F" w:rsidP="00CA07A3">
            <w:pPr>
              <w:widowControl/>
              <w:jc w:val="left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color w:val="000000" w:themeColor="text1"/>
              </w:rPr>
              <w:t xml:space="preserve">   D-dimer</w:t>
            </w:r>
            <w:r w:rsidR="007653AF">
              <w:rPr>
                <w:color w:val="000000" w:themeColor="text1"/>
              </w:rPr>
              <w:t>,</w:t>
            </w:r>
            <w:r w:rsidR="007653AF" w:rsidRPr="00F31BD2">
              <w:rPr>
                <w:color w:val="000000" w:themeColor="text1"/>
              </w:rPr>
              <w:t xml:space="preserve"> </w:t>
            </w:r>
            <w:r w:rsidRPr="00F31BD2">
              <w:rPr>
                <w:color w:val="000000" w:themeColor="text1"/>
              </w:rPr>
              <w:t>ng/mL</w:t>
            </w:r>
          </w:p>
        </w:tc>
        <w:tc>
          <w:tcPr>
            <w:tcW w:w="2126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7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1.7 (0.2-41.4)</w:t>
            </w:r>
          </w:p>
        </w:tc>
        <w:tc>
          <w:tcPr>
            <w:tcW w:w="2693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8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1.8 (0.2-41.4)</w:t>
            </w:r>
          </w:p>
        </w:tc>
        <w:tc>
          <w:tcPr>
            <w:tcW w:w="2410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9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color w:val="000000" w:themeColor="text1"/>
                <w:kern w:val="24"/>
              </w:rPr>
              <w:t>1.1 (0.4-41.0)</w:t>
            </w:r>
          </w:p>
        </w:tc>
        <w:tc>
          <w:tcPr>
            <w:tcW w:w="1701" w:type="dxa"/>
            <w:tcBorders>
              <w:top w:val="single" w:sz="8" w:space="0" w:color="FFFFFF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BEB88A" w14:textId="77777777" w:rsidR="00CA07A3" w:rsidRPr="00F31BD2" w:rsidRDefault="0033123F" w:rsidP="00CA07A3">
            <w:pPr>
              <w:widowControl/>
              <w:jc w:val="center"/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</w:pPr>
            <w:r w:rsidRPr="00F31BD2">
              <w:rPr>
                <w:rFonts w:eastAsia="ＭＳ Ｐゴシック"/>
                <w:bCs w:val="0"/>
                <w:i/>
                <w:iCs/>
                <w:color w:val="000000" w:themeColor="text1"/>
                <w:kern w:val="24"/>
              </w:rPr>
              <w:t>0.5346</w:t>
            </w:r>
          </w:p>
        </w:tc>
      </w:tr>
    </w:tbl>
    <w:p w14:paraId="55BEB88C" w14:textId="77777777" w:rsidR="00DA204F" w:rsidRPr="00F31BD2" w:rsidRDefault="00DA204F" w:rsidP="00DA204F">
      <w:pPr>
        <w:rPr>
          <w:color w:val="000000" w:themeColor="text1"/>
        </w:rPr>
      </w:pPr>
    </w:p>
    <w:p w14:paraId="55BEB88D" w14:textId="77777777" w:rsidR="00DA204F" w:rsidRPr="00F31BD2" w:rsidRDefault="00DA204F" w:rsidP="00DA204F">
      <w:pPr>
        <w:rPr>
          <w:color w:val="000000" w:themeColor="text1"/>
        </w:rPr>
      </w:pPr>
    </w:p>
    <w:p w14:paraId="55BEB88E" w14:textId="77777777" w:rsidR="00DA204F" w:rsidRPr="00F31BD2" w:rsidRDefault="00DA204F" w:rsidP="00DA204F">
      <w:pPr>
        <w:rPr>
          <w:color w:val="000000" w:themeColor="text1"/>
        </w:rPr>
      </w:pPr>
    </w:p>
    <w:p w14:paraId="55BEB88F" w14:textId="77777777" w:rsidR="00DA204F" w:rsidRPr="00F31BD2" w:rsidRDefault="00DA204F" w:rsidP="00DA204F">
      <w:pPr>
        <w:rPr>
          <w:color w:val="000000" w:themeColor="text1"/>
        </w:rPr>
      </w:pPr>
    </w:p>
    <w:p w14:paraId="55BEB890" w14:textId="77777777" w:rsidR="00DA204F" w:rsidRPr="00F31BD2" w:rsidRDefault="00DA204F" w:rsidP="00DA204F">
      <w:pPr>
        <w:rPr>
          <w:color w:val="000000" w:themeColor="text1"/>
        </w:rPr>
      </w:pPr>
    </w:p>
    <w:p w14:paraId="55BEB891" w14:textId="77777777" w:rsidR="00DA204F" w:rsidRPr="00F31BD2" w:rsidRDefault="00DA204F" w:rsidP="00DA204F">
      <w:pPr>
        <w:rPr>
          <w:color w:val="000000" w:themeColor="text1"/>
        </w:rPr>
      </w:pPr>
    </w:p>
    <w:p w14:paraId="55BEB892" w14:textId="77777777" w:rsidR="00DA204F" w:rsidRPr="00F31BD2" w:rsidRDefault="00DA204F" w:rsidP="00DA204F">
      <w:pPr>
        <w:rPr>
          <w:color w:val="000000" w:themeColor="text1"/>
        </w:rPr>
      </w:pPr>
    </w:p>
    <w:p w14:paraId="55BEB893" w14:textId="77777777" w:rsidR="00DA204F" w:rsidRPr="00F31BD2" w:rsidRDefault="00DA204F" w:rsidP="00DA204F">
      <w:pPr>
        <w:rPr>
          <w:color w:val="000000" w:themeColor="text1"/>
        </w:rPr>
      </w:pPr>
    </w:p>
    <w:p w14:paraId="55BEB894" w14:textId="77777777" w:rsidR="00DA204F" w:rsidRPr="00F31BD2" w:rsidRDefault="00DA204F" w:rsidP="00DA204F">
      <w:pPr>
        <w:rPr>
          <w:color w:val="000000" w:themeColor="text1"/>
        </w:rPr>
      </w:pPr>
    </w:p>
    <w:p w14:paraId="55BEB895" w14:textId="77777777" w:rsidR="00DA204F" w:rsidRPr="00F31BD2" w:rsidRDefault="00DA204F" w:rsidP="00DA204F">
      <w:pPr>
        <w:rPr>
          <w:color w:val="000000" w:themeColor="text1"/>
        </w:rPr>
      </w:pPr>
    </w:p>
    <w:p w14:paraId="55BEB896" w14:textId="77777777" w:rsidR="00DA204F" w:rsidRPr="00F31BD2" w:rsidRDefault="0033123F" w:rsidP="00DA204F">
      <w:pPr>
        <w:rPr>
          <w:color w:val="000000" w:themeColor="text1"/>
        </w:rPr>
      </w:pPr>
      <w:r w:rsidRPr="00F31BD2">
        <w:rPr>
          <w:color w:val="000000" w:themeColor="text1"/>
        </w:rPr>
        <w:t>Abbreviations: CRP: C-related peptide, KL-6: Krebs von den Lungen-6, LDH: lactate dehydrogenase, SP-D: Surfactant Protein-D, WBC: white blood cell.</w:t>
      </w:r>
    </w:p>
    <w:p w14:paraId="55BEB897" w14:textId="77777777" w:rsidR="00DA204F" w:rsidRPr="00F31BD2" w:rsidRDefault="00DA204F" w:rsidP="000D7257">
      <w:pPr>
        <w:spacing w:line="480" w:lineRule="auto"/>
        <w:jc w:val="left"/>
        <w:rPr>
          <w:color w:val="000000" w:themeColor="text1"/>
          <w:sz w:val="24"/>
          <w:szCs w:val="24"/>
        </w:rPr>
      </w:pPr>
    </w:p>
    <w:sectPr w:rsidR="00DA204F" w:rsidRPr="00F31BD2" w:rsidSect="00341967">
      <w:pgSz w:w="16838" w:h="11906" w:orient="landscape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proofState w:spelling="clean"/>
  <w:trackRevision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C3C"/>
    <w:rsid w:val="00094B77"/>
    <w:rsid w:val="000D7257"/>
    <w:rsid w:val="00175374"/>
    <w:rsid w:val="001F53E7"/>
    <w:rsid w:val="0033123F"/>
    <w:rsid w:val="00352B6B"/>
    <w:rsid w:val="00380B0D"/>
    <w:rsid w:val="003F4CBC"/>
    <w:rsid w:val="004219B0"/>
    <w:rsid w:val="00494B6E"/>
    <w:rsid w:val="004B4C3C"/>
    <w:rsid w:val="00596905"/>
    <w:rsid w:val="005C078D"/>
    <w:rsid w:val="00723DAA"/>
    <w:rsid w:val="007653AF"/>
    <w:rsid w:val="00800FFB"/>
    <w:rsid w:val="0089225D"/>
    <w:rsid w:val="008A4F87"/>
    <w:rsid w:val="00970C7E"/>
    <w:rsid w:val="00973EE8"/>
    <w:rsid w:val="00A238C9"/>
    <w:rsid w:val="00B31FE9"/>
    <w:rsid w:val="00BC1615"/>
    <w:rsid w:val="00C801FF"/>
    <w:rsid w:val="00C930BC"/>
    <w:rsid w:val="00CA07A3"/>
    <w:rsid w:val="00CA6002"/>
    <w:rsid w:val="00D01E48"/>
    <w:rsid w:val="00DA204F"/>
    <w:rsid w:val="00F31BD2"/>
    <w:rsid w:val="00FD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BEB7E8"/>
  <w15:chartTrackingRefBased/>
  <w15:docId w15:val="{1CD9A00D-449F-4439-B9C1-55CD07F05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游明朝" w:hAnsi="Times New Roman" w:cs="Times New Roman"/>
        <w:bCs/>
        <w:sz w:val="21"/>
        <w:szCs w:val="21"/>
        <w:u w:color="000000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7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3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75374"/>
    <w:rPr>
      <w:rFonts w:asciiTheme="majorHAnsi" w:eastAsiaTheme="majorEastAsia" w:hAnsiTheme="majorHAnsi" w:cstheme="majorBidi"/>
      <w:sz w:val="18"/>
      <w:szCs w:val="18"/>
    </w:rPr>
  </w:style>
  <w:style w:type="character" w:customStyle="1" w:styleId="CommentReference1">
    <w:name w:val="Comment Reference1"/>
    <w:basedOn w:val="a0"/>
    <w:rsid w:val="001F53E7"/>
    <w:rPr>
      <w:sz w:val="16"/>
    </w:rPr>
  </w:style>
  <w:style w:type="paragraph" w:customStyle="1" w:styleId="CommentText1">
    <w:name w:val="Comment Text1"/>
    <w:basedOn w:val="a"/>
    <w:rsid w:val="001F53E7"/>
    <w:pPr>
      <w:jc w:val="left"/>
    </w:pPr>
    <w:rPr>
      <w:rFonts w:ascii="Calibri" w:eastAsia="Calibri" w:hAnsi="Calibri" w:cs="Calibri"/>
      <w:sz w:val="20"/>
    </w:rPr>
  </w:style>
  <w:style w:type="paragraph" w:styleId="a5">
    <w:name w:val="annotation text"/>
    <w:basedOn w:val="a"/>
    <w:link w:val="a6"/>
    <w:uiPriority w:val="99"/>
    <w:rsid w:val="001F53E7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rsid w:val="001F53E7"/>
    <w:rPr>
      <w:sz w:val="20"/>
      <w:szCs w:val="20"/>
    </w:rPr>
  </w:style>
  <w:style w:type="character" w:styleId="a7">
    <w:name w:val="annotation reference"/>
    <w:basedOn w:val="a0"/>
    <w:uiPriority w:val="99"/>
    <w:rsid w:val="001F53E7"/>
    <w:rPr>
      <w:sz w:val="16"/>
      <w:szCs w:val="16"/>
    </w:rPr>
  </w:style>
  <w:style w:type="paragraph" w:styleId="a8">
    <w:name w:val="annotation subject"/>
    <w:basedOn w:val="a5"/>
    <w:next w:val="a5"/>
    <w:link w:val="a9"/>
    <w:uiPriority w:val="99"/>
    <w:semiHidden/>
    <w:unhideWhenUsed/>
    <w:rsid w:val="00C801FF"/>
    <w:rPr>
      <w:b/>
    </w:rPr>
  </w:style>
  <w:style w:type="character" w:customStyle="1" w:styleId="a9">
    <w:name w:val="コメント内容 (文字)"/>
    <w:basedOn w:val="a6"/>
    <w:link w:val="a8"/>
    <w:uiPriority w:val="99"/>
    <w:semiHidden/>
    <w:rsid w:val="00C801FF"/>
    <w:rPr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24BAB-384D-4669-8DE0-39D12F21A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加藤 元康</dc:creator>
  <cp:lastModifiedBy>加藤 元康</cp:lastModifiedBy>
  <cp:revision>4</cp:revision>
  <dcterms:created xsi:type="dcterms:W3CDTF">2020-11-15T13:26:00Z</dcterms:created>
  <dcterms:modified xsi:type="dcterms:W3CDTF">2020-11-18T00:49:00Z</dcterms:modified>
</cp:coreProperties>
</file>