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default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Supplementary Material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eastAsia"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1"/>
          <w:lang w:val="en-US" w:eastAsia="zh-CN"/>
        </w:rPr>
        <w:t>Table 1.</w:t>
      </w:r>
      <w:r>
        <w:rPr>
          <w:rFonts w:hint="eastAsia" w:ascii="Times New Roman" w:hAnsi="Times New Roman" w:eastAsia="宋体" w:cs="宋体"/>
          <w:sz w:val="21"/>
        </w:rPr>
        <w:t xml:space="preserve"> </w:t>
      </w:r>
      <w:r>
        <w:rPr>
          <w:rFonts w:hint="eastAsia" w:ascii="Times New Roman" w:hAnsi="Times New Roman" w:eastAsia="宋体" w:cs="宋体"/>
          <w:sz w:val="21"/>
          <w:lang w:val="en-US" w:eastAsia="zh-CN"/>
        </w:rPr>
        <w:t>Characteristic of ROC analysis for the ability of the aldostrone change rate to diagnose bilateral PA</w:t>
      </w:r>
    </w:p>
    <w:tbl>
      <w:tblPr>
        <w:tblStyle w:val="3"/>
        <w:tblW w:w="8394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single" w:color="000000" w:themeColor="text1" w:sz="6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31"/>
        <w:gridCol w:w="864"/>
        <w:gridCol w:w="1115"/>
        <w:gridCol w:w="1126"/>
        <w:gridCol w:w="759"/>
        <w:gridCol w:w="759"/>
        <w:gridCol w:w="658"/>
        <w:gridCol w:w="817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AUC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95%CI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Best cut-off value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Sensitivity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Specificity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PPV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NPV</w:t>
            </w:r>
          </w:p>
        </w:tc>
        <w:tc>
          <w:tcPr>
            <w:tcW w:w="6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+LR</w:t>
            </w:r>
          </w:p>
        </w:tc>
        <w:tc>
          <w:tcPr>
            <w:tcW w:w="8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-LR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single" w:color="000000" w:themeColor="text1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0.604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0.55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-0.65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2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30.00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%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2.8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%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46.2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%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0.48%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0.71%</w:t>
            </w:r>
          </w:p>
        </w:tc>
        <w:tc>
          <w:tcPr>
            <w:tcW w:w="6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1.35</w:t>
            </w:r>
          </w:p>
        </w:tc>
        <w:tc>
          <w:tcPr>
            <w:tcW w:w="81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0.5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AUC. area under the curve, CI. confidential interval, PPV. positive predictive value, NPV. negative predictive value, +LR. positive likelihood ratio, -LR. negative likelihood ratio.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eastAsia" w:ascii="Times New Roman" w:hAnsi="Times New Roman" w:eastAsia="宋体" w:cs="宋体"/>
          <w:sz w:val="21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eastAsia" w:ascii="Times New Roman" w:hAnsi="Times New Roman" w:eastAsia="宋体" w:cs="宋体"/>
          <w:sz w:val="21"/>
          <w:lang w:val="en-US" w:eastAsia="zh-CN"/>
        </w:rPr>
      </w:pPr>
      <w:r>
        <w:rPr>
          <w:rFonts w:hint="eastAsia" w:ascii="Times New Roman" w:hAnsi="Times New Roman" w:eastAsia="宋体" w:cs="宋体"/>
          <w:sz w:val="21"/>
          <w:lang w:val="en-US" w:eastAsia="zh-CN"/>
        </w:rPr>
        <w:t xml:space="preserve">Table 2. Sensitivity and specificity of different cut-off value of PST for detection of bilateral PA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129"/>
        <w:gridCol w:w="1126"/>
        <w:gridCol w:w="759"/>
        <w:gridCol w:w="759"/>
        <w:gridCol w:w="659"/>
        <w:gridCol w:w="659"/>
        <w:gridCol w:w="659"/>
        <w:gridCol w:w="640"/>
        <w:gridCol w:w="671"/>
        <w:gridCol w:w="67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cut-off value</w:t>
            </w:r>
          </w:p>
        </w:tc>
        <w:tc>
          <w:tcPr>
            <w:tcW w:w="112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Sensitivity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(%)</w:t>
            </w:r>
          </w:p>
        </w:tc>
        <w:tc>
          <w:tcPr>
            <w:tcW w:w="1126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Specificity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(%)</w:t>
            </w:r>
          </w:p>
        </w:tc>
        <w:tc>
          <w:tcPr>
            <w:tcW w:w="75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+LR</w:t>
            </w:r>
          </w:p>
        </w:tc>
        <w:tc>
          <w:tcPr>
            <w:tcW w:w="75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>-LR</w:t>
            </w:r>
          </w:p>
        </w:tc>
        <w:tc>
          <w:tcPr>
            <w:tcW w:w="65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TP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(n)</w:t>
            </w:r>
          </w:p>
        </w:tc>
        <w:tc>
          <w:tcPr>
            <w:tcW w:w="65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FP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(n)</w:t>
            </w:r>
          </w:p>
        </w:tc>
        <w:tc>
          <w:tcPr>
            <w:tcW w:w="659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TN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(n)</w:t>
            </w:r>
          </w:p>
        </w:tc>
        <w:tc>
          <w:tcPr>
            <w:tcW w:w="640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FN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(n)</w:t>
            </w:r>
          </w:p>
        </w:tc>
        <w:tc>
          <w:tcPr>
            <w:tcW w:w="671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PPV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(%)</w:t>
            </w:r>
          </w:p>
        </w:tc>
        <w:tc>
          <w:tcPr>
            <w:tcW w:w="677" w:type="dxa"/>
            <w:tcBorders>
              <w:top w:val="single" w:color="000000" w:themeColor="text1" w:sz="12" w:space="0"/>
              <w:bottom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NPV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127%</w:t>
            </w:r>
          </w:p>
        </w:tc>
        <w:tc>
          <w:tcPr>
            <w:tcW w:w="112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7.4</w:t>
            </w:r>
          </w:p>
        </w:tc>
        <w:tc>
          <w:tcPr>
            <w:tcW w:w="1126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90.1</w:t>
            </w:r>
          </w:p>
        </w:tc>
        <w:tc>
          <w:tcPr>
            <w:tcW w:w="75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0.75</w:t>
            </w:r>
          </w:p>
        </w:tc>
        <w:tc>
          <w:tcPr>
            <w:tcW w:w="75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1.03</w:t>
            </w:r>
          </w:p>
        </w:tc>
        <w:tc>
          <w:tcPr>
            <w:tcW w:w="65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16</w:t>
            </w:r>
          </w:p>
        </w:tc>
        <w:tc>
          <w:tcPr>
            <w:tcW w:w="65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31</w:t>
            </w:r>
          </w:p>
        </w:tc>
        <w:tc>
          <w:tcPr>
            <w:tcW w:w="659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283</w:t>
            </w:r>
          </w:p>
        </w:tc>
        <w:tc>
          <w:tcPr>
            <w:tcW w:w="640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201</w:t>
            </w:r>
          </w:p>
        </w:tc>
        <w:tc>
          <w:tcPr>
            <w:tcW w:w="671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0.34</w:t>
            </w:r>
          </w:p>
        </w:tc>
        <w:tc>
          <w:tcPr>
            <w:tcW w:w="677" w:type="dxa"/>
            <w:tcBorders>
              <w:top w:val="single" w:color="000000" w:themeColor="text1" w:sz="6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100%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16.1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84.7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1.06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0.99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35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48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266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182</w:t>
            </w:r>
          </w:p>
        </w:tc>
        <w:tc>
          <w:tcPr>
            <w:tcW w:w="67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0.42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80%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30.9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81.0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1.62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0.85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67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60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254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150</w:t>
            </w:r>
          </w:p>
        </w:tc>
        <w:tc>
          <w:tcPr>
            <w:tcW w:w="67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0.53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50%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52.5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61.5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1.36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0.77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114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121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193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103</w:t>
            </w:r>
          </w:p>
        </w:tc>
        <w:tc>
          <w:tcPr>
            <w:tcW w:w="67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0.49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30%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72.8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46.2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1.35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0.59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158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169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145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59</w:t>
            </w:r>
          </w:p>
        </w:tc>
        <w:tc>
          <w:tcPr>
            <w:tcW w:w="67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0.48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10%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89.4</w:t>
            </w:r>
          </w:p>
        </w:tc>
        <w:tc>
          <w:tcPr>
            <w:tcW w:w="112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25.2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1.19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0.42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194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235</w:t>
            </w:r>
          </w:p>
        </w:tc>
        <w:tc>
          <w:tcPr>
            <w:tcW w:w="6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79</w:t>
            </w:r>
          </w:p>
        </w:tc>
        <w:tc>
          <w:tcPr>
            <w:tcW w:w="6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23</w:t>
            </w:r>
          </w:p>
        </w:tc>
        <w:tc>
          <w:tcPr>
            <w:tcW w:w="67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0.45</w:t>
            </w:r>
          </w:p>
        </w:tc>
        <w:tc>
          <w:tcPr>
            <w:tcW w:w="67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4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0%</w:t>
            </w:r>
          </w:p>
        </w:tc>
        <w:tc>
          <w:tcPr>
            <w:tcW w:w="112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94.9</w:t>
            </w:r>
          </w:p>
        </w:tc>
        <w:tc>
          <w:tcPr>
            <w:tcW w:w="1126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15.3</w:t>
            </w:r>
          </w:p>
        </w:tc>
        <w:tc>
          <w:tcPr>
            <w:tcW w:w="75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1.12</w:t>
            </w:r>
          </w:p>
        </w:tc>
        <w:tc>
          <w:tcPr>
            <w:tcW w:w="75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0.33</w:t>
            </w:r>
          </w:p>
        </w:tc>
        <w:tc>
          <w:tcPr>
            <w:tcW w:w="65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206</w:t>
            </w:r>
          </w:p>
        </w:tc>
        <w:tc>
          <w:tcPr>
            <w:tcW w:w="65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266</w:t>
            </w:r>
          </w:p>
        </w:tc>
        <w:tc>
          <w:tcPr>
            <w:tcW w:w="659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48</w:t>
            </w:r>
          </w:p>
        </w:tc>
        <w:tc>
          <w:tcPr>
            <w:tcW w:w="640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11</w:t>
            </w:r>
          </w:p>
        </w:tc>
        <w:tc>
          <w:tcPr>
            <w:tcW w:w="671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0.44</w:t>
            </w:r>
          </w:p>
        </w:tc>
        <w:tc>
          <w:tcPr>
            <w:tcW w:w="677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/>
              </w:rPr>
              <w:t>0.81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TP. true positives, FP. false positive, TN. true negative, FN. false negative, +LR. positive likelihood ratio, -LR. negative likelihood ratio, PPV. positive predictive value, NPV. negative predictive value.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1"/>
          <w:shd w:val="clear" w:color="auto" w:fill="auto"/>
          <w:lang w:eastAsia="zh-CN"/>
        </w:rPr>
      </w:pPr>
      <w:r>
        <w:rPr>
          <w:rFonts w:hint="default" w:ascii="Times New Roman" w:hAnsi="Times New Roman" w:eastAsia="宋体" w:cs="Times New Roman"/>
          <w:sz w:val="21"/>
          <w:shd w:val="clear" w:color="auto" w:fill="auto"/>
          <w:lang w:eastAsia="zh-CN"/>
        </w:rPr>
        <w:drawing>
          <wp:inline distT="0" distB="0" distL="114300" distR="114300">
            <wp:extent cx="5080000" cy="3810000"/>
            <wp:effectExtent l="4445" t="4445" r="20955" b="14605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sz w:val="21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hd w:val="clear" w:color="auto" w:fill="auto"/>
          <w:lang w:val="en-US" w:eastAsia="zh-CN"/>
        </w:rPr>
        <w:t>Figure 1. outcomes of AVS for the different CT findings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2MjMyZWFiMmZiZDE0ODliYWM2NWM1YzBlNTM5MmQifQ=="/>
  </w:docVars>
  <w:rsids>
    <w:rsidRoot w:val="6CC166E8"/>
    <w:rsid w:val="07D94090"/>
    <w:rsid w:val="0E175D3E"/>
    <w:rsid w:val="0ED369C1"/>
    <w:rsid w:val="12665599"/>
    <w:rsid w:val="22233450"/>
    <w:rsid w:val="248702FC"/>
    <w:rsid w:val="27A5103F"/>
    <w:rsid w:val="2B8C0F10"/>
    <w:rsid w:val="2D235F73"/>
    <w:rsid w:val="2E645DAF"/>
    <w:rsid w:val="2F89261C"/>
    <w:rsid w:val="35062223"/>
    <w:rsid w:val="3FEB61B1"/>
    <w:rsid w:val="48B40105"/>
    <w:rsid w:val="4E3B6D20"/>
    <w:rsid w:val="6CC1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Left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Left Lesion</c:v>
                </c:pt>
                <c:pt idx="1">
                  <c:v>Right Lesion</c:v>
                </c:pt>
                <c:pt idx="2">
                  <c:v>Bilateral Lesion</c:v>
                </c:pt>
                <c:pt idx="3">
                  <c:v>Bilateral Normal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89</c:v>
                </c:pt>
                <c:pt idx="1">
                  <c:v>6</c:v>
                </c:pt>
                <c:pt idx="2">
                  <c:v>20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Right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Left Lesion</c:v>
                </c:pt>
                <c:pt idx="1">
                  <c:v>Right Lesion</c:v>
                </c:pt>
                <c:pt idx="2">
                  <c:v>Bilateral Lesion</c:v>
                </c:pt>
                <c:pt idx="3">
                  <c:v>Bilateral Normal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55</c:v>
                </c:pt>
                <c:pt idx="1">
                  <c:v>49</c:v>
                </c:pt>
                <c:pt idx="2">
                  <c:v>25</c:v>
                </c:pt>
                <c:pt idx="3">
                  <c:v>53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Bilateral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Left Lesion</c:v>
                </c:pt>
                <c:pt idx="1">
                  <c:v>Right Lesion</c:v>
                </c:pt>
                <c:pt idx="2">
                  <c:v>Bilateral Lesion</c:v>
                </c:pt>
                <c:pt idx="3">
                  <c:v>Bilateral Normal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73</c:v>
                </c:pt>
                <c:pt idx="1">
                  <c:v>11</c:v>
                </c:pt>
                <c:pt idx="2">
                  <c:v>29</c:v>
                </c:pt>
                <c:pt idx="3">
                  <c:v>104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8041678"/>
        <c:axId val="597492522"/>
      </c:barChart>
      <c:catAx>
        <c:axId val="178041678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5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sz="1050" b="1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CT finding</a:t>
                </a:r>
                <a:endParaRPr sz="1050" b="1">
                  <a:solidFill>
                    <a:sysClr val="windowText" lastClr="000000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97492522"/>
        <c:crosses val="autoZero"/>
        <c:auto val="1"/>
        <c:lblAlgn val="ctr"/>
        <c:lblOffset val="100"/>
        <c:noMultiLvlLbl val="0"/>
      </c:catAx>
      <c:valAx>
        <c:axId val="59749252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5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sz="1050" b="1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Outcomes of AVS</a:t>
                </a:r>
                <a:r>
                  <a:rPr lang="en-US" altLang="zh-CN" sz="1050" b="1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(N)</a:t>
                </a:r>
                <a:endParaRPr lang="en-US" altLang="zh-CN" sz="1050" b="1">
                  <a:solidFill>
                    <a:schemeClr val="tx1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4842"/>
              <c:y val="0.91466666666666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7804167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b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b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b" anchorCtr="1"/>
          <a:lstStyle/>
          <a:p>
            <a:pPr>
              <a:defRPr lang="zh-CN" sz="105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45375"/>
          <c:y val="0.841666666666667"/>
          <c:w val="0.3095"/>
          <c:h val="0.054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b" anchorCtr="1"/>
        <a:lstStyle/>
        <a:p>
          <a:pPr>
            <a:defRPr lang="zh-CN" sz="105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1030</Characters>
  <Lines>0</Lines>
  <Paragraphs>0</Paragraphs>
  <TotalTime>25</TotalTime>
  <ScaleCrop>false</ScaleCrop>
  <LinksUpToDate>false</LinksUpToDate>
  <CharactersWithSpaces>1126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2022-07-24T03:33:00Z</dcterms:created>
  <dc:creator>Administrator</dc:creator>
  <cp:lastModifiedBy>双嘧达莫</cp:lastModifiedBy>
  <dcterms:modified xsi:type="dcterms:W3CDTF">2022-11-15T13:53:59Z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5C12C3642601496C855CB2F537DA7155</vt:lpwstr>
  </property>
</Properties>
</file>