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0"/>
        <w:spacing w:line="480" w:lineRule="auto"/>
        <w:jc w:val="center"/>
        <w:rPr>
          <w:rFonts w:hint="eastAsia" w:eastAsia="等线"/>
          <w:b/>
          <w:color w:val="231F20"/>
          <w:sz w:val="36"/>
          <w:szCs w:val="36"/>
          <w:lang w:eastAsia="zh-CN" w:bidi="ar"/>
        </w:rPr>
      </w:pPr>
      <w:bookmarkStart w:id="0" w:name="_Hlk105941033"/>
      <w:r>
        <w:rPr>
          <w:rFonts w:eastAsia="等线"/>
          <w:b/>
          <w:color w:val="231F20"/>
          <w:sz w:val="36"/>
          <w:szCs w:val="36"/>
          <w:lang w:eastAsia="zh-CN" w:bidi="ar"/>
        </w:rPr>
        <w:t>Supporting Information</w:t>
      </w:r>
    </w:p>
    <w:p>
      <w:pPr>
        <w:adjustRightInd w:val="0"/>
        <w:snapToGrid w:val="0"/>
        <w:spacing w:line="360" w:lineRule="auto"/>
        <w:rPr>
          <w:rFonts w:ascii="Calibri" w:hAnsi="Calibri" w:cs="Calibri"/>
          <w:b/>
          <w:bCs/>
          <w:color w:val="000000"/>
          <w:sz w:val="32"/>
          <w:szCs w:val="28"/>
        </w:rPr>
      </w:pPr>
    </w:p>
    <w:bookmarkEnd w:id="0"/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both"/>
        <w:textAlignment w:val="auto"/>
        <w:rPr>
          <w:rFonts w:hint="eastAsia" w:ascii="Adobe 黑体 Std R" w:hAnsi="Adobe 黑体 Std R" w:eastAsia="Adobe 黑体 Std R" w:cs="Adobe 黑体 Std R"/>
          <w:b/>
          <w:bCs/>
          <w:color w:val="231F20"/>
          <w:kern w:val="0"/>
          <w:sz w:val="24"/>
          <w:szCs w:val="24"/>
          <w:lang w:val="en-US" w:eastAsia="zh-CN" w:bidi="ar"/>
        </w:rPr>
      </w:pPr>
      <w:r>
        <w:rPr>
          <w:rFonts w:hint="eastAsia" w:ascii="Adobe 黑体 Std R" w:hAnsi="Adobe 黑体 Std R" w:eastAsia="Adobe 黑体 Std R" w:cs="Adobe 黑体 Std R"/>
          <w:b/>
          <w:bCs/>
          <w:color w:val="231F20"/>
          <w:kern w:val="0"/>
          <w:sz w:val="24"/>
          <w:szCs w:val="24"/>
          <w:lang w:val="en-US" w:eastAsia="zh-CN" w:bidi="ar"/>
        </w:rPr>
        <w:t>Hemostatic, antiextravasation, and prehealing drug droplet directional transportation of antibacterial Janus wound plaster based on the structural and wettability gradients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57" w:beforeLines="50" w:line="480" w:lineRule="exact"/>
        <w:jc w:val="both"/>
        <w:textAlignment w:val="auto"/>
        <w:rPr>
          <w:rFonts w:hint="default" w:ascii="Minion Pro" w:hAnsi="Minion Pro" w:eastAsia="宋体" w:cs="Times New Roman"/>
          <w:b/>
          <w:color w:val="auto"/>
          <w:spacing w:val="-4"/>
          <w:sz w:val="28"/>
          <w:szCs w:val="28"/>
          <w:lang w:val="en-US" w:eastAsia="zh-CN"/>
        </w:rPr>
      </w:pPr>
      <w:bookmarkStart w:id="1" w:name="bau0012"/>
      <w:r>
        <w:rPr>
          <w:rFonts w:ascii="Minion Pro" w:hAnsi="Minion Pro" w:eastAsia="宋体" w:cs="Times New Roman"/>
          <w:b/>
          <w:color w:val="auto"/>
          <w:spacing w:val="-4"/>
          <w:sz w:val="28"/>
          <w:szCs w:val="28"/>
          <w:lang w:val="en-US" w:eastAsia="zh-CN"/>
        </w:rPr>
        <w:t>Jing Lin</w:t>
      </w:r>
      <w:r>
        <w:rPr>
          <w:rFonts w:hint="default" w:ascii="Minion Pro" w:hAnsi="Minion Pro" w:eastAsia="宋体" w:cs="Times New Roman"/>
          <w:b/>
          <w:color w:val="auto"/>
          <w:spacing w:val="-4"/>
          <w:sz w:val="28"/>
          <w:szCs w:val="28"/>
          <w:vertAlign w:val="superscript"/>
          <w:lang w:val="en-US" w:eastAsia="zh-CN"/>
        </w:rPr>
        <w:t>a,</w:t>
      </w:r>
      <w:r>
        <w:rPr>
          <w:rFonts w:hint="default" w:ascii="Minion Pro" w:hAnsi="Minion Pro" w:eastAsia="宋体" w:cs="Times New Roman"/>
          <w:b/>
          <w:color w:val="auto"/>
          <w:spacing w:val="-4"/>
          <w:sz w:val="28"/>
          <w:szCs w:val="28"/>
          <w:lang w:val="en-US" w:eastAsia="zh-CN"/>
        </w:rPr>
        <w:t>*</w:t>
      </w:r>
      <w:r>
        <w:rPr>
          <w:rFonts w:ascii="Minion Pro" w:hAnsi="Minion Pro" w:eastAsia="宋体" w:cs="Times New Roman"/>
          <w:b/>
          <w:color w:val="auto"/>
          <w:spacing w:val="-4"/>
          <w:sz w:val="28"/>
          <w:szCs w:val="28"/>
          <w:lang w:val="en-US" w:eastAsia="zh-CN"/>
        </w:rPr>
        <w:t xml:space="preserve">, </w:t>
      </w:r>
      <w:r>
        <w:rPr>
          <w:rFonts w:hint="default" w:ascii="Minion Pro" w:hAnsi="Minion Pro" w:eastAsia="宋体" w:cs="Times New Roman"/>
          <w:b/>
          <w:color w:val="auto"/>
          <w:spacing w:val="-4"/>
          <w:sz w:val="28"/>
          <w:szCs w:val="28"/>
          <w:lang w:val="en-US" w:eastAsia="zh-CN"/>
        </w:rPr>
        <w:t>Zihan</w:t>
      </w:r>
      <w:r>
        <w:rPr>
          <w:rFonts w:ascii="Minion Pro" w:hAnsi="Minion Pro" w:eastAsia="宋体" w:cs="Times New Roman"/>
          <w:b/>
          <w:color w:val="auto"/>
          <w:spacing w:val="-4"/>
          <w:sz w:val="28"/>
          <w:szCs w:val="28"/>
          <w:lang w:val="en-US" w:eastAsia="zh-CN"/>
        </w:rPr>
        <w:t xml:space="preserve"> </w:t>
      </w:r>
      <w:r>
        <w:rPr>
          <w:rFonts w:hint="default" w:ascii="Minion Pro" w:hAnsi="Minion Pro" w:eastAsia="宋体" w:cs="Times New Roman"/>
          <w:b/>
          <w:color w:val="auto"/>
          <w:spacing w:val="-4"/>
          <w:sz w:val="28"/>
          <w:szCs w:val="28"/>
          <w:lang w:val="en-US" w:eastAsia="zh-CN"/>
        </w:rPr>
        <w:t>Hua</w:t>
      </w:r>
      <w:r>
        <w:rPr>
          <w:rFonts w:hint="default" w:ascii="Minion Pro" w:hAnsi="Minion Pro" w:eastAsia="宋体" w:cs="Times New Roman"/>
          <w:b/>
          <w:color w:val="auto"/>
          <w:spacing w:val="-4"/>
          <w:sz w:val="28"/>
          <w:szCs w:val="28"/>
          <w:vertAlign w:val="superscript"/>
          <w:lang w:val="en-US" w:eastAsia="zh-CN"/>
        </w:rPr>
        <w:t>a</w:t>
      </w:r>
      <w:r>
        <w:rPr>
          <w:rFonts w:hint="eastAsia" w:ascii="Minion Pro" w:hAnsi="Minion Pro" w:eastAsia="宋体" w:cs="Times New Roman"/>
          <w:b/>
          <w:color w:val="auto"/>
          <w:spacing w:val="-4"/>
          <w:sz w:val="28"/>
          <w:szCs w:val="28"/>
          <w:vertAlign w:val="superscript"/>
          <w:lang w:val="en-US" w:eastAsia="zh-CN"/>
        </w:rPr>
        <w:t>,d</w:t>
      </w:r>
      <w:r>
        <w:rPr>
          <w:rFonts w:ascii="Minion Pro" w:hAnsi="Minion Pro" w:eastAsia="宋体" w:cs="Times New Roman"/>
          <w:b/>
          <w:color w:val="auto"/>
          <w:spacing w:val="-4"/>
          <w:sz w:val="28"/>
          <w:szCs w:val="28"/>
          <w:lang w:val="en-US" w:eastAsia="zh-CN"/>
        </w:rPr>
        <w:t xml:space="preserve">, </w:t>
      </w:r>
      <w:r>
        <w:rPr>
          <w:rFonts w:hint="default" w:ascii="Minion Pro" w:hAnsi="Minion Pro" w:eastAsia="宋体" w:cs="Times New Roman"/>
          <w:b/>
          <w:color w:val="auto"/>
          <w:spacing w:val="-4"/>
          <w:sz w:val="28"/>
          <w:szCs w:val="28"/>
          <w:lang w:val="en-US" w:eastAsia="zh-CN"/>
        </w:rPr>
        <w:t>Zhen</w:t>
      </w:r>
      <w:r>
        <w:rPr>
          <w:rFonts w:ascii="Minion Pro" w:hAnsi="Minion Pro" w:eastAsia="宋体" w:cs="Times New Roman"/>
          <w:b/>
          <w:color w:val="auto"/>
          <w:spacing w:val="-4"/>
          <w:sz w:val="28"/>
          <w:szCs w:val="28"/>
          <w:lang w:val="en-US" w:eastAsia="zh-CN"/>
        </w:rPr>
        <w:t xml:space="preserve"> </w:t>
      </w:r>
      <w:r>
        <w:rPr>
          <w:rFonts w:hint="default" w:ascii="Minion Pro" w:hAnsi="Minion Pro" w:eastAsia="宋体" w:cs="Times New Roman"/>
          <w:b/>
          <w:color w:val="auto"/>
          <w:spacing w:val="-4"/>
          <w:sz w:val="28"/>
          <w:szCs w:val="28"/>
          <w:lang w:val="en-US" w:eastAsia="zh-CN"/>
        </w:rPr>
        <w:t>Yao</w:t>
      </w:r>
      <w:r>
        <w:rPr>
          <w:rFonts w:hint="default" w:ascii="Minion Pro" w:hAnsi="Minion Pro" w:eastAsia="宋体" w:cs="Times New Roman"/>
          <w:b/>
          <w:color w:val="auto"/>
          <w:spacing w:val="-4"/>
          <w:sz w:val="28"/>
          <w:szCs w:val="28"/>
          <w:vertAlign w:val="superscript"/>
          <w:lang w:val="en-US" w:eastAsia="zh-CN"/>
        </w:rPr>
        <w:t>a</w:t>
      </w:r>
      <w:r>
        <w:rPr>
          <w:rFonts w:ascii="Minion Pro" w:hAnsi="Minion Pro" w:eastAsia="宋体" w:cs="Times New Roman"/>
          <w:b/>
          <w:color w:val="auto"/>
          <w:spacing w:val="-4"/>
          <w:sz w:val="28"/>
          <w:szCs w:val="28"/>
          <w:lang w:val="en-US" w:eastAsia="zh-CN"/>
        </w:rPr>
        <w:t xml:space="preserve">, </w:t>
      </w:r>
      <w:r>
        <w:rPr>
          <w:rFonts w:hint="default" w:ascii="Minion Pro" w:hAnsi="Minion Pro" w:eastAsia="宋体" w:cs="Times New Roman"/>
          <w:b/>
          <w:color w:val="auto"/>
          <w:spacing w:val="-4"/>
          <w:sz w:val="28"/>
          <w:szCs w:val="28"/>
          <w:lang w:val="en-US" w:eastAsia="zh-CN"/>
        </w:rPr>
        <w:t>Minmin Xiong</w:t>
      </w:r>
      <w:r>
        <w:rPr>
          <w:rFonts w:hint="default" w:ascii="Minion Pro" w:hAnsi="Minion Pro" w:eastAsia="宋体" w:cs="Times New Roman"/>
          <w:b/>
          <w:color w:val="auto"/>
          <w:spacing w:val="-4"/>
          <w:sz w:val="28"/>
          <w:szCs w:val="28"/>
          <w:vertAlign w:val="superscript"/>
          <w:lang w:val="en-US" w:eastAsia="zh-CN"/>
        </w:rPr>
        <w:t>b</w:t>
      </w:r>
      <w:r>
        <w:rPr>
          <w:rFonts w:hint="default" w:ascii="Minion Pro" w:hAnsi="Minion Pro" w:eastAsia="宋体" w:cs="Times New Roman"/>
          <w:b/>
          <w:color w:val="auto"/>
          <w:spacing w:val="-4"/>
          <w:sz w:val="28"/>
          <w:szCs w:val="28"/>
          <w:lang w:val="en-US" w:eastAsia="zh-CN"/>
        </w:rPr>
        <w:t xml:space="preserve">, </w:t>
      </w:r>
      <w:bookmarkStart w:id="3" w:name="_GoBack"/>
      <w:bookmarkEnd w:id="3"/>
      <w:r>
        <w:rPr>
          <w:rFonts w:ascii="Minion Pro" w:hAnsi="Minion Pro" w:eastAsia="宋体" w:cs="Times New Roman"/>
          <w:b/>
          <w:color w:val="auto"/>
          <w:spacing w:val="-4"/>
          <w:sz w:val="28"/>
          <w:szCs w:val="28"/>
          <w:lang w:val="en-US" w:eastAsia="zh-CN"/>
        </w:rPr>
        <w:t>Fei Hu</w:t>
      </w:r>
      <w:r>
        <w:rPr>
          <w:rFonts w:hint="default" w:ascii="Minion Pro" w:hAnsi="Minion Pro" w:eastAsia="宋体" w:cs="Times New Roman"/>
          <w:b/>
          <w:color w:val="auto"/>
          <w:spacing w:val="-4"/>
          <w:sz w:val="28"/>
          <w:szCs w:val="28"/>
          <w:vertAlign w:val="superscript"/>
          <w:lang w:val="en-US" w:eastAsia="zh-CN"/>
        </w:rPr>
        <w:t>a</w:t>
      </w:r>
      <w:r>
        <w:rPr>
          <w:rFonts w:ascii="Minion Pro" w:hAnsi="Minion Pro" w:eastAsia="宋体" w:cs="Times New Roman"/>
          <w:b/>
          <w:color w:val="auto"/>
          <w:spacing w:val="-4"/>
          <w:sz w:val="28"/>
          <w:szCs w:val="28"/>
          <w:lang w:val="en-US" w:eastAsia="zh-CN"/>
        </w:rPr>
        <w:t xml:space="preserve">, </w:t>
      </w:r>
      <w:r>
        <w:rPr>
          <w:rFonts w:hint="default" w:ascii="Minion Pro" w:hAnsi="Minion Pro" w:eastAsia="宋体" w:cs="Times New Roman"/>
          <w:b/>
          <w:color w:val="auto"/>
          <w:spacing w:val="-4"/>
          <w:sz w:val="28"/>
          <w:szCs w:val="28"/>
          <w:lang w:val="en-US" w:eastAsia="zh-CN"/>
        </w:rPr>
        <w:t>Songyin Huang</w:t>
      </w:r>
      <w:r>
        <w:rPr>
          <w:rFonts w:hint="default" w:ascii="Minion Pro" w:hAnsi="Minion Pro" w:eastAsia="宋体" w:cs="Times New Roman"/>
          <w:b/>
          <w:color w:val="auto"/>
          <w:spacing w:val="-4"/>
          <w:sz w:val="28"/>
          <w:szCs w:val="28"/>
          <w:vertAlign w:val="superscript"/>
          <w:lang w:val="en-US" w:eastAsia="zh-CN"/>
        </w:rPr>
        <w:t>b,*</w:t>
      </w:r>
      <w:r>
        <w:rPr>
          <w:rFonts w:ascii="Minion Pro" w:hAnsi="Minion Pro" w:eastAsia="宋体" w:cs="Times New Roman"/>
          <w:b/>
          <w:color w:val="auto"/>
          <w:spacing w:val="-4"/>
          <w:sz w:val="28"/>
          <w:szCs w:val="28"/>
          <w:lang w:val="en-US" w:eastAsia="zh-CN"/>
        </w:rPr>
        <w:t xml:space="preserve">, </w:t>
      </w:r>
      <w:r>
        <w:rPr>
          <w:rFonts w:hint="default" w:ascii="Minion Pro" w:hAnsi="Minion Pro" w:eastAsia="宋体" w:cs="Times New Roman"/>
          <w:b/>
          <w:color w:val="auto"/>
          <w:spacing w:val="-4"/>
          <w:sz w:val="28"/>
          <w:szCs w:val="28"/>
          <w:lang w:val="en-US" w:eastAsia="zh-CN"/>
        </w:rPr>
        <w:t>Shudong</w:t>
      </w:r>
      <w:r>
        <w:rPr>
          <w:rFonts w:ascii="Minion Pro" w:hAnsi="Minion Pro" w:eastAsia="宋体" w:cs="Times New Roman"/>
          <w:b/>
          <w:color w:val="auto"/>
          <w:spacing w:val="-4"/>
          <w:sz w:val="28"/>
          <w:szCs w:val="28"/>
          <w:lang w:val="en-US" w:eastAsia="zh-CN"/>
        </w:rPr>
        <w:t xml:space="preserve"> Li</w:t>
      </w:r>
      <w:r>
        <w:rPr>
          <w:rFonts w:hint="default" w:ascii="Minion Pro" w:hAnsi="Minion Pro" w:eastAsia="宋体" w:cs="Times New Roman"/>
          <w:b/>
          <w:color w:val="auto"/>
          <w:spacing w:val="-4"/>
          <w:sz w:val="28"/>
          <w:szCs w:val="28"/>
          <w:lang w:val="en-US" w:eastAsia="zh-CN"/>
        </w:rPr>
        <w:t>n</w:t>
      </w:r>
      <w:r>
        <w:rPr>
          <w:rFonts w:hint="default" w:ascii="Minion Pro" w:hAnsi="Minion Pro" w:eastAsia="宋体" w:cs="Times New Roman"/>
          <w:b/>
          <w:color w:val="auto"/>
          <w:spacing w:val="-4"/>
          <w:sz w:val="28"/>
          <w:szCs w:val="28"/>
          <w:vertAlign w:val="superscript"/>
          <w:lang w:val="en-US" w:eastAsia="zh-CN"/>
        </w:rPr>
        <w:t>c,*</w:t>
      </w:r>
      <w:r>
        <w:rPr>
          <w:rFonts w:ascii="Minion Pro" w:hAnsi="Minion Pro" w:eastAsia="宋体" w:cs="Times New Roman"/>
          <w:b/>
          <w:color w:val="auto"/>
          <w:spacing w:val="-4"/>
          <w:sz w:val="28"/>
          <w:szCs w:val="28"/>
          <w:lang w:val="en-US" w:eastAsia="zh-CN"/>
        </w:rPr>
        <w:t xml:space="preserve">,  </w:t>
      </w:r>
      <w:bookmarkEnd w:id="1"/>
      <w:r>
        <w:rPr>
          <w:rFonts w:hint="default" w:ascii="Minion Pro" w:hAnsi="Minion Pro" w:eastAsia="宋体" w:cs="Times New Roman"/>
          <w:b/>
          <w:color w:val="auto"/>
          <w:spacing w:val="-4"/>
          <w:sz w:val="28"/>
          <w:szCs w:val="28"/>
          <w:lang w:val="en-US" w:eastAsia="zh-CN"/>
        </w:rPr>
        <w:t>Xinchuan Wei</w:t>
      </w:r>
      <w:r>
        <w:rPr>
          <w:rFonts w:hint="default" w:ascii="Minion Pro" w:hAnsi="Minion Pro" w:eastAsia="宋体" w:cs="Times New Roman"/>
          <w:b/>
          <w:color w:val="auto"/>
          <w:spacing w:val="-4"/>
          <w:sz w:val="28"/>
          <w:szCs w:val="28"/>
          <w:vertAlign w:val="superscript"/>
          <w:lang w:val="en-US" w:eastAsia="zh-CN"/>
        </w:rPr>
        <w:t>a</w:t>
      </w:r>
    </w:p>
    <w:p>
      <w:pPr>
        <w:spacing w:line="200" w:lineRule="exact"/>
        <w:rPr>
          <w:rFonts w:hint="eastAsia"/>
          <w:color w:val="000000"/>
        </w:rPr>
      </w:pPr>
    </w:p>
    <w:p>
      <w:pPr>
        <w:pStyle w:val="8"/>
        <w:snapToGrid w:val="0"/>
        <w:spacing w:after="0" w:line="360" w:lineRule="auto"/>
        <w:ind w:left="88" w:hanging="105" w:hangingChars="50"/>
        <w:jc w:val="both"/>
        <w:rPr>
          <w:rFonts w:hint="default" w:ascii="Minion Pro" w:hAnsi="Minion Pro" w:eastAsia="宋体" w:cs="Times New Roman"/>
          <w:i/>
          <w:sz w:val="21"/>
          <w:szCs w:val="21"/>
          <w:lang w:eastAsia="zh-CN"/>
        </w:rPr>
      </w:pPr>
      <w:r>
        <w:rPr>
          <w:rFonts w:hint="eastAsia" w:ascii="Minion Pro" w:hAnsi="Minion Pro" w:eastAsia="宋体" w:cs="Times New Roman"/>
          <w:i/>
          <w:sz w:val="21"/>
          <w:szCs w:val="21"/>
          <w:lang w:val="en-US" w:eastAsia="zh-CN"/>
        </w:rPr>
        <w:t>a</w:t>
      </w:r>
      <w:r>
        <w:rPr>
          <w:rFonts w:ascii="Minion Pro" w:hAnsi="Minion Pro" w:eastAsia="宋体" w:cs="Times New Roman"/>
          <w:i/>
          <w:sz w:val="21"/>
          <w:szCs w:val="21"/>
          <w:lang w:eastAsia="zh-CN"/>
        </w:rPr>
        <w:t xml:space="preserve"> School of Chemistry and Chemical Engineering, Guangzhou University, Guangzhou 510006, P. R. China</w:t>
      </w:r>
    </w:p>
    <w:p>
      <w:pPr>
        <w:pStyle w:val="8"/>
        <w:snapToGrid w:val="0"/>
        <w:spacing w:after="0" w:line="360" w:lineRule="auto"/>
        <w:ind w:left="88" w:hanging="105" w:hangingChars="50"/>
        <w:jc w:val="both"/>
        <w:rPr>
          <w:rFonts w:hint="default" w:ascii="Minion Pro" w:hAnsi="Minion Pro" w:eastAsia="宋体" w:cs="Times New Roman"/>
          <w:i/>
          <w:sz w:val="21"/>
          <w:szCs w:val="21"/>
          <w:lang w:eastAsia="zh-CN"/>
        </w:rPr>
      </w:pPr>
      <w:r>
        <w:rPr>
          <w:rFonts w:hint="eastAsia" w:ascii="Minion Pro" w:hAnsi="Minion Pro" w:eastAsia="宋体" w:cs="Times New Roman"/>
          <w:i/>
          <w:sz w:val="21"/>
          <w:szCs w:val="21"/>
          <w:lang w:val="en-US" w:eastAsia="zh-CN"/>
        </w:rPr>
        <w:t>b</w:t>
      </w:r>
      <w:r>
        <w:rPr>
          <w:rFonts w:ascii="Minion Pro" w:hAnsi="Minion Pro" w:eastAsia="宋体" w:cs="Times New Roman"/>
          <w:i/>
          <w:sz w:val="21"/>
          <w:szCs w:val="21"/>
          <w:lang w:eastAsia="zh-CN"/>
        </w:rPr>
        <w:t xml:space="preserve"> </w:t>
      </w:r>
      <w:r>
        <w:rPr>
          <w:rFonts w:hint="default" w:ascii="Minion Pro" w:hAnsi="Minion Pro" w:eastAsia="宋体" w:cs="Times New Roman"/>
          <w:i/>
          <w:sz w:val="21"/>
          <w:szCs w:val="21"/>
          <w:lang w:eastAsia="zh-CN"/>
        </w:rPr>
        <w:t>Biotherapy Center</w:t>
      </w:r>
      <w:r>
        <w:rPr>
          <w:rFonts w:hint="default" w:ascii="Minion Pro" w:hAnsi="Minion Pro" w:eastAsia="宋体" w:cs="Times New Roman"/>
          <w:i/>
          <w:sz w:val="21"/>
          <w:szCs w:val="21"/>
          <w:lang w:val="en-US" w:eastAsia="zh-CN"/>
        </w:rPr>
        <w:t>,</w:t>
      </w:r>
      <w:r>
        <w:rPr>
          <w:rFonts w:hint="eastAsia" w:ascii="Minion Pro" w:hAnsi="Minion Pro" w:eastAsia="宋体" w:cs="Times New Roman"/>
          <w:i/>
          <w:sz w:val="21"/>
          <w:szCs w:val="21"/>
          <w:lang w:val="en-US" w:eastAsia="zh-CN"/>
        </w:rPr>
        <w:t xml:space="preserve"> </w:t>
      </w:r>
      <w:r>
        <w:rPr>
          <w:rFonts w:hint="default" w:ascii="Minion Pro" w:hAnsi="Minion Pro" w:eastAsia="宋体" w:cs="Times New Roman"/>
          <w:i/>
          <w:sz w:val="21"/>
          <w:szCs w:val="21"/>
          <w:lang w:eastAsia="zh-CN"/>
        </w:rPr>
        <w:t>Sun Yat-Sen Memorial Hospital</w:t>
      </w:r>
      <w:r>
        <w:rPr>
          <w:rFonts w:hint="default" w:ascii="Minion Pro" w:hAnsi="Minion Pro" w:eastAsia="宋体" w:cs="Times New Roman"/>
          <w:i/>
          <w:sz w:val="21"/>
          <w:szCs w:val="21"/>
          <w:lang w:val="en-US" w:eastAsia="zh-CN"/>
        </w:rPr>
        <w:t>,</w:t>
      </w:r>
      <w:r>
        <w:rPr>
          <w:rFonts w:hint="eastAsia" w:ascii="Minion Pro" w:hAnsi="Minion Pro" w:eastAsia="宋体" w:cs="Times New Roman"/>
          <w:i/>
          <w:sz w:val="21"/>
          <w:szCs w:val="21"/>
          <w:lang w:val="en-US" w:eastAsia="zh-CN"/>
        </w:rPr>
        <w:t xml:space="preserve"> </w:t>
      </w:r>
      <w:r>
        <w:rPr>
          <w:rFonts w:hint="default" w:ascii="Minion Pro" w:hAnsi="Minion Pro" w:eastAsia="宋体" w:cs="Times New Roman"/>
          <w:i/>
          <w:sz w:val="21"/>
          <w:szCs w:val="21"/>
          <w:lang w:eastAsia="zh-CN"/>
        </w:rPr>
        <w:t>Sun Yat-Sen University</w:t>
      </w:r>
      <w:r>
        <w:rPr>
          <w:rFonts w:hint="default" w:ascii="Minion Pro" w:hAnsi="Minion Pro" w:eastAsia="宋体" w:cs="Times New Roman"/>
          <w:i/>
          <w:sz w:val="21"/>
          <w:szCs w:val="21"/>
          <w:lang w:val="en-US" w:eastAsia="zh-CN"/>
        </w:rPr>
        <w:t>,</w:t>
      </w:r>
      <w:r>
        <w:rPr>
          <w:rFonts w:hint="eastAsia" w:ascii="Minion Pro" w:hAnsi="Minion Pro" w:eastAsia="宋体" w:cs="Times New Roman"/>
          <w:i/>
          <w:sz w:val="21"/>
          <w:szCs w:val="21"/>
          <w:lang w:val="en-US" w:eastAsia="zh-CN"/>
        </w:rPr>
        <w:t xml:space="preserve"> </w:t>
      </w:r>
      <w:r>
        <w:rPr>
          <w:rFonts w:ascii="Minion Pro" w:hAnsi="Minion Pro" w:eastAsia="宋体" w:cs="Times New Roman"/>
          <w:i/>
          <w:sz w:val="21"/>
          <w:szCs w:val="21"/>
          <w:lang w:eastAsia="zh-CN"/>
        </w:rPr>
        <w:t>P. R. China</w:t>
      </w:r>
    </w:p>
    <w:p>
      <w:pPr>
        <w:pStyle w:val="8"/>
        <w:snapToGrid w:val="0"/>
        <w:spacing w:after="0" w:line="360" w:lineRule="auto"/>
        <w:ind w:left="88" w:hanging="105" w:hangingChars="50"/>
        <w:jc w:val="both"/>
        <w:rPr>
          <w:rFonts w:hint="default" w:ascii="Minion Pro" w:hAnsi="Minion Pro" w:eastAsia="宋体" w:cs="Times New Roman"/>
          <w:i/>
          <w:sz w:val="21"/>
          <w:szCs w:val="21"/>
          <w:lang w:val="en-US" w:eastAsia="zh-CN"/>
        </w:rPr>
      </w:pPr>
      <w:r>
        <w:rPr>
          <w:rFonts w:hint="eastAsia" w:ascii="Minion Pro" w:hAnsi="Minion Pro" w:eastAsia="宋体" w:cs="Times New Roman"/>
          <w:i/>
          <w:sz w:val="21"/>
          <w:szCs w:val="21"/>
          <w:lang w:val="en-US" w:eastAsia="zh-CN"/>
        </w:rPr>
        <w:t xml:space="preserve">c </w:t>
      </w:r>
      <w:r>
        <w:rPr>
          <w:rFonts w:hint="default" w:ascii="Minion Pro" w:hAnsi="Minion Pro" w:eastAsia="宋体" w:cs="Times New Roman"/>
          <w:i/>
          <w:sz w:val="21"/>
          <w:szCs w:val="21"/>
          <w:lang w:val="en-US" w:eastAsia="zh-CN"/>
        </w:rPr>
        <w:t>Guangzhou</w:t>
      </w:r>
      <w:r>
        <w:rPr>
          <w:rFonts w:hint="eastAsia" w:ascii="Minion Pro" w:hAnsi="Minion Pro" w:eastAsia="宋体" w:cs="Times New Roman"/>
          <w:i/>
          <w:sz w:val="21"/>
          <w:szCs w:val="21"/>
          <w:lang w:val="en-US" w:eastAsia="zh-CN"/>
        </w:rPr>
        <w:t xml:space="preserve"> </w:t>
      </w:r>
      <w:r>
        <w:rPr>
          <w:rFonts w:hint="default" w:ascii="Minion Pro" w:hAnsi="Minion Pro" w:eastAsia="宋体" w:cs="Times New Roman"/>
          <w:i/>
          <w:sz w:val="21"/>
          <w:szCs w:val="21"/>
          <w:lang w:val="en-US" w:eastAsia="zh-CN"/>
        </w:rPr>
        <w:t>Institute</w:t>
      </w:r>
      <w:r>
        <w:rPr>
          <w:rFonts w:hint="eastAsia" w:ascii="Minion Pro" w:hAnsi="Minion Pro" w:eastAsia="宋体" w:cs="Times New Roman"/>
          <w:i/>
          <w:sz w:val="21"/>
          <w:szCs w:val="21"/>
          <w:lang w:val="en-US" w:eastAsia="zh-CN"/>
        </w:rPr>
        <w:t xml:space="preserve"> </w:t>
      </w:r>
      <w:r>
        <w:rPr>
          <w:rFonts w:hint="default" w:ascii="Minion Pro" w:hAnsi="Minion Pro" w:eastAsia="宋体" w:cs="Times New Roman"/>
          <w:i/>
          <w:sz w:val="21"/>
          <w:szCs w:val="21"/>
          <w:lang w:val="en-US" w:eastAsia="zh-CN"/>
        </w:rPr>
        <w:t>of</w:t>
      </w:r>
      <w:r>
        <w:rPr>
          <w:rFonts w:hint="eastAsia" w:ascii="Minion Pro" w:hAnsi="Minion Pro" w:eastAsia="宋体" w:cs="Times New Roman"/>
          <w:i/>
          <w:sz w:val="21"/>
          <w:szCs w:val="21"/>
          <w:lang w:val="en-US" w:eastAsia="zh-CN"/>
        </w:rPr>
        <w:t xml:space="preserve"> </w:t>
      </w:r>
      <w:r>
        <w:rPr>
          <w:rFonts w:hint="default" w:ascii="Minion Pro" w:hAnsi="Minion Pro" w:eastAsia="宋体" w:cs="Times New Roman"/>
          <w:i/>
          <w:sz w:val="21"/>
          <w:szCs w:val="21"/>
          <w:lang w:val="en-US" w:eastAsia="zh-CN"/>
        </w:rPr>
        <w:t>Chemistry,</w:t>
      </w:r>
      <w:r>
        <w:rPr>
          <w:rFonts w:hint="eastAsia" w:ascii="Minion Pro" w:hAnsi="Minion Pro" w:eastAsia="宋体" w:cs="Times New Roman"/>
          <w:i/>
          <w:sz w:val="21"/>
          <w:szCs w:val="21"/>
          <w:lang w:val="en-US" w:eastAsia="zh-CN"/>
        </w:rPr>
        <w:t xml:space="preserve"> </w:t>
      </w:r>
      <w:r>
        <w:rPr>
          <w:rFonts w:hint="default" w:ascii="Minion Pro" w:hAnsi="Minion Pro" w:eastAsia="宋体" w:cs="Times New Roman"/>
          <w:i/>
          <w:sz w:val="21"/>
          <w:szCs w:val="21"/>
          <w:lang w:val="en-US" w:eastAsia="zh-CN"/>
        </w:rPr>
        <w:t>Chinese</w:t>
      </w:r>
      <w:r>
        <w:rPr>
          <w:rFonts w:hint="eastAsia" w:ascii="Minion Pro" w:hAnsi="Minion Pro" w:eastAsia="宋体" w:cs="Times New Roman"/>
          <w:i/>
          <w:sz w:val="21"/>
          <w:szCs w:val="21"/>
          <w:lang w:val="en-US" w:eastAsia="zh-CN"/>
        </w:rPr>
        <w:t xml:space="preserve"> </w:t>
      </w:r>
      <w:r>
        <w:rPr>
          <w:rFonts w:hint="default" w:ascii="Minion Pro" w:hAnsi="Minion Pro" w:eastAsia="宋体" w:cs="Times New Roman"/>
          <w:i/>
          <w:sz w:val="21"/>
          <w:szCs w:val="21"/>
          <w:lang w:val="en-US" w:eastAsia="zh-CN"/>
        </w:rPr>
        <w:t>Academy</w:t>
      </w:r>
      <w:r>
        <w:rPr>
          <w:rFonts w:hint="eastAsia" w:ascii="Minion Pro" w:hAnsi="Minion Pro" w:eastAsia="宋体" w:cs="Times New Roman"/>
          <w:i/>
          <w:sz w:val="21"/>
          <w:szCs w:val="21"/>
          <w:lang w:val="en-US" w:eastAsia="zh-CN"/>
        </w:rPr>
        <w:t xml:space="preserve"> </w:t>
      </w:r>
      <w:r>
        <w:rPr>
          <w:rFonts w:hint="default" w:ascii="Minion Pro" w:hAnsi="Minion Pro" w:eastAsia="宋体" w:cs="Times New Roman"/>
          <w:i/>
          <w:sz w:val="21"/>
          <w:szCs w:val="21"/>
          <w:lang w:val="en-US" w:eastAsia="zh-CN"/>
        </w:rPr>
        <w:t>of</w:t>
      </w:r>
      <w:r>
        <w:rPr>
          <w:rFonts w:hint="eastAsia" w:ascii="Minion Pro" w:hAnsi="Minion Pro" w:eastAsia="宋体" w:cs="Times New Roman"/>
          <w:i/>
          <w:sz w:val="21"/>
          <w:szCs w:val="21"/>
          <w:lang w:val="en-US" w:eastAsia="zh-CN"/>
        </w:rPr>
        <w:t xml:space="preserve"> </w:t>
      </w:r>
      <w:r>
        <w:rPr>
          <w:rFonts w:hint="default" w:ascii="Minion Pro" w:hAnsi="Minion Pro" w:eastAsia="宋体" w:cs="Times New Roman"/>
          <w:i/>
          <w:sz w:val="21"/>
          <w:szCs w:val="21"/>
          <w:lang w:val="en-US" w:eastAsia="zh-CN"/>
        </w:rPr>
        <w:t>Sciences,</w:t>
      </w:r>
      <w:r>
        <w:rPr>
          <w:rFonts w:hint="eastAsia" w:ascii="Minion Pro" w:hAnsi="Minion Pro" w:eastAsia="宋体" w:cs="Times New Roman"/>
          <w:i/>
          <w:sz w:val="21"/>
          <w:szCs w:val="21"/>
          <w:lang w:val="en-US" w:eastAsia="zh-CN"/>
        </w:rPr>
        <w:t xml:space="preserve"> </w:t>
      </w:r>
      <w:r>
        <w:rPr>
          <w:rFonts w:hint="default" w:ascii="Minion Pro" w:hAnsi="Minion Pro" w:eastAsia="宋体" w:cs="Times New Roman"/>
          <w:i/>
          <w:sz w:val="21"/>
          <w:szCs w:val="21"/>
          <w:lang w:val="en-US" w:eastAsia="zh-CN"/>
        </w:rPr>
        <w:t>Guangzhou</w:t>
      </w:r>
      <w:r>
        <w:rPr>
          <w:rFonts w:hint="eastAsia" w:ascii="Minion Pro" w:hAnsi="Minion Pro" w:eastAsia="宋体" w:cs="Times New Roman"/>
          <w:i/>
          <w:sz w:val="21"/>
          <w:szCs w:val="21"/>
          <w:lang w:val="en-US" w:eastAsia="zh-CN"/>
        </w:rPr>
        <w:t xml:space="preserve"> </w:t>
      </w:r>
      <w:r>
        <w:rPr>
          <w:rFonts w:hint="default" w:ascii="Minion Pro" w:hAnsi="Minion Pro" w:eastAsia="宋体" w:cs="Times New Roman"/>
          <w:i/>
          <w:sz w:val="21"/>
          <w:szCs w:val="21"/>
          <w:lang w:val="en-US" w:eastAsia="zh-CN"/>
        </w:rPr>
        <w:t>510650,</w:t>
      </w:r>
      <w:r>
        <w:rPr>
          <w:rFonts w:hint="eastAsia" w:ascii="Minion Pro" w:hAnsi="Minion Pro" w:eastAsia="宋体" w:cs="Times New Roman"/>
          <w:i/>
          <w:sz w:val="21"/>
          <w:szCs w:val="21"/>
          <w:lang w:val="en-US" w:eastAsia="zh-CN"/>
        </w:rPr>
        <w:t xml:space="preserve"> </w:t>
      </w:r>
      <w:r>
        <w:rPr>
          <w:rFonts w:hint="default" w:ascii="Minion Pro" w:hAnsi="Minion Pro" w:eastAsia="宋体" w:cs="Times New Roman"/>
          <w:i/>
          <w:sz w:val="21"/>
          <w:szCs w:val="21"/>
          <w:lang w:val="en-US" w:eastAsia="zh-CN"/>
        </w:rPr>
        <w:t>P.R.China</w:t>
      </w:r>
    </w:p>
    <w:p>
      <w:pPr>
        <w:pStyle w:val="8"/>
        <w:snapToGrid w:val="0"/>
        <w:spacing w:after="0" w:line="360" w:lineRule="auto"/>
        <w:ind w:left="88" w:hanging="105" w:hangingChars="50"/>
        <w:jc w:val="both"/>
        <w:rPr>
          <w:rFonts w:hint="default" w:ascii="Minion Pro" w:hAnsi="Minion Pro" w:eastAsia="宋体" w:cs="Times New Roman"/>
          <w:i/>
          <w:sz w:val="21"/>
          <w:szCs w:val="21"/>
          <w:lang w:val="en-US" w:eastAsia="zh-CN"/>
        </w:rPr>
      </w:pPr>
      <w:r>
        <w:rPr>
          <w:rFonts w:hint="eastAsia" w:ascii="Minion Pro" w:hAnsi="Minion Pro" w:eastAsia="宋体" w:cs="Times New Roman"/>
          <w:i/>
          <w:sz w:val="21"/>
          <w:szCs w:val="21"/>
          <w:lang w:val="en-US" w:eastAsia="zh-CN"/>
        </w:rPr>
        <w:t xml:space="preserve">d </w:t>
      </w:r>
      <w:r>
        <w:rPr>
          <w:rFonts w:ascii="Minion Pro" w:hAnsi="Minion Pro" w:eastAsia="宋体" w:cs="Times New Roman"/>
          <w:i/>
          <w:sz w:val="21"/>
          <w:szCs w:val="21"/>
          <w:lang w:eastAsia="zh-CN"/>
        </w:rPr>
        <w:t>School of Chemistry and Chemical Engineering, Guang</w:t>
      </w:r>
      <w:r>
        <w:rPr>
          <w:rFonts w:hint="eastAsia" w:ascii="Minion Pro" w:hAnsi="Minion Pro" w:eastAsia="宋体" w:cs="Times New Roman"/>
          <w:i/>
          <w:sz w:val="21"/>
          <w:szCs w:val="21"/>
          <w:lang w:val="en-US" w:eastAsia="zh-CN"/>
        </w:rPr>
        <w:t>xi</w:t>
      </w:r>
      <w:r>
        <w:rPr>
          <w:rFonts w:ascii="Minion Pro" w:hAnsi="Minion Pro" w:eastAsia="宋体" w:cs="Times New Roman"/>
          <w:i/>
          <w:sz w:val="21"/>
          <w:szCs w:val="21"/>
          <w:lang w:eastAsia="zh-CN"/>
        </w:rPr>
        <w:t xml:space="preserve"> University,</w:t>
      </w:r>
      <w:r>
        <w:rPr>
          <w:rFonts w:hint="eastAsia" w:ascii="Minion Pro" w:hAnsi="Minion Pro" w:eastAsia="宋体" w:cs="Times New Roman"/>
          <w:i/>
          <w:sz w:val="21"/>
          <w:szCs w:val="21"/>
          <w:lang w:val="en-US" w:eastAsia="zh-CN"/>
        </w:rPr>
        <w:t xml:space="preserve"> Nanning </w:t>
      </w:r>
      <w:r>
        <w:rPr>
          <w:rFonts w:hint="default" w:ascii="Minion Pro" w:hAnsi="Minion Pro" w:eastAsia="宋体" w:cs="Times New Roman"/>
          <w:i/>
          <w:sz w:val="21"/>
          <w:szCs w:val="21"/>
          <w:lang w:val="en-US" w:eastAsia="zh-CN"/>
        </w:rPr>
        <w:t>5</w:t>
      </w:r>
      <w:r>
        <w:rPr>
          <w:rFonts w:hint="eastAsia" w:ascii="Minion Pro" w:hAnsi="Minion Pro" w:eastAsia="宋体" w:cs="Times New Roman"/>
          <w:i/>
          <w:sz w:val="21"/>
          <w:szCs w:val="21"/>
          <w:lang w:val="en-US" w:eastAsia="zh-CN"/>
        </w:rPr>
        <w:t>30004</w:t>
      </w:r>
      <w:r>
        <w:rPr>
          <w:rFonts w:hint="default" w:ascii="Minion Pro" w:hAnsi="Minion Pro" w:eastAsia="宋体" w:cs="Times New Roman"/>
          <w:i/>
          <w:sz w:val="21"/>
          <w:szCs w:val="21"/>
          <w:lang w:val="en-US" w:eastAsia="zh-CN"/>
        </w:rPr>
        <w:t>,</w:t>
      </w:r>
      <w:r>
        <w:rPr>
          <w:rFonts w:hint="eastAsia" w:ascii="Minion Pro" w:hAnsi="Minion Pro" w:eastAsia="宋体" w:cs="Times New Roman"/>
          <w:i/>
          <w:sz w:val="21"/>
          <w:szCs w:val="21"/>
          <w:lang w:val="en-US" w:eastAsia="zh-CN"/>
        </w:rPr>
        <w:t xml:space="preserve"> </w:t>
      </w:r>
      <w:r>
        <w:rPr>
          <w:rFonts w:hint="default" w:ascii="Minion Pro" w:hAnsi="Minion Pro" w:eastAsia="宋体" w:cs="Times New Roman"/>
          <w:i/>
          <w:sz w:val="21"/>
          <w:szCs w:val="21"/>
          <w:lang w:val="en-US" w:eastAsia="zh-CN"/>
        </w:rPr>
        <w:t>P.R.China</w:t>
      </w:r>
    </w:p>
    <w:p>
      <w:pPr>
        <w:spacing w:line="480" w:lineRule="auto"/>
        <w:rPr>
          <w:rStyle w:val="9"/>
          <w:rFonts w:ascii="Times New Roman" w:hAnsi="Times New Roman"/>
          <w:b/>
          <w:bCs/>
          <w:sz w:val="24"/>
          <w:szCs w:val="24"/>
        </w:rPr>
      </w:pPr>
    </w:p>
    <w:p>
      <w:pPr>
        <w:spacing w:line="480" w:lineRule="auto"/>
        <w:rPr>
          <w:rFonts w:hint="default" w:ascii="Calibri" w:hAnsi="Calibri" w:cs="Calibri" w:eastAsiaTheme="minorEastAsia"/>
          <w:b w:val="0"/>
          <w:bCs w:val="0"/>
          <w:i/>
          <w:iCs/>
          <w:color w:val="000000"/>
          <w:kern w:val="2"/>
          <w:sz w:val="21"/>
          <w:szCs w:val="21"/>
          <w:lang w:val="en-US" w:eastAsia="zh-CN"/>
        </w:rPr>
      </w:pPr>
      <w:r>
        <w:rPr>
          <w:rStyle w:val="9"/>
          <w:rFonts w:ascii="Times New Roman" w:hAnsi="Times New Roman"/>
          <w:b/>
          <w:bCs/>
          <w:sz w:val="24"/>
          <w:szCs w:val="24"/>
        </w:rPr>
        <w:t>This PDF file includes:</w:t>
      </w:r>
    </w:p>
    <w:p>
      <w:pPr>
        <w:spacing w:line="240" w:lineRule="auto"/>
        <w:rPr>
          <w:rFonts w:ascii="Calibri" w:hAnsi="Calibri" w:cs="Calibri"/>
          <w:color w:val="000000"/>
          <w:sz w:val="21"/>
          <w:szCs w:val="21"/>
        </w:rPr>
      </w:pPr>
      <w:r>
        <w:rPr>
          <w:rFonts w:ascii="Calibri" w:hAnsi="Calibri" w:cs="Calibri"/>
          <w:b/>
          <w:bCs/>
          <w:color w:val="000000"/>
          <w:sz w:val="21"/>
          <w:szCs w:val="21"/>
        </w:rPr>
        <w:t>Fig. S1</w:t>
      </w:r>
      <w:r>
        <w:rPr>
          <w:rFonts w:ascii="Calibri" w:hAnsi="Calibri" w:cs="Calibri"/>
          <w:color w:val="000000"/>
          <w:sz w:val="21"/>
          <w:szCs w:val="21"/>
        </w:rPr>
        <w:t xml:space="preserve"> EDS spectra of the (a) hydrophilic membrane (PVA/CS/Ag) and (b) hydrophobic membrane (TPU), (c) UV-vis absorption spectra of silver triangular sheet solution, (d) TEM images of a silver triangular sheet, (e) Ftir spectra, (e) XRD patterns, (g) XPS spectra of the pure PVA, CS, crosslinked hydrophilic membrane (PVA / CS /Ag) and hydrophobic membrane (TPU), (h) High-solution C1s, O1s, N1s XPS spectra of the hydrophobic membrane (top) and hydrophilic membrane (CS/PVA/Ag) (bottom).</w:t>
      </w:r>
    </w:p>
    <w:p>
      <w:pPr>
        <w:spacing w:line="360" w:lineRule="auto"/>
        <w:jc w:val="both"/>
        <w:rPr>
          <w:rFonts w:hint="eastAsia" w:ascii="Calibri" w:hAnsi="Calibri" w:cs="Calibri"/>
          <w:color w:val="000000"/>
          <w:sz w:val="21"/>
          <w:szCs w:val="21"/>
          <w:lang w:val="en-US" w:eastAsia="zh-CN"/>
        </w:rPr>
      </w:pPr>
      <w:r>
        <w:rPr>
          <w:rFonts w:ascii="Calibri" w:hAnsi="Calibri" w:cs="Calibri"/>
          <w:b/>
          <w:bCs/>
          <w:color w:val="000000"/>
          <w:sz w:val="21"/>
          <w:szCs w:val="21"/>
        </w:rPr>
        <w:t>Fig. S2</w:t>
      </w:r>
      <w:r>
        <w:rPr>
          <w:rFonts w:ascii="Calibri" w:hAnsi="Calibri" w:cs="Calibri"/>
          <w:color w:val="000000"/>
          <w:sz w:val="21"/>
          <w:szCs w:val="21"/>
        </w:rPr>
        <w:t xml:space="preserve"> (a) Dynamic whole-blood clotting model. (b) Absorption ratio of the hydrophilic membrane treated for different periods. (c) Apparent Zeta potential of the 3% CS solution</w:t>
      </w:r>
      <w:r>
        <w:rPr>
          <w:rFonts w:hint="eastAsia" w:ascii="Calibri" w:hAnsi="Calibri" w:cs="Calibri"/>
          <w:color w:val="000000"/>
          <w:sz w:val="21"/>
          <w:szCs w:val="21"/>
          <w:lang w:val="en-US" w:eastAsia="zh-CN"/>
        </w:rPr>
        <w:t>.</w:t>
      </w:r>
    </w:p>
    <w:p>
      <w:pPr>
        <w:spacing w:line="360" w:lineRule="auto"/>
        <w:jc w:val="left"/>
        <w:rPr>
          <w:rFonts w:hint="eastAsia" w:ascii="Calibri" w:hAnsi="Calibri" w:cs="Calibri" w:eastAsiaTheme="minorEastAsia"/>
          <w:color w:val="000000"/>
          <w:sz w:val="21"/>
          <w:szCs w:val="21"/>
          <w:lang w:val="en-US" w:eastAsia="zh-CN"/>
        </w:rPr>
      </w:pPr>
      <w:r>
        <w:rPr>
          <w:rFonts w:ascii="Calibri" w:hAnsi="Calibri" w:cs="Calibri"/>
          <w:b/>
          <w:bCs/>
          <w:color w:val="000000"/>
          <w:sz w:val="21"/>
          <w:szCs w:val="21"/>
        </w:rPr>
        <w:t>Fig. S3</w:t>
      </w:r>
      <w:r>
        <w:rPr>
          <w:rFonts w:ascii="Calibri" w:hAnsi="Calibri" w:cs="Calibri"/>
          <w:color w:val="000000"/>
          <w:sz w:val="21"/>
          <w:szCs w:val="21"/>
        </w:rPr>
        <w:t xml:space="preserve"> Solid content of the liquid drug before and after transportation</w:t>
      </w:r>
      <w:r>
        <w:rPr>
          <w:rFonts w:hint="eastAsia" w:ascii="Calibri" w:hAnsi="Calibri" w:cs="Calibri"/>
          <w:color w:val="000000"/>
          <w:sz w:val="21"/>
          <w:szCs w:val="21"/>
          <w:lang w:val="en-US" w:eastAsia="zh-CN"/>
        </w:rPr>
        <w:t>.</w:t>
      </w:r>
    </w:p>
    <w:p>
      <w:pPr>
        <w:spacing w:line="360" w:lineRule="auto"/>
        <w:jc w:val="left"/>
        <w:rPr>
          <w:rFonts w:hint="eastAsia" w:ascii="Calibri" w:hAnsi="Calibri" w:cs="Calibri"/>
          <w:color w:val="000000"/>
          <w:sz w:val="21"/>
          <w:szCs w:val="21"/>
          <w:lang w:val="en-US" w:eastAsia="zh-CN"/>
        </w:rPr>
      </w:pPr>
      <w:r>
        <w:rPr>
          <w:rFonts w:ascii="Calibri" w:hAnsi="Calibri" w:cs="Calibri"/>
          <w:b/>
          <w:bCs/>
          <w:color w:val="000000"/>
          <w:sz w:val="21"/>
          <w:szCs w:val="21"/>
        </w:rPr>
        <w:t>Fig. S4</w:t>
      </w:r>
      <w:r>
        <w:rPr>
          <w:rFonts w:ascii="Calibri" w:hAnsi="Calibri" w:cs="Calibri"/>
          <w:color w:val="000000"/>
          <w:sz w:val="21"/>
          <w:szCs w:val="21"/>
        </w:rPr>
        <w:t xml:space="preserve"> Images of the plate count of different samples in the antibacterial assay</w:t>
      </w:r>
      <w:r>
        <w:rPr>
          <w:rFonts w:hint="eastAsia" w:ascii="Calibri" w:hAnsi="Calibri" w:cs="Calibri"/>
          <w:color w:val="000000"/>
          <w:sz w:val="21"/>
          <w:szCs w:val="21"/>
          <w:lang w:val="en-US" w:eastAsia="zh-CN"/>
        </w:rPr>
        <w:t>.</w:t>
      </w:r>
    </w:p>
    <w:p>
      <w:pPr>
        <w:widowControl/>
        <w:spacing w:line="360" w:lineRule="auto"/>
        <w:jc w:val="both"/>
        <w:rPr>
          <w:rFonts w:hint="eastAsia" w:ascii="Calibri" w:hAnsi="Calibri" w:cs="Calibri"/>
          <w:color w:val="000000"/>
          <w:sz w:val="21"/>
          <w:szCs w:val="21"/>
          <w:lang w:val="en-US" w:eastAsia="zh-CN"/>
        </w:rPr>
      </w:pPr>
      <w:r>
        <w:rPr>
          <w:rFonts w:ascii="Calibri" w:hAnsi="Calibri" w:cs="Calibri"/>
          <w:b/>
          <w:bCs/>
          <w:color w:val="000000"/>
          <w:sz w:val="21"/>
          <w:szCs w:val="21"/>
        </w:rPr>
        <w:t>Fig. S5</w:t>
      </w:r>
      <w:r>
        <w:rPr>
          <w:rFonts w:ascii="Calibri" w:hAnsi="Calibri" w:cs="Calibri"/>
          <w:color w:val="000000"/>
          <w:sz w:val="21"/>
          <w:szCs w:val="21"/>
        </w:rPr>
        <w:t xml:space="preserve"> Collagen area after treatment with the different materials at different times (days)</w:t>
      </w:r>
      <w:r>
        <w:rPr>
          <w:rFonts w:hint="eastAsia" w:ascii="Calibri" w:hAnsi="Calibri" w:cs="Calibri"/>
          <w:color w:val="000000"/>
          <w:sz w:val="21"/>
          <w:szCs w:val="21"/>
          <w:lang w:val="en-US" w:eastAsia="zh-CN"/>
        </w:rPr>
        <w:t>.</w:t>
      </w:r>
    </w:p>
    <w:p>
      <w:pPr>
        <w:spacing w:line="360" w:lineRule="auto"/>
        <w:rPr>
          <w:rFonts w:ascii="Calibri" w:hAnsi="Calibri" w:cs="Calibri"/>
          <w:color w:val="000000"/>
          <w:sz w:val="21"/>
          <w:szCs w:val="21"/>
        </w:rPr>
      </w:pPr>
      <w:r>
        <w:rPr>
          <w:rFonts w:hint="eastAsia" w:ascii="Calibri" w:hAnsi="Calibri" w:cs="Calibri"/>
          <w:b/>
          <w:bCs/>
          <w:color w:val="000000"/>
          <w:sz w:val="21"/>
          <w:szCs w:val="21"/>
          <w:lang w:val="en-US" w:eastAsia="zh-CN"/>
        </w:rPr>
        <w:t>Table 1</w:t>
      </w:r>
      <w:r>
        <w:rPr>
          <w:rFonts w:hint="eastAsia" w:ascii="Calibri" w:hAnsi="Calibri" w:cs="Calibri"/>
          <w:color w:val="000000"/>
          <w:sz w:val="21"/>
          <w:szCs w:val="21"/>
          <w:lang w:val="en-US" w:eastAsia="zh-CN"/>
        </w:rPr>
        <w:t xml:space="preserve"> </w:t>
      </w:r>
      <w:r>
        <w:rPr>
          <w:rFonts w:hint="eastAsia" w:ascii="Calibri" w:hAnsi="Calibri" w:cs="Calibri"/>
          <w:color w:val="000000"/>
          <w:sz w:val="21"/>
          <w:szCs w:val="21"/>
        </w:rPr>
        <w:t xml:space="preserve">ICP-OES silver </w:t>
      </w:r>
      <w:r>
        <w:rPr>
          <w:rFonts w:hint="eastAsia" w:ascii="Calibri" w:hAnsi="Calibri" w:cs="Calibri"/>
          <w:color w:val="000000"/>
          <w:sz w:val="21"/>
          <w:szCs w:val="21"/>
          <w:lang w:val="en-US" w:eastAsia="zh-CN"/>
        </w:rPr>
        <w:t>content</w:t>
      </w:r>
      <w:r>
        <w:rPr>
          <w:rFonts w:hint="eastAsia" w:ascii="Calibri" w:hAnsi="Calibri" w:cs="Calibri"/>
          <w:color w:val="000000"/>
          <w:sz w:val="21"/>
          <w:szCs w:val="21"/>
        </w:rPr>
        <w:t xml:space="preserve"> of crosslinked hydrophilic layer membrane (PVA/CS/Ag)</w:t>
      </w:r>
    </w:p>
    <w:p>
      <w:pPr>
        <w:spacing w:line="360" w:lineRule="auto"/>
        <w:rPr>
          <w:rFonts w:ascii="Calibri" w:hAnsi="Calibri" w:cs="Calibri"/>
          <w:color w:val="000000"/>
          <w:sz w:val="21"/>
          <w:szCs w:val="21"/>
        </w:rPr>
      </w:pPr>
    </w:p>
    <w:p>
      <w:pPr>
        <w:spacing w:line="360" w:lineRule="auto"/>
        <w:rPr>
          <w:rFonts w:ascii="Calibri" w:hAnsi="Calibri" w:cs="Calibri"/>
          <w:color w:val="000000"/>
          <w:sz w:val="21"/>
          <w:szCs w:val="21"/>
          <w:lang w:val="en-IN" w:eastAsia="en-IN"/>
        </w:rPr>
      </w:pPr>
    </w:p>
    <w:p>
      <w:pPr>
        <w:spacing w:line="360" w:lineRule="auto"/>
        <w:rPr>
          <w:rFonts w:ascii="Calibri" w:hAnsi="Calibri" w:cs="Calibri"/>
          <w:color w:val="000000"/>
          <w:sz w:val="21"/>
          <w:szCs w:val="21"/>
          <w:lang w:val="en-IN" w:eastAsia="en-IN"/>
        </w:rPr>
      </w:pPr>
      <w:r>
        <w:rPr>
          <w:rStyle w:val="6"/>
          <w:rFonts w:ascii="Calibri" w:hAnsi="Calibri" w:cs="Calibri"/>
          <w:color w:val="000000"/>
          <w:sz w:val="21"/>
          <w:szCs w:val="21"/>
          <w:lang w:val="en-IN" w:eastAsia="en-IN"/>
        </w:rPr>
        <w:footnoteReference w:id="0"/>
      </w:r>
    </w:p>
    <w:p>
      <w:pPr>
        <w:spacing w:line="360" w:lineRule="auto"/>
        <w:rPr>
          <w:rFonts w:ascii="Calibri" w:hAnsi="Calibri" w:cs="Calibri"/>
          <w:color w:val="000000"/>
          <w:sz w:val="21"/>
          <w:szCs w:val="21"/>
        </w:rPr>
      </w:pPr>
      <w:r>
        <w:rPr>
          <w:rFonts w:ascii="Calibri" w:hAnsi="Calibri" w:cs="Calibri"/>
          <w:color w:val="000000"/>
          <w:sz w:val="21"/>
          <w:szCs w:val="21"/>
          <w:lang w:val="en-IN" w:eastAsia="en-IN"/>
        </w:rPr>
        <w:drawing>
          <wp:inline distT="0" distB="0" distL="0" distR="0">
            <wp:extent cx="5113020" cy="8743315"/>
            <wp:effectExtent l="0" t="0" r="1905" b="63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54" t="639" r="6925"/>
                    <a:stretch>
                      <a:fillRect/>
                    </a:stretch>
                  </pic:blipFill>
                  <pic:spPr>
                    <a:xfrm>
                      <a:off x="0" y="0"/>
                      <a:ext cx="5132681" cy="87762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240" w:lineRule="auto"/>
        <w:rPr>
          <w:rFonts w:ascii="Calibri" w:hAnsi="Calibri" w:cs="Calibri"/>
          <w:color w:val="000000"/>
          <w:sz w:val="21"/>
          <w:szCs w:val="21"/>
        </w:rPr>
      </w:pPr>
      <w:r>
        <w:rPr>
          <w:rFonts w:ascii="Calibri" w:hAnsi="Calibri" w:cs="Calibri"/>
          <w:b/>
          <w:bCs/>
          <w:color w:val="000000"/>
          <w:sz w:val="21"/>
          <w:szCs w:val="21"/>
        </w:rPr>
        <w:t>Fig. S1</w:t>
      </w:r>
      <w:r>
        <w:rPr>
          <w:rFonts w:ascii="Calibri" w:hAnsi="Calibri" w:cs="Calibri"/>
          <w:color w:val="000000"/>
          <w:sz w:val="21"/>
          <w:szCs w:val="21"/>
        </w:rPr>
        <w:t xml:space="preserve"> EDS spectra of the (a) hydrophilic membrane (PVA/CS/Ag) and (b) hydrophobic membrane (TPU), (c) UV-vis absorption spectra of silver triangular sheet solution, (d) TEM images of a silver triangular sheet, (e) Ftir spectra, (e) XRD patterns, (g) XPS spectra of the pure PVA, CS, crosslinked hydrophilic membrane (PVA / CS /Ag) and hydrophobic membrane (TPU), (h) High-solution C1s, O1s, N1s XPS spectra of the hydrophobic membrane (top) and hydrophilic membrane (CS/PVA/Ag) (bottom).</w:t>
      </w:r>
    </w:p>
    <w:p>
      <w:pPr>
        <w:spacing w:line="360" w:lineRule="auto"/>
        <w:rPr>
          <w:rFonts w:ascii="Calibri" w:hAnsi="Calibri" w:cs="Calibri"/>
          <w:color w:val="000000"/>
          <w:sz w:val="21"/>
          <w:szCs w:val="21"/>
        </w:rPr>
      </w:pPr>
    </w:p>
    <w:p>
      <w:pPr>
        <w:spacing w:line="360" w:lineRule="auto"/>
        <w:ind w:firstLine="420" w:firstLineChars="200"/>
        <w:rPr>
          <w:rFonts w:ascii="Calibri" w:hAnsi="Calibri" w:cs="Calibri"/>
          <w:color w:val="000000"/>
          <w:sz w:val="21"/>
          <w:szCs w:val="21"/>
        </w:rPr>
      </w:pPr>
      <w:r>
        <w:rPr>
          <w:rFonts w:ascii="Calibri" w:hAnsi="Calibri" w:cs="Calibri"/>
          <w:color w:val="000000"/>
          <w:sz w:val="21"/>
          <w:szCs w:val="21"/>
        </w:rPr>
        <w:t>FESEM-EDS shows that the C, O, and N were well distributed in the hydrophilic film (PVA/CS/Ag). The hydrophilic membrane was loaded with Ag in the fiber and on the fiber surface of the membrane, as shown in (</w:t>
      </w:r>
      <w:r>
        <w:rPr>
          <w:rFonts w:ascii="Calibri" w:hAnsi="Calibri" w:cs="Calibri"/>
          <w:b/>
          <w:bCs/>
          <w:color w:val="000000"/>
          <w:sz w:val="21"/>
          <w:szCs w:val="21"/>
        </w:rPr>
        <w:t>Fig. S1 a</w:t>
      </w:r>
      <w:r>
        <w:rPr>
          <w:rFonts w:ascii="Calibri" w:hAnsi="Calibri" w:cs="Calibri"/>
          <w:color w:val="000000"/>
          <w:sz w:val="21"/>
          <w:szCs w:val="21"/>
        </w:rPr>
        <w:t>). Considering the high antibacterial performance and cost of silver. Therefore, the content of Ag introduced was extremely low, which is difficult to measure. ICP-OES revealed a silver content of 0.0019% (</w:t>
      </w:r>
      <w:r>
        <w:rPr>
          <w:rFonts w:ascii="Calibri" w:hAnsi="Calibri" w:cs="Calibri"/>
          <w:b/>
          <w:bCs/>
          <w:color w:val="000000"/>
          <w:sz w:val="21"/>
          <w:szCs w:val="21"/>
        </w:rPr>
        <w:t>Table 1</w:t>
      </w:r>
      <w:r>
        <w:rPr>
          <w:rFonts w:ascii="Calibri" w:hAnsi="Calibri" w:cs="Calibri"/>
          <w:color w:val="000000"/>
          <w:sz w:val="21"/>
          <w:szCs w:val="21"/>
        </w:rPr>
        <w:t>). For the hydrophobic film (TPU), all elements (C, O, and N) were well distributed (</w:t>
      </w:r>
      <w:r>
        <w:rPr>
          <w:rFonts w:ascii="Calibri" w:hAnsi="Calibri" w:cs="Calibri"/>
          <w:b/>
          <w:bCs/>
          <w:color w:val="000000"/>
          <w:sz w:val="21"/>
          <w:szCs w:val="21"/>
        </w:rPr>
        <w:t>Fig. S1 b</w:t>
      </w:r>
      <w:r>
        <w:rPr>
          <w:rFonts w:ascii="Calibri" w:hAnsi="Calibri" w:cs="Calibri"/>
          <w:color w:val="000000"/>
          <w:sz w:val="21"/>
          <w:szCs w:val="21"/>
        </w:rPr>
        <w:t>). The UV-VIS absorption spectra of the silver nano-triangle suspension showed obvious characteristic absorption peaks at 333nm and 654 nm (</w:t>
      </w:r>
      <w:r>
        <w:rPr>
          <w:rFonts w:ascii="Calibri" w:hAnsi="Calibri" w:cs="Calibri"/>
          <w:b/>
          <w:bCs/>
          <w:color w:val="000000"/>
          <w:sz w:val="21"/>
          <w:szCs w:val="21"/>
        </w:rPr>
        <w:t>Fig. S1 c</w:t>
      </w:r>
      <w:r>
        <w:rPr>
          <w:rFonts w:ascii="Calibri" w:hAnsi="Calibri" w:cs="Calibri"/>
          <w:color w:val="000000"/>
          <w:sz w:val="21"/>
          <w:szCs w:val="21"/>
        </w:rPr>
        <w:t>). TEM showed no agglomerating phenomenon in the triangular slices. Most were triangular or almost triangular, and some tips were truncated. Hence, the UV absorption spectrum showed a blue shift. The size of triangular silver nanoparticles was approximately 40–50 nm (</w:t>
      </w:r>
      <w:r>
        <w:rPr>
          <w:rFonts w:ascii="Calibri" w:hAnsi="Calibri" w:cs="Calibri"/>
          <w:b/>
          <w:bCs/>
          <w:color w:val="000000"/>
          <w:sz w:val="21"/>
          <w:szCs w:val="21"/>
        </w:rPr>
        <w:t>Fig. S1 d</w:t>
      </w:r>
      <w:r>
        <w:rPr>
          <w:rFonts w:ascii="Calibri" w:hAnsi="Calibri" w:cs="Calibri"/>
          <w:color w:val="000000"/>
          <w:sz w:val="21"/>
          <w:szCs w:val="21"/>
        </w:rPr>
        <w:t>). The chemical functional groups of pure PVA, pure CS, crosslinked PVA/CS/Ag membrane, and TPU membrane were analyzed by FT-IR spectroscopy (</w:t>
      </w:r>
      <w:r>
        <w:rPr>
          <w:rFonts w:ascii="Calibri" w:hAnsi="Calibri" w:cs="Calibri"/>
          <w:b/>
          <w:bCs/>
          <w:color w:val="000000"/>
          <w:sz w:val="21"/>
          <w:szCs w:val="21"/>
        </w:rPr>
        <w:t>Fig. S1 e</w:t>
      </w:r>
      <w:r>
        <w:rPr>
          <w:rFonts w:ascii="Calibri" w:hAnsi="Calibri" w:cs="Calibri"/>
          <w:color w:val="000000"/>
          <w:sz w:val="21"/>
          <w:szCs w:val="21"/>
        </w:rPr>
        <w:t>). Compared to pure PVA and pure CS, the C–O–C asymmetric stretching vibration peaks appeared in the PVA/CS/Ag membrane at 1086 cm</w:t>
      </w:r>
      <w:r>
        <w:rPr>
          <w:rFonts w:ascii="Calibri" w:hAnsi="Calibri" w:cs="Calibri"/>
          <w:color w:val="000000"/>
          <w:sz w:val="21"/>
          <w:szCs w:val="21"/>
          <w:vertAlign w:val="superscript"/>
        </w:rPr>
        <w:sym w:font="Symbol" w:char="F02D"/>
      </w:r>
      <w:r>
        <w:rPr>
          <w:rFonts w:ascii="Calibri" w:hAnsi="Calibri" w:cs="Calibri"/>
          <w:color w:val="000000"/>
          <w:sz w:val="21"/>
          <w:szCs w:val="21"/>
          <w:vertAlign w:val="superscript"/>
        </w:rPr>
        <w:t>1</w:t>
      </w:r>
      <w:r>
        <w:rPr>
          <w:rFonts w:ascii="Calibri" w:hAnsi="Calibri" w:cs="Calibri"/>
          <w:color w:val="000000"/>
          <w:sz w:val="21"/>
          <w:szCs w:val="21"/>
        </w:rPr>
        <w:t>, and O–H and N–H stretching vibration peaks appeared at 3321 cm</w:t>
      </w:r>
      <w:r>
        <w:rPr>
          <w:rFonts w:ascii="Calibri" w:hAnsi="Calibri" w:cs="Calibri"/>
          <w:color w:val="000000"/>
          <w:sz w:val="21"/>
          <w:szCs w:val="21"/>
          <w:vertAlign w:val="superscript"/>
        </w:rPr>
        <w:sym w:font="Symbol" w:char="F02D"/>
      </w:r>
      <w:r>
        <w:rPr>
          <w:rFonts w:ascii="Calibri" w:hAnsi="Calibri" w:cs="Calibri"/>
          <w:color w:val="000000"/>
          <w:sz w:val="21"/>
          <w:szCs w:val="21"/>
          <w:vertAlign w:val="superscript"/>
        </w:rPr>
        <w:t>1</w:t>
      </w:r>
      <w:r>
        <w:rPr>
          <w:rFonts w:ascii="Calibri" w:hAnsi="Calibri" w:cs="Calibri"/>
          <w:color w:val="000000"/>
          <w:sz w:val="21"/>
          <w:szCs w:val="21"/>
        </w:rPr>
        <w:t>. Hence, the acetal reaction occurred in the PVA/CS/Ag nanofiber membrane. Glutaraldehyde was crosslinked successfully with CS/PVA. For TPU, the characteristic peaks at 1528cm</w:t>
      </w:r>
      <w:r>
        <w:rPr>
          <w:rFonts w:ascii="Calibri" w:hAnsi="Calibri" w:cs="Calibri"/>
          <w:color w:val="000000"/>
          <w:sz w:val="21"/>
          <w:szCs w:val="21"/>
          <w:vertAlign w:val="superscript"/>
        </w:rPr>
        <w:sym w:font="Symbol" w:char="F02D"/>
      </w:r>
      <w:r>
        <w:rPr>
          <w:rFonts w:ascii="Calibri" w:hAnsi="Calibri" w:cs="Calibri"/>
          <w:color w:val="000000"/>
          <w:sz w:val="21"/>
          <w:szCs w:val="21"/>
          <w:vertAlign w:val="superscript"/>
        </w:rPr>
        <w:t>1</w:t>
      </w:r>
      <w:r>
        <w:rPr>
          <w:rFonts w:ascii="Calibri" w:hAnsi="Calibri" w:cs="Calibri"/>
          <w:color w:val="000000"/>
          <w:sz w:val="21"/>
          <w:szCs w:val="21"/>
        </w:rPr>
        <w:t xml:space="preserve"> and 3330cm</w:t>
      </w:r>
      <w:r>
        <w:rPr>
          <w:rFonts w:ascii="Calibri" w:hAnsi="Calibri" w:cs="Calibri"/>
          <w:color w:val="000000"/>
          <w:sz w:val="21"/>
          <w:szCs w:val="21"/>
          <w:vertAlign w:val="superscript"/>
        </w:rPr>
        <w:sym w:font="Symbol" w:char="F02D"/>
      </w:r>
      <w:r>
        <w:rPr>
          <w:rFonts w:ascii="Calibri" w:hAnsi="Calibri" w:cs="Calibri"/>
          <w:color w:val="000000"/>
          <w:sz w:val="21"/>
          <w:szCs w:val="21"/>
          <w:vertAlign w:val="superscript"/>
        </w:rPr>
        <w:t>1</w:t>
      </w:r>
      <w:r>
        <w:rPr>
          <w:rFonts w:ascii="Calibri" w:hAnsi="Calibri" w:cs="Calibri"/>
          <w:color w:val="000000"/>
          <w:sz w:val="21"/>
          <w:szCs w:val="21"/>
        </w:rPr>
        <w:t xml:space="preserve"> were caused by the in-plane bending vibrations and stretching vibration of N–H, respectively. XRD revealed the presence of PVA, CS, and TPU in the Janus composite membrane (</w:t>
      </w:r>
      <w:r>
        <w:rPr>
          <w:rFonts w:ascii="Calibri" w:hAnsi="Calibri" w:cs="Calibri"/>
          <w:b/>
          <w:bCs/>
          <w:color w:val="000000"/>
          <w:sz w:val="21"/>
          <w:szCs w:val="21"/>
        </w:rPr>
        <w:t>Fig. S1 f</w:t>
      </w:r>
      <w:r>
        <w:rPr>
          <w:rFonts w:ascii="Calibri" w:hAnsi="Calibri" w:cs="Calibri"/>
          <w:color w:val="000000"/>
          <w:sz w:val="21"/>
          <w:szCs w:val="21"/>
        </w:rPr>
        <w:t>). Three characteristic XRD peaks were observed at 11.36°, 19.48°, and 22.42° 2θ for pure PVA. For pure CS, two peaks were observed at 11.16° and 19.92° 2θ. These wide peaks of CS and PVA indicate the amorphous phase properties of the polymers. For hydrophilic films (PVA/CS/Ag), there was a wide peak at 19.82° 2θ. The disappearance of the peak observed at 11.16° 2θ may be due to intermolecular hydrogen bonding when CS and PVA are mixed. The PVA peaks at 11.36 and 22.42° 2θ also disappeared with increasing CS content in the blend because of intermolecular hydrogen bonding between the blends. For the hydrophobic membrane (TPU), the characteristic XRD peak was observed at 20.54° 2θ. Surface chemical components of pure PVA, pure CS, hydrophilic film (CS/PVA/Ag), and hydrophobic film (TPU) were determined by XPS (</w:t>
      </w:r>
      <w:r>
        <w:rPr>
          <w:rFonts w:ascii="Calibri" w:hAnsi="Calibri" w:cs="Calibri"/>
          <w:b/>
          <w:bCs/>
          <w:color w:val="000000"/>
          <w:sz w:val="21"/>
          <w:szCs w:val="21"/>
        </w:rPr>
        <w:t>Fig. S1 g</w:t>
      </w:r>
      <w:r>
        <w:rPr>
          <w:rFonts w:ascii="Calibri" w:hAnsi="Calibri" w:cs="Calibri"/>
          <w:color w:val="000000"/>
          <w:sz w:val="21"/>
          <w:szCs w:val="21"/>
        </w:rPr>
        <w:t>). Each spectrum has its chemical component. On the C1s XPS spectrum, TPU was fitted to four peaks at 284.78eV, 286.36eV, 286.98eV, and 288.83 eV, corresponding to C–C/C–H, C–N, C–O, and C=O, respectively. PVA/CS/Ag was fitted to four peaks at 284.78eV, 286.18eV, 286.58eV, and 289.08eV, corresponding to C–C/C–H, C–N, C–O, and C=O, respectively. On the O1s XPS spectrum, TPU was fitted to two peaks at 532.28eV and 533.58eV, corresponding to O–C and O=C, respectively. PVA/CS/Ag was fitted to two peaks at 532.18eV and 533.38eV, corresponding to O–C and O=C, respectively. On the N1s XPS spectrum, TPU was fitted to one peak at 399.42eV, corresponding to –NHCO.</w:t>
      </w:r>
      <w:r>
        <w:rPr>
          <w:rFonts w:ascii="Calibri" w:hAnsi="Calibri" w:cs="Calibri"/>
          <w:sz w:val="21"/>
          <w:szCs w:val="21"/>
        </w:rPr>
        <w:t xml:space="preserve"> </w:t>
      </w:r>
      <w:r>
        <w:rPr>
          <w:rFonts w:ascii="Calibri" w:hAnsi="Calibri" w:cs="Calibri"/>
          <w:color w:val="000000"/>
          <w:sz w:val="21"/>
          <w:szCs w:val="21"/>
        </w:rPr>
        <w:t>PVA/CS/Ag was fitted to one peak at 399.98eV, corresponding to –NH</w:t>
      </w:r>
      <w:r>
        <w:rPr>
          <w:rFonts w:ascii="Calibri" w:hAnsi="Calibri" w:cs="Calibri"/>
          <w:color w:val="000000"/>
          <w:sz w:val="21"/>
          <w:szCs w:val="21"/>
          <w:vertAlign w:val="subscript"/>
        </w:rPr>
        <w:t>2</w:t>
      </w:r>
      <w:r>
        <w:rPr>
          <w:rFonts w:ascii="Calibri" w:hAnsi="Calibri" w:cs="Calibri"/>
          <w:color w:val="000000"/>
          <w:sz w:val="21"/>
          <w:szCs w:val="21"/>
        </w:rPr>
        <w:t>.</w:t>
      </w:r>
    </w:p>
    <w:p>
      <w:pPr>
        <w:spacing w:line="360" w:lineRule="auto"/>
        <w:rPr>
          <w:rFonts w:ascii="Calibri" w:hAnsi="Calibri" w:cs="Calibri"/>
          <w:color w:val="000000"/>
          <w:sz w:val="21"/>
          <w:szCs w:val="21"/>
        </w:rPr>
      </w:pPr>
    </w:p>
    <w:p>
      <w:pPr>
        <w:spacing w:line="360" w:lineRule="auto"/>
        <w:rPr>
          <w:rFonts w:ascii="Calibri" w:hAnsi="Calibri" w:cs="Calibri"/>
          <w:color w:val="000000"/>
          <w:sz w:val="21"/>
          <w:szCs w:val="21"/>
        </w:rPr>
      </w:pPr>
    </w:p>
    <w:p>
      <w:pPr>
        <w:spacing w:line="360" w:lineRule="auto"/>
        <w:rPr>
          <w:rFonts w:ascii="Calibri" w:hAnsi="Calibri" w:cs="Calibri"/>
          <w:color w:val="000000"/>
          <w:sz w:val="21"/>
          <w:szCs w:val="21"/>
        </w:rPr>
      </w:pPr>
    </w:p>
    <w:p>
      <w:pPr>
        <w:spacing w:line="360" w:lineRule="auto"/>
        <w:rPr>
          <w:rFonts w:ascii="Calibri" w:hAnsi="Calibri" w:cs="Calibri"/>
          <w:color w:val="000000"/>
          <w:sz w:val="21"/>
          <w:szCs w:val="21"/>
        </w:rPr>
      </w:pPr>
    </w:p>
    <w:p>
      <w:pPr>
        <w:spacing w:line="360" w:lineRule="auto"/>
        <w:rPr>
          <w:rFonts w:ascii="Calibri" w:hAnsi="Calibri" w:cs="Calibri"/>
          <w:color w:val="000000"/>
          <w:sz w:val="21"/>
          <w:szCs w:val="21"/>
        </w:rPr>
      </w:pPr>
    </w:p>
    <w:p>
      <w:pPr>
        <w:spacing w:line="360" w:lineRule="auto"/>
        <w:rPr>
          <w:rFonts w:ascii="Calibri" w:hAnsi="Calibri" w:cs="Calibri"/>
          <w:color w:val="000000"/>
          <w:sz w:val="21"/>
          <w:szCs w:val="21"/>
        </w:rPr>
      </w:pPr>
    </w:p>
    <w:p>
      <w:pPr>
        <w:spacing w:line="360" w:lineRule="auto"/>
        <w:rPr>
          <w:rFonts w:ascii="Calibri" w:hAnsi="Calibri" w:cs="Calibri"/>
          <w:color w:val="000000"/>
          <w:sz w:val="21"/>
          <w:szCs w:val="21"/>
        </w:rPr>
      </w:pPr>
    </w:p>
    <w:p>
      <w:pPr>
        <w:spacing w:line="360" w:lineRule="auto"/>
        <w:rPr>
          <w:rFonts w:ascii="Calibri" w:hAnsi="Calibri" w:cs="Calibri"/>
          <w:color w:val="000000"/>
          <w:sz w:val="21"/>
          <w:szCs w:val="21"/>
        </w:rPr>
      </w:pPr>
    </w:p>
    <w:p>
      <w:pPr>
        <w:spacing w:line="360" w:lineRule="auto"/>
        <w:rPr>
          <w:rFonts w:ascii="Calibri" w:hAnsi="Calibri" w:cs="Calibri"/>
          <w:color w:val="000000"/>
          <w:sz w:val="21"/>
          <w:szCs w:val="21"/>
        </w:rPr>
      </w:pPr>
    </w:p>
    <w:p>
      <w:pPr>
        <w:spacing w:line="360" w:lineRule="auto"/>
        <w:rPr>
          <w:rFonts w:ascii="Calibri" w:hAnsi="Calibri" w:cs="Calibri"/>
          <w:color w:val="000000"/>
          <w:sz w:val="21"/>
          <w:szCs w:val="21"/>
        </w:rPr>
      </w:pPr>
    </w:p>
    <w:p>
      <w:pPr>
        <w:spacing w:line="360" w:lineRule="auto"/>
        <w:rPr>
          <w:rFonts w:ascii="Calibri" w:hAnsi="Calibri" w:cs="Calibri"/>
          <w:color w:val="000000"/>
          <w:sz w:val="21"/>
          <w:szCs w:val="21"/>
        </w:rPr>
      </w:pPr>
      <w:r>
        <w:rPr>
          <w:rFonts w:ascii="Calibri" w:hAnsi="Calibri" w:cs="Calibri"/>
          <w:color w:val="000000"/>
          <w:sz w:val="21"/>
          <w:szCs w:val="21"/>
          <w:lang w:val="en-IN" w:eastAsia="en-IN"/>
        </w:rPr>
        <w:drawing>
          <wp:inline distT="0" distB="0" distL="0" distR="0">
            <wp:extent cx="5461635" cy="2886710"/>
            <wp:effectExtent l="0" t="0" r="5715" b="889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070"/>
                    <a:stretch>
                      <a:fillRect/>
                    </a:stretch>
                  </pic:blipFill>
                  <pic:spPr>
                    <a:xfrm>
                      <a:off x="0" y="0"/>
                      <a:ext cx="5493182" cy="2903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240" w:lineRule="auto"/>
        <w:jc w:val="both"/>
        <w:rPr>
          <w:rFonts w:hint="eastAsia" w:ascii="Calibri" w:hAnsi="Calibri" w:cs="Calibri"/>
          <w:color w:val="000000"/>
          <w:sz w:val="21"/>
          <w:szCs w:val="21"/>
          <w:lang w:val="en-US" w:eastAsia="zh-CN"/>
        </w:rPr>
      </w:pPr>
      <w:r>
        <w:rPr>
          <w:rFonts w:ascii="Calibri" w:hAnsi="Calibri" w:cs="Calibri"/>
          <w:b/>
          <w:bCs/>
          <w:color w:val="000000"/>
          <w:sz w:val="21"/>
          <w:szCs w:val="21"/>
        </w:rPr>
        <w:t>Fig. S2</w:t>
      </w:r>
      <w:r>
        <w:rPr>
          <w:rFonts w:ascii="Calibri" w:hAnsi="Calibri" w:cs="Calibri"/>
          <w:color w:val="000000"/>
          <w:sz w:val="21"/>
          <w:szCs w:val="21"/>
        </w:rPr>
        <w:t xml:space="preserve"> (a) Dynamic whole-blood clotting model. (b) Absorption ratio of the hydrophilic membrane treated for different periods. (c) Apparent Zeta potential of the 3% CS solution</w:t>
      </w:r>
      <w:r>
        <w:rPr>
          <w:rFonts w:hint="eastAsia" w:ascii="Calibri" w:hAnsi="Calibri" w:cs="Calibri"/>
          <w:color w:val="000000"/>
          <w:sz w:val="21"/>
          <w:szCs w:val="21"/>
          <w:lang w:val="en-US" w:eastAsia="zh-CN"/>
        </w:rPr>
        <w:t>.</w:t>
      </w:r>
    </w:p>
    <w:p>
      <w:pPr>
        <w:spacing w:line="360" w:lineRule="auto"/>
        <w:jc w:val="both"/>
        <w:rPr>
          <w:rFonts w:hint="eastAsia" w:ascii="Calibri" w:hAnsi="Calibri" w:cs="Calibri"/>
          <w:color w:val="000000"/>
          <w:sz w:val="21"/>
          <w:szCs w:val="21"/>
          <w:lang w:val="en-US" w:eastAsia="zh-CN"/>
        </w:rPr>
      </w:pPr>
    </w:p>
    <w:p>
      <w:pPr>
        <w:spacing w:line="360" w:lineRule="auto"/>
        <w:jc w:val="both"/>
        <w:rPr>
          <w:rFonts w:hint="eastAsia" w:ascii="Calibri" w:hAnsi="Calibri" w:cs="Calibri"/>
          <w:color w:val="000000"/>
          <w:sz w:val="21"/>
          <w:szCs w:val="21"/>
          <w:lang w:val="en-US" w:eastAsia="zh-CN"/>
        </w:rPr>
      </w:pPr>
    </w:p>
    <w:p>
      <w:pPr>
        <w:spacing w:line="360" w:lineRule="auto"/>
        <w:jc w:val="both"/>
        <w:rPr>
          <w:rFonts w:hint="eastAsia" w:ascii="Calibri" w:hAnsi="Calibri" w:cs="Calibri"/>
          <w:color w:val="000000"/>
          <w:sz w:val="21"/>
          <w:szCs w:val="21"/>
          <w:lang w:val="en-US" w:eastAsia="zh-CN"/>
        </w:rPr>
      </w:pPr>
    </w:p>
    <w:p>
      <w:pPr>
        <w:spacing w:line="360" w:lineRule="auto"/>
        <w:jc w:val="both"/>
        <w:rPr>
          <w:rFonts w:hint="eastAsia" w:ascii="Calibri" w:hAnsi="Calibri" w:cs="Calibri"/>
          <w:color w:val="000000"/>
          <w:sz w:val="21"/>
          <w:szCs w:val="21"/>
          <w:lang w:val="en-US" w:eastAsia="zh-CN"/>
        </w:rPr>
      </w:pPr>
    </w:p>
    <w:p>
      <w:pPr>
        <w:spacing w:line="360" w:lineRule="auto"/>
        <w:jc w:val="both"/>
        <w:rPr>
          <w:rFonts w:hint="eastAsia" w:ascii="Calibri" w:hAnsi="Calibri" w:cs="Calibri"/>
          <w:color w:val="000000"/>
          <w:sz w:val="21"/>
          <w:szCs w:val="21"/>
          <w:lang w:val="en-US" w:eastAsia="zh-CN"/>
        </w:rPr>
      </w:pPr>
    </w:p>
    <w:p>
      <w:pPr>
        <w:spacing w:line="360" w:lineRule="auto"/>
        <w:jc w:val="both"/>
        <w:rPr>
          <w:rFonts w:hint="eastAsia" w:ascii="Calibri" w:hAnsi="Calibri" w:cs="Calibri"/>
          <w:color w:val="000000"/>
          <w:sz w:val="21"/>
          <w:szCs w:val="21"/>
          <w:lang w:val="en-US" w:eastAsia="zh-CN"/>
        </w:rPr>
      </w:pPr>
    </w:p>
    <w:p>
      <w:pPr>
        <w:spacing w:line="360" w:lineRule="auto"/>
        <w:jc w:val="both"/>
        <w:rPr>
          <w:rFonts w:hint="eastAsia" w:ascii="Calibri" w:hAnsi="Calibri" w:cs="Calibri"/>
          <w:color w:val="000000"/>
          <w:sz w:val="21"/>
          <w:szCs w:val="21"/>
          <w:lang w:val="en-US" w:eastAsia="zh-CN"/>
        </w:rPr>
      </w:pPr>
    </w:p>
    <w:p>
      <w:pPr>
        <w:spacing w:line="360" w:lineRule="auto"/>
        <w:jc w:val="both"/>
        <w:rPr>
          <w:rFonts w:hint="eastAsia" w:ascii="Calibri" w:hAnsi="Calibri" w:cs="Calibri"/>
          <w:color w:val="000000"/>
          <w:sz w:val="21"/>
          <w:szCs w:val="21"/>
          <w:lang w:val="en-US" w:eastAsia="zh-CN"/>
        </w:rPr>
      </w:pPr>
    </w:p>
    <w:p>
      <w:pPr>
        <w:spacing w:line="360" w:lineRule="auto"/>
        <w:jc w:val="both"/>
        <w:rPr>
          <w:rFonts w:hint="eastAsia" w:ascii="Calibri" w:hAnsi="Calibri" w:cs="Calibri"/>
          <w:color w:val="000000"/>
          <w:sz w:val="21"/>
          <w:szCs w:val="21"/>
          <w:lang w:val="en-US" w:eastAsia="zh-CN"/>
        </w:rPr>
      </w:pPr>
    </w:p>
    <w:p>
      <w:pPr>
        <w:spacing w:line="360" w:lineRule="auto"/>
        <w:jc w:val="both"/>
        <w:rPr>
          <w:rFonts w:hint="eastAsia" w:ascii="Calibri" w:hAnsi="Calibri" w:cs="Calibri"/>
          <w:color w:val="000000"/>
          <w:sz w:val="21"/>
          <w:szCs w:val="21"/>
          <w:lang w:val="en-US" w:eastAsia="zh-CN"/>
        </w:rPr>
      </w:pPr>
    </w:p>
    <w:p>
      <w:pPr>
        <w:spacing w:line="360" w:lineRule="auto"/>
        <w:jc w:val="both"/>
        <w:rPr>
          <w:rFonts w:hint="eastAsia" w:ascii="Calibri" w:hAnsi="Calibri" w:cs="Calibri"/>
          <w:color w:val="000000"/>
          <w:sz w:val="21"/>
          <w:szCs w:val="21"/>
          <w:lang w:val="en-US" w:eastAsia="zh-CN"/>
        </w:rPr>
      </w:pPr>
    </w:p>
    <w:p>
      <w:pPr>
        <w:spacing w:line="360" w:lineRule="auto"/>
        <w:jc w:val="both"/>
        <w:rPr>
          <w:rFonts w:hint="eastAsia" w:ascii="Calibri" w:hAnsi="Calibri" w:cs="Calibri"/>
          <w:color w:val="000000"/>
          <w:sz w:val="21"/>
          <w:szCs w:val="21"/>
          <w:lang w:val="en-US" w:eastAsia="zh-CN"/>
        </w:rPr>
      </w:pPr>
    </w:p>
    <w:p>
      <w:pPr>
        <w:spacing w:line="360" w:lineRule="auto"/>
        <w:jc w:val="both"/>
        <w:rPr>
          <w:rFonts w:hint="eastAsia" w:ascii="Calibri" w:hAnsi="Calibri" w:cs="Calibri"/>
          <w:color w:val="000000"/>
          <w:sz w:val="21"/>
          <w:szCs w:val="21"/>
          <w:lang w:val="en-US" w:eastAsia="zh-CN"/>
        </w:rPr>
      </w:pPr>
    </w:p>
    <w:p>
      <w:pPr>
        <w:spacing w:line="360" w:lineRule="auto"/>
        <w:jc w:val="center"/>
        <w:rPr>
          <w:rFonts w:ascii="Calibri" w:hAnsi="Calibri" w:cs="Calibri"/>
          <w:color w:val="000000"/>
          <w:sz w:val="21"/>
          <w:szCs w:val="21"/>
        </w:rPr>
      </w:pPr>
      <w:r>
        <w:rPr>
          <w:rFonts w:ascii="Calibri" w:hAnsi="Calibri" w:cs="Calibri"/>
          <w:color w:val="000000"/>
          <w:sz w:val="21"/>
          <w:szCs w:val="21"/>
          <w:lang w:val="en-IN" w:eastAsia="en-IN"/>
        </w:rPr>
        <w:drawing>
          <wp:inline distT="0" distB="0" distL="0" distR="0">
            <wp:extent cx="2686685" cy="2212975"/>
            <wp:effectExtent l="0" t="0" r="8890" b="6350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03312" cy="222709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rPr>
          <w:rFonts w:hint="eastAsia" w:ascii="Calibri" w:hAnsi="Calibri" w:cs="Calibri" w:eastAsiaTheme="minorEastAsia"/>
          <w:color w:val="000000"/>
          <w:sz w:val="21"/>
          <w:szCs w:val="21"/>
          <w:lang w:val="en-US" w:eastAsia="zh-CN"/>
        </w:rPr>
      </w:pPr>
      <w:r>
        <w:rPr>
          <w:rFonts w:ascii="Calibri" w:hAnsi="Calibri" w:cs="Calibri"/>
          <w:b/>
          <w:bCs/>
          <w:color w:val="000000"/>
          <w:sz w:val="21"/>
          <w:szCs w:val="21"/>
        </w:rPr>
        <w:t>Fig. S3</w:t>
      </w:r>
      <w:r>
        <w:rPr>
          <w:rFonts w:ascii="Calibri" w:hAnsi="Calibri" w:cs="Calibri"/>
          <w:color w:val="000000"/>
          <w:sz w:val="21"/>
          <w:szCs w:val="21"/>
        </w:rPr>
        <w:t xml:space="preserve"> Solid content of the liquid drug before and after transportation</w:t>
      </w:r>
      <w:r>
        <w:rPr>
          <w:rFonts w:hint="eastAsia" w:ascii="Calibri" w:hAnsi="Calibri" w:cs="Calibri"/>
          <w:color w:val="000000"/>
          <w:sz w:val="21"/>
          <w:szCs w:val="21"/>
          <w:lang w:val="en-US" w:eastAsia="zh-CN"/>
        </w:rPr>
        <w:t>.</w:t>
      </w:r>
    </w:p>
    <w:p>
      <w:pPr>
        <w:spacing w:line="360" w:lineRule="auto"/>
        <w:jc w:val="left"/>
        <w:rPr>
          <w:rFonts w:ascii="Calibri" w:hAnsi="Calibri" w:cs="Calibri"/>
          <w:color w:val="000000"/>
          <w:sz w:val="21"/>
          <w:szCs w:val="21"/>
        </w:rPr>
      </w:pPr>
    </w:p>
    <w:p>
      <w:pPr>
        <w:spacing w:line="360" w:lineRule="auto"/>
        <w:jc w:val="left"/>
        <w:rPr>
          <w:rFonts w:ascii="Calibri" w:hAnsi="Calibri" w:cs="Calibri"/>
          <w:color w:val="000000"/>
          <w:sz w:val="21"/>
          <w:szCs w:val="21"/>
        </w:rPr>
      </w:pPr>
    </w:p>
    <w:p>
      <w:pPr>
        <w:spacing w:line="360" w:lineRule="auto"/>
        <w:jc w:val="left"/>
        <w:rPr>
          <w:rFonts w:ascii="Calibri" w:hAnsi="Calibri" w:cs="Calibri"/>
          <w:color w:val="000000"/>
          <w:sz w:val="21"/>
          <w:szCs w:val="21"/>
        </w:rPr>
      </w:pPr>
    </w:p>
    <w:p>
      <w:pPr>
        <w:spacing w:line="360" w:lineRule="auto"/>
        <w:jc w:val="left"/>
        <w:rPr>
          <w:rFonts w:ascii="Calibri" w:hAnsi="Calibri" w:cs="Calibri"/>
          <w:color w:val="000000"/>
          <w:sz w:val="21"/>
          <w:szCs w:val="21"/>
        </w:rPr>
      </w:pPr>
    </w:p>
    <w:p>
      <w:pPr>
        <w:spacing w:line="360" w:lineRule="auto"/>
        <w:jc w:val="left"/>
        <w:rPr>
          <w:rFonts w:ascii="Calibri" w:hAnsi="Calibri" w:cs="Calibri"/>
          <w:color w:val="000000"/>
          <w:sz w:val="21"/>
          <w:szCs w:val="21"/>
        </w:rPr>
      </w:pPr>
    </w:p>
    <w:p>
      <w:pPr>
        <w:spacing w:line="360" w:lineRule="auto"/>
        <w:jc w:val="left"/>
        <w:rPr>
          <w:rFonts w:ascii="Calibri" w:hAnsi="Calibri" w:cs="Calibri"/>
          <w:color w:val="000000"/>
          <w:sz w:val="21"/>
          <w:szCs w:val="21"/>
        </w:rPr>
      </w:pPr>
    </w:p>
    <w:p>
      <w:pPr>
        <w:spacing w:line="360" w:lineRule="auto"/>
        <w:jc w:val="left"/>
        <w:rPr>
          <w:rFonts w:ascii="Calibri" w:hAnsi="Calibri" w:cs="Calibri"/>
          <w:color w:val="000000"/>
          <w:sz w:val="21"/>
          <w:szCs w:val="21"/>
        </w:rPr>
      </w:pPr>
    </w:p>
    <w:p>
      <w:pPr>
        <w:spacing w:line="360" w:lineRule="auto"/>
        <w:jc w:val="left"/>
        <w:rPr>
          <w:rFonts w:ascii="Calibri" w:hAnsi="Calibri" w:cs="Calibri"/>
          <w:color w:val="000000"/>
          <w:sz w:val="21"/>
          <w:szCs w:val="21"/>
        </w:rPr>
      </w:pPr>
    </w:p>
    <w:p>
      <w:pPr>
        <w:spacing w:line="360" w:lineRule="auto"/>
        <w:jc w:val="left"/>
        <w:rPr>
          <w:rFonts w:ascii="Calibri" w:hAnsi="Calibri" w:cs="Calibri"/>
          <w:color w:val="000000"/>
          <w:sz w:val="21"/>
          <w:szCs w:val="21"/>
        </w:rPr>
      </w:pPr>
    </w:p>
    <w:p>
      <w:pPr>
        <w:spacing w:line="360" w:lineRule="auto"/>
        <w:jc w:val="left"/>
        <w:rPr>
          <w:rFonts w:ascii="Calibri" w:hAnsi="Calibri" w:cs="Calibri"/>
          <w:color w:val="000000"/>
          <w:sz w:val="21"/>
          <w:szCs w:val="21"/>
        </w:rPr>
      </w:pPr>
    </w:p>
    <w:p>
      <w:pPr>
        <w:spacing w:line="360" w:lineRule="auto"/>
        <w:jc w:val="left"/>
        <w:rPr>
          <w:rFonts w:ascii="Calibri" w:hAnsi="Calibri" w:cs="Calibri"/>
          <w:color w:val="000000"/>
          <w:sz w:val="21"/>
          <w:szCs w:val="21"/>
        </w:rPr>
      </w:pPr>
    </w:p>
    <w:p>
      <w:pPr>
        <w:spacing w:line="360" w:lineRule="auto"/>
        <w:jc w:val="left"/>
        <w:rPr>
          <w:rFonts w:ascii="Calibri" w:hAnsi="Calibri" w:cs="Calibri"/>
          <w:color w:val="000000"/>
          <w:sz w:val="21"/>
          <w:szCs w:val="21"/>
        </w:rPr>
      </w:pPr>
    </w:p>
    <w:p>
      <w:pPr>
        <w:spacing w:line="360" w:lineRule="auto"/>
        <w:jc w:val="left"/>
        <w:rPr>
          <w:rFonts w:ascii="Calibri" w:hAnsi="Calibri" w:cs="Calibri"/>
          <w:color w:val="000000"/>
          <w:sz w:val="21"/>
          <w:szCs w:val="21"/>
        </w:rPr>
      </w:pPr>
      <w:r>
        <w:rPr>
          <w:rFonts w:ascii="Calibri" w:hAnsi="Calibri" w:cs="Calibri"/>
          <w:color w:val="000000"/>
          <w:sz w:val="21"/>
          <w:szCs w:val="21"/>
          <w:lang w:val="en-IN" w:eastAsia="en-IN"/>
        </w:rPr>
        <w:drawing>
          <wp:inline distT="0" distB="0" distL="0" distR="0">
            <wp:extent cx="5196205" cy="3513455"/>
            <wp:effectExtent l="0" t="0" r="0" b="1270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03361" cy="351866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rPr>
          <w:rFonts w:hint="eastAsia" w:ascii="Calibri" w:hAnsi="Calibri" w:cs="Calibri"/>
          <w:color w:val="000000"/>
          <w:sz w:val="21"/>
          <w:szCs w:val="21"/>
          <w:lang w:val="en-US" w:eastAsia="zh-CN"/>
        </w:rPr>
      </w:pPr>
      <w:r>
        <w:rPr>
          <w:rFonts w:ascii="Calibri" w:hAnsi="Calibri" w:cs="Calibri"/>
          <w:b/>
          <w:bCs/>
          <w:color w:val="000000"/>
          <w:sz w:val="21"/>
          <w:szCs w:val="21"/>
        </w:rPr>
        <w:t>Fig. S4</w:t>
      </w:r>
      <w:bookmarkStart w:id="2" w:name="_Hlk103784076"/>
      <w:r>
        <w:rPr>
          <w:rFonts w:ascii="Calibri" w:hAnsi="Calibri" w:cs="Calibri"/>
          <w:color w:val="000000"/>
          <w:sz w:val="21"/>
          <w:szCs w:val="21"/>
        </w:rPr>
        <w:t xml:space="preserve"> Images of the plate count of different samples in the antibacterial assay</w:t>
      </w:r>
      <w:bookmarkEnd w:id="2"/>
      <w:r>
        <w:rPr>
          <w:rFonts w:hint="eastAsia" w:ascii="Calibri" w:hAnsi="Calibri" w:cs="Calibri"/>
          <w:color w:val="000000"/>
          <w:sz w:val="21"/>
          <w:szCs w:val="21"/>
          <w:lang w:val="en-US" w:eastAsia="zh-CN"/>
        </w:rPr>
        <w:t>.</w:t>
      </w:r>
    </w:p>
    <w:p>
      <w:pPr>
        <w:spacing w:line="360" w:lineRule="auto"/>
        <w:jc w:val="center"/>
        <w:rPr>
          <w:rFonts w:hint="eastAsia" w:ascii="Calibri" w:hAnsi="Calibri" w:cs="Calibri"/>
          <w:color w:val="000000"/>
          <w:sz w:val="21"/>
          <w:szCs w:val="21"/>
          <w:lang w:val="en-US" w:eastAsia="zh-CN"/>
        </w:rPr>
      </w:pPr>
    </w:p>
    <w:p>
      <w:pPr>
        <w:spacing w:line="360" w:lineRule="auto"/>
        <w:jc w:val="center"/>
        <w:rPr>
          <w:rFonts w:hint="eastAsia" w:ascii="Calibri" w:hAnsi="Calibri" w:cs="Calibri"/>
          <w:color w:val="000000"/>
          <w:sz w:val="21"/>
          <w:szCs w:val="21"/>
          <w:lang w:val="en-US" w:eastAsia="zh-CN"/>
        </w:rPr>
      </w:pPr>
    </w:p>
    <w:p>
      <w:pPr>
        <w:spacing w:line="360" w:lineRule="auto"/>
        <w:jc w:val="center"/>
        <w:rPr>
          <w:rFonts w:hint="eastAsia" w:ascii="Calibri" w:hAnsi="Calibri" w:cs="Calibri"/>
          <w:color w:val="000000"/>
          <w:sz w:val="21"/>
          <w:szCs w:val="21"/>
          <w:lang w:val="en-US" w:eastAsia="zh-CN"/>
        </w:rPr>
      </w:pPr>
    </w:p>
    <w:p>
      <w:pPr>
        <w:spacing w:line="360" w:lineRule="auto"/>
        <w:jc w:val="center"/>
        <w:rPr>
          <w:rFonts w:hint="eastAsia" w:ascii="Calibri" w:hAnsi="Calibri" w:cs="Calibri"/>
          <w:color w:val="000000"/>
          <w:sz w:val="21"/>
          <w:szCs w:val="21"/>
          <w:lang w:val="en-US" w:eastAsia="zh-CN"/>
        </w:rPr>
      </w:pPr>
    </w:p>
    <w:p>
      <w:pPr>
        <w:spacing w:line="360" w:lineRule="auto"/>
        <w:jc w:val="center"/>
        <w:rPr>
          <w:rFonts w:hint="eastAsia" w:ascii="Calibri" w:hAnsi="Calibri" w:cs="Calibri"/>
          <w:color w:val="000000"/>
          <w:sz w:val="21"/>
          <w:szCs w:val="21"/>
          <w:lang w:val="en-US" w:eastAsia="zh-CN"/>
        </w:rPr>
      </w:pPr>
    </w:p>
    <w:p>
      <w:pPr>
        <w:spacing w:line="360" w:lineRule="auto"/>
        <w:jc w:val="center"/>
        <w:rPr>
          <w:rFonts w:hint="eastAsia" w:ascii="Calibri" w:hAnsi="Calibri" w:cs="Calibri"/>
          <w:color w:val="000000"/>
          <w:sz w:val="21"/>
          <w:szCs w:val="21"/>
          <w:lang w:val="en-US" w:eastAsia="zh-CN"/>
        </w:rPr>
      </w:pPr>
    </w:p>
    <w:p>
      <w:pPr>
        <w:spacing w:line="360" w:lineRule="auto"/>
        <w:jc w:val="center"/>
        <w:rPr>
          <w:rFonts w:ascii="Calibri" w:hAnsi="Calibri" w:cs="Calibri"/>
          <w:color w:val="000000"/>
          <w:sz w:val="21"/>
          <w:szCs w:val="21"/>
        </w:rPr>
      </w:pPr>
      <w:r>
        <w:rPr>
          <w:rFonts w:ascii="Calibri" w:hAnsi="Calibri" w:cs="Calibri"/>
          <w:sz w:val="21"/>
          <w:szCs w:val="21"/>
          <w:lang w:val="en-IN" w:eastAsia="en-IN"/>
        </w:rPr>
        <w:drawing>
          <wp:inline distT="0" distB="0" distL="0" distR="0">
            <wp:extent cx="5274310" cy="3488690"/>
            <wp:effectExtent l="0" t="0" r="0" b="0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488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/>
        <w:spacing w:line="360" w:lineRule="auto"/>
        <w:jc w:val="left"/>
        <w:rPr>
          <w:rFonts w:hint="eastAsia" w:ascii="Calibri" w:hAnsi="Calibri" w:cs="Calibri"/>
          <w:color w:val="000000"/>
          <w:sz w:val="21"/>
          <w:szCs w:val="21"/>
          <w:lang w:val="en-US" w:eastAsia="zh-CN"/>
        </w:rPr>
      </w:pPr>
      <w:r>
        <w:rPr>
          <w:rFonts w:ascii="Calibri" w:hAnsi="Calibri" w:cs="Calibri"/>
          <w:b/>
          <w:bCs/>
          <w:color w:val="000000"/>
          <w:sz w:val="21"/>
          <w:szCs w:val="21"/>
        </w:rPr>
        <w:t>Fig. S5</w:t>
      </w:r>
      <w:r>
        <w:rPr>
          <w:rFonts w:ascii="Calibri" w:hAnsi="Calibri" w:cs="Calibri"/>
          <w:color w:val="000000"/>
          <w:sz w:val="21"/>
          <w:szCs w:val="21"/>
        </w:rPr>
        <w:t xml:space="preserve"> Collagen area after treatment with the different materials at different times (days)</w:t>
      </w:r>
      <w:r>
        <w:rPr>
          <w:rFonts w:hint="eastAsia" w:ascii="Calibri" w:hAnsi="Calibri" w:cs="Calibri"/>
          <w:color w:val="000000"/>
          <w:sz w:val="21"/>
          <w:szCs w:val="21"/>
          <w:lang w:val="en-US" w:eastAsia="zh-CN"/>
        </w:rPr>
        <w:t>.</w:t>
      </w:r>
    </w:p>
    <w:p>
      <w:pPr>
        <w:widowControl/>
        <w:spacing w:line="360" w:lineRule="auto"/>
        <w:jc w:val="center"/>
        <w:rPr>
          <w:rFonts w:hint="eastAsia" w:ascii="Calibri" w:hAnsi="Calibri" w:cs="Calibri"/>
          <w:color w:val="000000"/>
          <w:sz w:val="21"/>
          <w:szCs w:val="21"/>
          <w:lang w:val="en-US" w:eastAsia="zh-CN"/>
        </w:rPr>
      </w:pPr>
    </w:p>
    <w:p>
      <w:pPr>
        <w:widowControl/>
        <w:spacing w:line="360" w:lineRule="auto"/>
        <w:jc w:val="center"/>
        <w:rPr>
          <w:rFonts w:hint="eastAsia" w:ascii="Calibri" w:hAnsi="Calibri" w:cs="Calibri"/>
          <w:color w:val="000000"/>
          <w:sz w:val="21"/>
          <w:szCs w:val="21"/>
          <w:lang w:val="en-US" w:eastAsia="zh-CN"/>
        </w:rPr>
      </w:pPr>
    </w:p>
    <w:p>
      <w:pPr>
        <w:widowControl/>
        <w:spacing w:line="360" w:lineRule="auto"/>
        <w:jc w:val="center"/>
        <w:rPr>
          <w:rFonts w:hint="eastAsia" w:ascii="Calibri" w:hAnsi="Calibri" w:cs="Calibri"/>
          <w:color w:val="000000"/>
          <w:sz w:val="21"/>
          <w:szCs w:val="21"/>
          <w:lang w:val="en-US" w:eastAsia="zh-CN"/>
        </w:rPr>
      </w:pPr>
    </w:p>
    <w:p>
      <w:pPr>
        <w:widowControl/>
        <w:spacing w:line="360" w:lineRule="auto"/>
        <w:jc w:val="center"/>
        <w:rPr>
          <w:rFonts w:hint="eastAsia" w:ascii="Calibri" w:hAnsi="Calibri" w:cs="Calibri"/>
          <w:color w:val="000000"/>
          <w:sz w:val="21"/>
          <w:szCs w:val="21"/>
          <w:lang w:val="en-US" w:eastAsia="zh-CN"/>
        </w:rPr>
      </w:pPr>
    </w:p>
    <w:p>
      <w:pPr>
        <w:widowControl/>
        <w:spacing w:line="360" w:lineRule="auto"/>
        <w:jc w:val="center"/>
        <w:rPr>
          <w:rFonts w:hint="eastAsia" w:ascii="Calibri" w:hAnsi="Calibri" w:cs="Calibri"/>
          <w:color w:val="000000"/>
          <w:sz w:val="21"/>
          <w:szCs w:val="21"/>
          <w:lang w:val="en-US" w:eastAsia="zh-CN"/>
        </w:rPr>
      </w:pPr>
    </w:p>
    <w:p>
      <w:pPr>
        <w:widowControl/>
        <w:spacing w:line="360" w:lineRule="auto"/>
        <w:jc w:val="center"/>
        <w:rPr>
          <w:rFonts w:hint="eastAsia" w:ascii="Calibri" w:hAnsi="Calibri" w:cs="Calibri"/>
          <w:color w:val="000000"/>
          <w:sz w:val="21"/>
          <w:szCs w:val="21"/>
          <w:lang w:val="en-US" w:eastAsia="zh-CN"/>
        </w:rPr>
      </w:pPr>
    </w:p>
    <w:p>
      <w:pPr>
        <w:widowControl/>
        <w:spacing w:line="360" w:lineRule="auto"/>
        <w:jc w:val="center"/>
        <w:rPr>
          <w:rFonts w:hint="eastAsia" w:ascii="Calibri" w:hAnsi="Calibri" w:cs="Calibri"/>
          <w:color w:val="000000"/>
          <w:sz w:val="21"/>
          <w:szCs w:val="21"/>
          <w:lang w:val="en-US" w:eastAsia="zh-CN"/>
        </w:rPr>
      </w:pPr>
    </w:p>
    <w:p>
      <w:pPr>
        <w:widowControl/>
        <w:spacing w:line="360" w:lineRule="auto"/>
        <w:jc w:val="center"/>
        <w:rPr>
          <w:rFonts w:hint="eastAsia" w:ascii="Calibri" w:hAnsi="Calibri" w:cs="Calibri"/>
          <w:color w:val="000000"/>
          <w:sz w:val="21"/>
          <w:szCs w:val="21"/>
          <w:lang w:val="en-US" w:eastAsia="zh-CN"/>
        </w:rPr>
      </w:pPr>
    </w:p>
    <w:p>
      <w:pPr>
        <w:widowControl/>
        <w:spacing w:line="360" w:lineRule="auto"/>
        <w:jc w:val="center"/>
        <w:rPr>
          <w:rFonts w:hint="eastAsia" w:ascii="Calibri" w:hAnsi="Calibri" w:cs="Calibri"/>
          <w:color w:val="000000"/>
          <w:sz w:val="21"/>
          <w:szCs w:val="21"/>
          <w:lang w:val="en-US" w:eastAsia="zh-CN"/>
        </w:rPr>
      </w:pPr>
    </w:p>
    <w:p>
      <w:pPr>
        <w:widowControl/>
        <w:spacing w:line="360" w:lineRule="auto"/>
        <w:jc w:val="center"/>
        <w:rPr>
          <w:rFonts w:hint="eastAsia" w:ascii="Calibri" w:hAnsi="Calibri" w:cs="Calibri"/>
          <w:color w:val="000000"/>
          <w:sz w:val="21"/>
          <w:szCs w:val="21"/>
          <w:lang w:val="en-US" w:eastAsia="zh-CN"/>
        </w:rPr>
      </w:pPr>
    </w:p>
    <w:p>
      <w:pPr>
        <w:widowControl/>
        <w:spacing w:line="360" w:lineRule="auto"/>
        <w:jc w:val="center"/>
        <w:rPr>
          <w:rFonts w:hint="eastAsia" w:ascii="Calibri" w:hAnsi="Calibri" w:cs="Calibri"/>
          <w:color w:val="000000"/>
          <w:sz w:val="21"/>
          <w:szCs w:val="21"/>
          <w:lang w:val="en-US" w:eastAsia="zh-CN"/>
        </w:rPr>
      </w:pPr>
    </w:p>
    <w:p>
      <w:pPr>
        <w:widowControl/>
        <w:spacing w:line="360" w:lineRule="auto"/>
        <w:jc w:val="center"/>
        <w:rPr>
          <w:rFonts w:hint="eastAsia" w:ascii="Calibri" w:hAnsi="Calibri" w:cs="Calibri"/>
          <w:color w:val="000000"/>
          <w:sz w:val="21"/>
          <w:szCs w:val="21"/>
          <w:lang w:val="en-US" w:eastAsia="zh-CN"/>
        </w:rPr>
      </w:pPr>
    </w:p>
    <w:p>
      <w:pPr>
        <w:widowControl/>
        <w:spacing w:line="360" w:lineRule="auto"/>
        <w:jc w:val="center"/>
        <w:rPr>
          <w:rFonts w:hint="eastAsia" w:ascii="Calibri" w:hAnsi="Calibri" w:cs="Calibri"/>
          <w:color w:val="000000"/>
          <w:sz w:val="21"/>
          <w:szCs w:val="21"/>
          <w:lang w:val="en-US" w:eastAsia="zh-CN"/>
        </w:rPr>
      </w:pPr>
    </w:p>
    <w:p>
      <w:pPr>
        <w:widowControl/>
        <w:spacing w:line="360" w:lineRule="auto"/>
        <w:jc w:val="center"/>
        <w:rPr>
          <w:rFonts w:hint="eastAsia" w:ascii="Calibri" w:hAnsi="Calibri" w:cs="Calibri"/>
          <w:color w:val="000000"/>
          <w:sz w:val="21"/>
          <w:szCs w:val="21"/>
          <w:lang w:val="en-US" w:eastAsia="zh-CN"/>
        </w:rPr>
      </w:pPr>
    </w:p>
    <w:p>
      <w:pPr>
        <w:widowControl/>
        <w:spacing w:line="360" w:lineRule="auto"/>
        <w:jc w:val="center"/>
        <w:rPr>
          <w:rFonts w:hint="eastAsia" w:ascii="Calibri" w:hAnsi="Calibri" w:cs="Calibri"/>
          <w:color w:val="000000"/>
          <w:sz w:val="21"/>
          <w:szCs w:val="21"/>
          <w:lang w:val="en-US" w:eastAsia="zh-CN"/>
        </w:rPr>
      </w:pPr>
    </w:p>
    <w:p>
      <w:pPr>
        <w:widowControl/>
        <w:spacing w:line="360" w:lineRule="auto"/>
        <w:jc w:val="center"/>
        <w:rPr>
          <w:rFonts w:hint="eastAsia" w:ascii="Calibri" w:hAnsi="Calibri" w:cs="Calibri"/>
          <w:color w:val="000000"/>
          <w:sz w:val="21"/>
          <w:szCs w:val="21"/>
          <w:lang w:val="en-US" w:eastAsia="zh-CN"/>
        </w:rPr>
      </w:pPr>
    </w:p>
    <w:p>
      <w:pPr>
        <w:widowControl/>
        <w:spacing w:line="360" w:lineRule="auto"/>
        <w:jc w:val="center"/>
        <w:rPr>
          <w:rFonts w:hint="eastAsia" w:ascii="Calibri" w:hAnsi="Calibri" w:cs="Calibri"/>
          <w:color w:val="000000"/>
          <w:sz w:val="21"/>
          <w:szCs w:val="21"/>
          <w:lang w:val="en-US" w:eastAsia="zh-CN"/>
        </w:rPr>
      </w:pPr>
    </w:p>
    <w:p>
      <w:pPr>
        <w:spacing w:line="360" w:lineRule="auto"/>
        <w:rPr>
          <w:rFonts w:ascii="Calibri" w:hAnsi="Calibri" w:cs="Calibri"/>
          <w:color w:val="000000"/>
          <w:sz w:val="21"/>
          <w:szCs w:val="21"/>
        </w:rPr>
      </w:pPr>
    </w:p>
    <w:p>
      <w:pPr>
        <w:spacing w:line="360" w:lineRule="auto"/>
        <w:rPr>
          <w:rFonts w:ascii="Calibri" w:hAnsi="Calibri" w:cs="Calibri"/>
          <w:color w:val="000000"/>
          <w:sz w:val="21"/>
          <w:szCs w:val="21"/>
        </w:rPr>
      </w:pPr>
    </w:p>
    <w:p>
      <w:pPr>
        <w:spacing w:line="360" w:lineRule="auto"/>
        <w:rPr>
          <w:rFonts w:hint="eastAsia" w:ascii="Calibri" w:hAnsi="Calibri" w:cs="Calibri" w:eastAsiaTheme="minorEastAsia"/>
          <w:color w:val="000000"/>
          <w:sz w:val="21"/>
          <w:szCs w:val="21"/>
          <w:lang w:val="en-US" w:eastAsia="zh-CN"/>
        </w:rPr>
      </w:pPr>
      <w:r>
        <w:rPr>
          <w:rFonts w:hint="eastAsia" w:ascii="Calibri" w:hAnsi="Calibri" w:cs="Calibri"/>
          <w:b/>
          <w:bCs/>
          <w:color w:val="000000"/>
          <w:sz w:val="21"/>
          <w:szCs w:val="21"/>
          <w:lang w:val="en-US" w:eastAsia="zh-CN"/>
        </w:rPr>
        <w:t>Table 1</w:t>
      </w:r>
      <w:r>
        <w:rPr>
          <w:rFonts w:hint="eastAsia" w:ascii="Calibri" w:hAnsi="Calibri" w:cs="Calibri"/>
          <w:color w:val="000000"/>
          <w:sz w:val="21"/>
          <w:szCs w:val="21"/>
          <w:lang w:val="en-US" w:eastAsia="zh-CN"/>
        </w:rPr>
        <w:t xml:space="preserve"> </w:t>
      </w:r>
      <w:r>
        <w:rPr>
          <w:rFonts w:hint="eastAsia" w:ascii="Calibri" w:hAnsi="Calibri" w:cs="Calibri"/>
          <w:color w:val="000000"/>
          <w:sz w:val="21"/>
          <w:szCs w:val="21"/>
        </w:rPr>
        <w:t xml:space="preserve">ICP-OES silver </w:t>
      </w:r>
      <w:r>
        <w:rPr>
          <w:rFonts w:hint="eastAsia" w:ascii="Calibri" w:hAnsi="Calibri" w:cs="Calibri"/>
          <w:color w:val="000000"/>
          <w:sz w:val="21"/>
          <w:szCs w:val="21"/>
          <w:lang w:val="en-US" w:eastAsia="zh-CN"/>
        </w:rPr>
        <w:t>content</w:t>
      </w:r>
      <w:r>
        <w:rPr>
          <w:rFonts w:hint="eastAsia" w:ascii="Calibri" w:hAnsi="Calibri" w:cs="Calibri"/>
          <w:color w:val="000000"/>
          <w:sz w:val="21"/>
          <w:szCs w:val="21"/>
        </w:rPr>
        <w:t xml:space="preserve"> of crosslinked hydrophilic layer membrane (PVA/CS/Ag)</w:t>
      </w:r>
      <w:r>
        <w:rPr>
          <w:rFonts w:hint="eastAsia" w:ascii="Calibri" w:hAnsi="Calibri" w:cs="Calibri"/>
          <w:color w:val="000000"/>
          <w:sz w:val="21"/>
          <w:szCs w:val="21"/>
          <w:lang w:val="en-US" w:eastAsia="zh-CN"/>
        </w:rPr>
        <w:t>.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single" w:color="auto" w:sz="4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77"/>
        <w:gridCol w:w="1459"/>
        <w:gridCol w:w="2270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</w:tblPrEx>
        <w:trPr>
          <w:trHeight w:val="637" w:hRule="atLeast"/>
          <w:jc w:val="center"/>
        </w:trPr>
        <w:tc>
          <w:tcPr>
            <w:tcW w:w="3077" w:type="dxa"/>
            <w:tcBorders>
              <w:top w:val="single" w:color="auto" w:sz="18" w:space="0"/>
              <w:left w:val="nil"/>
              <w:bottom w:val="single" w:color="auto" w:sz="12" w:space="0"/>
              <w:right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21"/>
                <w:szCs w:val="21"/>
              </w:rPr>
            </w:pPr>
            <w:r>
              <w:rPr>
                <w:rFonts w:ascii="Calibri" w:hAnsi="Calibri" w:cs="Calibri"/>
                <w:color w:val="000000"/>
                <w:sz w:val="21"/>
                <w:szCs w:val="21"/>
              </w:rPr>
              <w:t>Sample</w:t>
            </w:r>
          </w:p>
        </w:tc>
        <w:tc>
          <w:tcPr>
            <w:tcW w:w="1459" w:type="dxa"/>
            <w:tcBorders>
              <w:top w:val="single" w:color="auto" w:sz="18" w:space="0"/>
              <w:left w:val="nil"/>
              <w:bottom w:val="single" w:color="auto" w:sz="12" w:space="0"/>
              <w:right w:val="nil"/>
            </w:tcBorders>
            <w:vAlign w:val="center"/>
          </w:tcPr>
          <w:p>
            <w:pPr>
              <w:spacing w:line="360" w:lineRule="auto"/>
              <w:rPr>
                <w:rFonts w:ascii="Calibri" w:hAnsi="Calibri" w:cs="Calibri"/>
                <w:color w:val="000000"/>
                <w:sz w:val="21"/>
                <w:szCs w:val="21"/>
              </w:rPr>
            </w:pPr>
            <w:r>
              <w:rPr>
                <w:rFonts w:ascii="Calibri" w:hAnsi="Calibri" w:cs="Calibri"/>
                <w:color w:val="000000"/>
                <w:sz w:val="21"/>
                <w:szCs w:val="21"/>
              </w:rPr>
              <w:t>Element</w:t>
            </w:r>
          </w:p>
        </w:tc>
        <w:tc>
          <w:tcPr>
            <w:tcW w:w="2270" w:type="dxa"/>
            <w:tcBorders>
              <w:top w:val="single" w:color="auto" w:sz="18" w:space="0"/>
              <w:left w:val="nil"/>
              <w:bottom w:val="single" w:color="auto" w:sz="12" w:space="0"/>
              <w:right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21"/>
                <w:szCs w:val="21"/>
              </w:rPr>
            </w:pPr>
            <w:r>
              <w:rPr>
                <w:rFonts w:ascii="Calibri" w:hAnsi="Calibri" w:cs="Calibri"/>
                <w:color w:val="000000"/>
                <w:sz w:val="21"/>
                <w:szCs w:val="21"/>
              </w:rPr>
              <w:t xml:space="preserve">Element content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  <w:jc w:val="center"/>
        </w:trPr>
        <w:tc>
          <w:tcPr>
            <w:tcW w:w="3077" w:type="dxa"/>
            <w:tcBorders>
              <w:top w:val="single" w:color="auto" w:sz="12" w:space="0"/>
              <w:left w:val="nil"/>
              <w:bottom w:val="single" w:color="auto" w:sz="18" w:space="0"/>
              <w:right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21"/>
                <w:szCs w:val="21"/>
              </w:rPr>
            </w:pPr>
            <w:r>
              <w:rPr>
                <w:rFonts w:ascii="Calibri" w:hAnsi="Calibri" w:cs="Calibri"/>
                <w:color w:val="000000"/>
                <w:sz w:val="21"/>
                <w:szCs w:val="21"/>
              </w:rPr>
              <w:t>hydrophilic membrane</w:t>
            </w:r>
          </w:p>
        </w:tc>
        <w:tc>
          <w:tcPr>
            <w:tcW w:w="1459" w:type="dxa"/>
            <w:tcBorders>
              <w:top w:val="single" w:color="auto" w:sz="12" w:space="0"/>
              <w:left w:val="nil"/>
              <w:bottom w:val="single" w:color="auto" w:sz="18" w:space="0"/>
              <w:right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21"/>
                <w:szCs w:val="21"/>
              </w:rPr>
            </w:pPr>
            <w:r>
              <w:rPr>
                <w:rFonts w:ascii="Calibri" w:hAnsi="Calibri" w:cs="Calibri"/>
                <w:color w:val="000000"/>
                <w:sz w:val="21"/>
                <w:szCs w:val="21"/>
              </w:rPr>
              <w:t>Ag</w:t>
            </w:r>
          </w:p>
        </w:tc>
        <w:tc>
          <w:tcPr>
            <w:tcW w:w="2270" w:type="dxa"/>
            <w:tcBorders>
              <w:top w:val="single" w:color="auto" w:sz="12" w:space="0"/>
              <w:left w:val="nil"/>
              <w:bottom w:val="single" w:color="auto" w:sz="18" w:space="0"/>
              <w:right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21"/>
                <w:szCs w:val="21"/>
              </w:rPr>
            </w:pPr>
            <w:r>
              <w:rPr>
                <w:rFonts w:ascii="Calibri" w:hAnsi="Calibri" w:cs="Calibri"/>
                <w:color w:val="000000"/>
                <w:sz w:val="21"/>
                <w:szCs w:val="21"/>
              </w:rPr>
              <w:t>0.0019%</w:t>
            </w:r>
          </w:p>
        </w:tc>
      </w:tr>
    </w:tbl>
    <w:p>
      <w:pPr>
        <w:spacing w:line="360" w:lineRule="auto"/>
        <w:rPr>
          <w:rFonts w:ascii="Calibri" w:hAnsi="Calibri" w:cs="Calibri"/>
          <w:color w:val="000000"/>
          <w:sz w:val="21"/>
          <w:szCs w:val="21"/>
        </w:rPr>
      </w:pPr>
    </w:p>
    <w:p>
      <w:pPr>
        <w:spacing w:line="360" w:lineRule="auto"/>
        <w:rPr>
          <w:rFonts w:ascii="Calibri" w:hAnsi="Calibri" w:cs="Calibri"/>
          <w:color w:val="000000"/>
          <w:sz w:val="21"/>
          <w:szCs w:val="21"/>
        </w:rPr>
      </w:pPr>
    </w:p>
    <w:p>
      <w:pPr>
        <w:widowControl/>
        <w:spacing w:line="360" w:lineRule="auto"/>
        <w:jc w:val="center"/>
        <w:rPr>
          <w:rFonts w:hint="eastAsia" w:ascii="Calibri" w:hAnsi="Calibri" w:cs="Calibri"/>
          <w:color w:val="000000"/>
          <w:sz w:val="21"/>
          <w:szCs w:val="21"/>
          <w:lang w:val="en-US" w:eastAsia="zh-CN"/>
        </w:rPr>
      </w:pPr>
    </w:p>
    <w:p>
      <w:pPr>
        <w:spacing w:line="360" w:lineRule="auto"/>
        <w:rPr>
          <w:rFonts w:ascii="Calibri" w:hAnsi="Calibri" w:cs="Calibri"/>
          <w:color w:val="000000"/>
          <w:sz w:val="21"/>
          <w:szCs w:val="21"/>
        </w:rPr>
      </w:pPr>
    </w:p>
    <w:p>
      <w:pPr>
        <w:spacing w:line="360" w:lineRule="auto"/>
        <w:rPr>
          <w:rFonts w:ascii="Calibri" w:hAnsi="Calibri" w:eastAsia="宋体" w:cs="Calibri"/>
          <w:b/>
          <w:bCs/>
          <w:color w:val="000000" w:themeColor="text1"/>
          <w:kern w:val="24"/>
          <w:sz w:val="21"/>
          <w:szCs w:val="21"/>
          <w14:textFill>
            <w14:solidFill>
              <w14:schemeClr w14:val="tx1"/>
            </w14:solidFill>
          </w14:textFill>
        </w:rPr>
      </w:pPr>
    </w:p>
    <w:sectPr>
      <w:headerReference r:id="rId4" w:type="default"/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Times">
    <w:altName w:val="Times New Roman"/>
    <w:panose1 w:val="02020603050405020304"/>
    <w:charset w:val="00"/>
    <w:family w:val="roman"/>
    <w:pitch w:val="default"/>
    <w:sig w:usb0="00000000" w:usb1="00000000" w:usb2="00000008" w:usb3="00000000" w:csb0="000001FF" w:csb1="00000000"/>
  </w:font>
  <w:font w:name="AdvOT9b12cd41">
    <w:altName w:val="微软雅黑"/>
    <w:panose1 w:val="00000000000000000000"/>
    <w:charset w:val="86"/>
    <w:family w:val="auto"/>
    <w:pitch w:val="default"/>
    <w:sig w:usb0="00000000" w:usb1="00000000" w:usb2="00000010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MS Mincho">
    <w:altName w:val="Yu Gothic UI"/>
    <w:panose1 w:val="02020609040205080304"/>
    <w:charset w:val="80"/>
    <w:family w:val="modern"/>
    <w:pitch w:val="default"/>
    <w:sig w:usb0="00000000" w:usb1="00000000" w:usb2="00000012" w:usb3="00000000" w:csb0="0002009F" w:csb1="00000000"/>
  </w:font>
  <w:font w:name="Yu Gothic UI">
    <w:panose1 w:val="020B0500000000000000"/>
    <w:charset w:val="80"/>
    <w:family w:val="auto"/>
    <w:pitch w:val="default"/>
    <w:sig w:usb0="E00002FF" w:usb1="2AC7FDFF" w:usb2="00000016" w:usb3="00000000" w:csb0="2002009F" w:csb1="00000000"/>
  </w:font>
  <w:font w:name="Adobe 黑体 Std R">
    <w:panose1 w:val="020B0400000000000000"/>
    <w:charset w:val="86"/>
    <w:family w:val="auto"/>
    <w:pitch w:val="default"/>
    <w:sig w:usb0="00000001" w:usb1="0A0F1810" w:usb2="00000016" w:usb3="00000000" w:csb0="00060007" w:csb1="00000000"/>
  </w:font>
  <w:font w:name="Minion Pro">
    <w:panose1 w:val="02040503050306020203"/>
    <w:charset w:val="00"/>
    <w:family w:val="roman"/>
    <w:pitch w:val="default"/>
    <w:sig w:usb0="60000287" w:usb1="00000001" w:usb2="00000000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2">
    <w:p>
      <w:r>
        <w:separator/>
      </w:r>
    </w:p>
  </w:footnote>
  <w:footnote w:type="continuationSeparator" w:id="3">
    <w:p>
      <w:r>
        <w:continuationSeparator/>
      </w:r>
    </w:p>
  </w:footnote>
  <w:footnote w:id="0">
    <w:p>
      <w:pPr>
        <w:pStyle w:val="3"/>
        <w:snapToGrid w:val="0"/>
        <w:rPr>
          <w:rFonts w:hint="default" w:ascii="Calibri" w:hAnsi="Calibri" w:cs="Calibri"/>
        </w:rPr>
      </w:pPr>
      <w:r>
        <w:rPr>
          <w:rStyle w:val="6"/>
          <w:rFonts w:hint="default" w:ascii="Calibri" w:hAnsi="Calibri" w:cs="Calibri"/>
        </w:rPr>
        <w:footnoteRef/>
      </w:r>
      <w:r>
        <w:rPr>
          <w:rFonts w:hint="default" w:ascii="Calibri" w:hAnsi="Calibri" w:cs="Calibri"/>
        </w:rPr>
        <w:t xml:space="preserve"> Corresponding authors: linjin00112043@126.com/linjing@gzhu.edu.cn(Jing Lin); huangsy@mail.sysu.edu.cn(Songyin Huang); linsd@gic.ac.cn(Shudong Lin).</w:t>
      </w:r>
    </w:p>
    <w:p>
      <w:pPr>
        <w:pStyle w:val="3"/>
        <w:snapToGrid w:val="0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2"/>
    <w:footnote w:id="3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EwMDFiMzhhNTMyMzNlZTEzNDIyYmFmYWRiMTJjNzcifQ=="/>
  </w:docVars>
  <w:rsids>
    <w:rsidRoot w:val="00000000"/>
    <w:rsid w:val="05D52DB8"/>
    <w:rsid w:val="072370C2"/>
    <w:rsid w:val="073968DF"/>
    <w:rsid w:val="105473D9"/>
    <w:rsid w:val="188A7C14"/>
    <w:rsid w:val="20594279"/>
    <w:rsid w:val="24C3176E"/>
    <w:rsid w:val="522A2D0E"/>
    <w:rsid w:val="6ABD0CF8"/>
    <w:rsid w:val="7EE06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3">
    <w:name w:val="footnote text"/>
    <w:basedOn w:val="1"/>
    <w:uiPriority w:val="0"/>
    <w:pPr>
      <w:snapToGrid w:val="0"/>
      <w:jc w:val="left"/>
    </w:pPr>
    <w:rPr>
      <w:sz w:val="18"/>
    </w:rPr>
  </w:style>
  <w:style w:type="character" w:styleId="6">
    <w:name w:val="footnote reference"/>
    <w:basedOn w:val="5"/>
    <w:qFormat/>
    <w:uiPriority w:val="0"/>
    <w:rPr>
      <w:vertAlign w:val="superscript"/>
    </w:rPr>
  </w:style>
  <w:style w:type="paragraph" w:customStyle="1" w:styleId="7">
    <w:name w:val="EndNote Bibliography"/>
    <w:basedOn w:val="1"/>
    <w:qFormat/>
    <w:uiPriority w:val="0"/>
    <w:rPr>
      <w:rFonts w:ascii="等线" w:hAnsi="等线" w:eastAsia="等线"/>
      <w:sz w:val="20"/>
    </w:rPr>
  </w:style>
  <w:style w:type="paragraph" w:customStyle="1" w:styleId="8">
    <w:name w:val="BC_Author_Address"/>
    <w:basedOn w:val="1"/>
    <w:next w:val="1"/>
    <w:qFormat/>
    <w:uiPriority w:val="0"/>
    <w:pPr>
      <w:widowControl/>
      <w:topLinePunct w:val="0"/>
      <w:spacing w:after="240" w:line="480" w:lineRule="auto"/>
      <w:jc w:val="center"/>
    </w:pPr>
    <w:rPr>
      <w:rFonts w:ascii="Times" w:hAnsi="Times"/>
      <w:kern w:val="0"/>
      <w:sz w:val="24"/>
      <w:szCs w:val="20"/>
      <w:lang w:eastAsia="en-US"/>
    </w:rPr>
  </w:style>
  <w:style w:type="character" w:customStyle="1" w:styleId="9">
    <w:name w:val="fontstyle01"/>
    <w:qFormat/>
    <w:uiPriority w:val="0"/>
    <w:rPr>
      <w:rFonts w:hint="default" w:ascii="AdvOT9b12cd41" w:hAnsi="AdvOT9b12cd41"/>
      <w:color w:val="000000"/>
      <w:sz w:val="16"/>
      <w:szCs w:val="16"/>
    </w:rPr>
  </w:style>
  <w:style w:type="paragraph" w:customStyle="1" w:styleId="10">
    <w:name w:val="Table of contents"/>
    <w:basedOn w:val="1"/>
    <w:qFormat/>
    <w:uiPriority w:val="0"/>
    <w:pPr>
      <w:widowControl/>
      <w:jc w:val="left"/>
    </w:pPr>
    <w:rPr>
      <w:rFonts w:eastAsia="MS Mincho"/>
      <w:kern w:val="0"/>
      <w:sz w:val="24"/>
      <w:szCs w:val="24"/>
      <w:lang w:eastAsia="ja-JP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header" Target="head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image" Target="media/image5.emf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923</Words>
  <Characters>5100</Characters>
  <Lines>0</Lines>
  <Paragraphs>0</Paragraphs>
  <TotalTime>0</TotalTime>
  <ScaleCrop>false</ScaleCrop>
  <LinksUpToDate>false</LinksUpToDate>
  <CharactersWithSpaces>5998</CharactersWithSpaces>
  <Application>WPS Office_11.1.0.12313_F1E327BC-269C-435d-A152-05C5408002CA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2022-08-09T15:03:00Z</dcterms:created>
  <dc:creator>36418</dc:creator>
  <cp:lastModifiedBy>林璟</cp:lastModifiedBy>
  <dcterms:modified xsi:type="dcterms:W3CDTF">2022-09-12T16:01:15Z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356DAF039B6A42EA984B9391987AA8BD</vt:lpwstr>
  </property>
</Properties>
</file>