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jc w:val="center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</w:pPr>
      <w:bookmarkStart w:id="0" w:name="_Hlk73022028"/>
      <w:bookmarkStart w:id="1" w:name="_GoBack"/>
      <w:bookmarkEnd w:id="1"/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 xml:space="preserve">Figure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L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>egends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>Fig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ure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 xml:space="preserve"> 1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High FLI1 levels are associated with radioresistance and poor prognosis in NPC patients.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</w:pP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(A)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Heatmap profiling of the gene expression in radiosensitive tissues (n=5) and radioresistant tissues (n=5), as is analyzed by RNA-seq.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(B)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Representative images of immunohistochemical (IHC) staining of FLI1 protein expression in 137 NPC tissues (a, no brown particle staining; b, light brown particles; c, moderate brown particles; d, dark brown particles). Scale bars=100 μm.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 (C-F)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Kaplan–Meier analysis of the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overall survival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(C)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, local recurrence free survival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(D)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, progress free survival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(E)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and distant recurrence free survival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(F)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of 137 NPC patients based on FLI1 expression. The 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eastAsia="zh-Hans" w:bidi="ar"/>
        </w:rPr>
        <w:t>p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values were analyzed by log-rank test.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</w:pP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>Fig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ure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 xml:space="preserve"> 2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FLI1 facilitates NPC cell survival after irradiation (IR) in vitro.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(A-B)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Western blot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(A)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and RT-qPCR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(B)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analysis of FLI1 protein and mRNA level in CNE1 cells with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overexpression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and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5-8F cells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with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knockdown (VEC, control lentiviral vector; FLI1, FLI1 overexpression lentiviral vector; NC, negative control shRNA; shFLI1, FLI1-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specific shRNA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). GAPDH was included as a loading control.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(C)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Cells were seeded at the density of 200, 400, 800 and 1000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cells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for 0Gy, 1Gy, 2Gy and 4Gy IR dose. Colony formation assays and survival fraction curve analysis were employed to assess cell survival at 10-14 days after exposure to indicated IR dose.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(D-E)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Western blot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(D)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and Annexin V/PI double-staining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(E)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assays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were performed to evaluate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the effects of FLI1 on apoptosis 48h after cells treated with or without IR. Data in B, C and E are presented as mean ± SD (n=3). 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 xml:space="preserve">p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&lt; 0.01, ***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>p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 &lt; 0.001, ****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>p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 &lt; 0.0001; ns, not significant (Student's t-test). Source data are provided as a Source Data file.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>Fig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 xml:space="preserve">ure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>3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FLI1 induces radioresistance by facilitating DNA double-strand breaks (DSBs) repair in NPC cells.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(A-B)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The effects of FLI1 on γ-H2AX foci and levels in the indicated CNE1 and 5-8F cells with or without IR by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immunofluorescence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(A)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and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western blot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(B)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assays.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(C)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Comet images and quantitative analysis of tail moments for DNA damage in the indicated CNE1 and 5-8F cells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with or without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IR treatment.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(D)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W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estern blot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analysis of the time course of changes in γ-H2AX levels in NPC cells with 6Gy IR exposure. Data in A and C are presented as mean ± SD (n=3). 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 xml:space="preserve">p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&lt; 0.01; ns, not significant (Student's t-test). Source data are provided as a Source Data file.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>Fig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 xml:space="preserve">ure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>4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FLI1 binds to TIE1 promoter and activates TIE1 transcription in NPC cells.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(A)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H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eatmap showing differential gene expression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between CNE1-OE cells and CNE1-VEC cells, 5-8F-shRNA cells and 5-8F-NC cells,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as is analyzed by RNA-seq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(B-C)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Correlation analysis between FLI1 and TIE1 in GEO database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(B)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and TCGA database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(C)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(D-E)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Western blot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(C)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and RT-qPCR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(D)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analysis of TIE1 protein and mRNA level in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overexpression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and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knockdown NPC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cells.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 (F)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Dual-luciferase reporter assays were used to evaluate TIE1 promoter activity in NPC cells transiently transfected with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control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vector (VEC), FLI1 overexpression plasmid (FLI1),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negative control s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i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RNA (NC)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and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FLI1-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specific siRNA (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s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i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FLI1).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(G-H)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CNE1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and SUNE1 cells were transiently transfected with vector (VEC) and Flag-FLI1 overexpression plasmid (Flag-FLI1).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ChIP-PCR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(G)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and ChIP-qPCR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(H)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assay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s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of TIE1 promoter region were conducted with F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lag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or control IgG antibody in CNE1 Flag-FLI1 and SUNE1 Flag-FLI1 cells.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 (I)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CNE1-VEC and CNE1-FLI1 cells were transiently transfected with siTIE1 or control siRNA. 5-8F-NC and 5-8F-shFLI1 cells were transiently transfected with TIE1 or empty vector plasmids. Cells were seeded at the density of 200, 400, 800 and 1000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cells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for 0Gy, 1Gy, 2Gy and 4Gy IR dose. Colony formation assays and survival fraction curve analysis were employed to assess cell survival at 10-14 days after exposure to indicated IR dose.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Data in E, F, H and I are presented as mean ± SD (n=3). 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 xml:space="preserve">p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&lt; 0.05, 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 xml:space="preserve">p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&lt; 0.01, ***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>p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 &lt; 0.001, ****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>p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 &lt; 0.0001; ns, not significant (Student's t-test). Source data are provided as a Source Data file.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Fi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 xml:space="preserve">gure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5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 xml:space="preserve"> FLI1 regulates TIE1-mediated PI3K/AKT signaling pathway in NPC cells.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KEGG pathway analysis of genes regulated by FLI1 in CNE1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and 5-8F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cells. PI3K/AKT pathway w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as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among the significant pathways.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(B)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Western blot analysis of TIE1, PI3K,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p-PI3K, AKT, p-AKT (Thr308) and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p-AKT (Ser473)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in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CNE1 cells with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overexpression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and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5-8F cells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with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knockdown.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(C)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CNE1-VEC and CNE1-FLI1 cells were transiently transfected with siTIE1 or control siRNA. 5-8F-NC and 5-8F-shFLI1 cells were transiently transfected with TIE1 or empty vector plasmids. Western blot assays were performed to assess the protein level of TIE1, PI3K,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p-PI3K, AKT, p-AKT (Thr308) and p-AKT (Ser473).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(D)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CNE1-VEC and CNE1-FLI1 cells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were treated with IR, a PI3K inhibitor BKM120 (3μM) and an AKT inhibitor MK2206 (3μM). After 48 h, cell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apoptosis was determined by Annexin V/PI double-staining assays. Data in D are presented as mean ± SD (n=3). 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 xml:space="preserve">p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&lt; 0.01; ns, not significant (Student's t-test). Source data are provided as a Source Data file.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Fig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 xml:space="preserve">ure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6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 xml:space="preserve"> FLI1 induces radioresistance in the NPC xenograft mouse model.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(A-B)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Assessment of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levels on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radiotherapy efficacy in NPC xenografts.  FLI1-overexpressing (FLI1) and empty vector (VEC)-transfected CNE1 cells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(A)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or FLI1-knockdown (shFLI1) and negative control (NC) 5-8F cells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(B)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were implanted into BALB/c nude mice, which were exposed to IR or not. Tumor volume and weight of the excised tumors were measured (left, excised tumors; middle, tumor volume; right, tumor weight).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(C-D)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Representative images of IHC staining and IHC scores for FLI1, TIE1 and cleaved caspase-3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in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the excised tumors.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Scale bars=100 μm.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 xml:space="preserve">p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&lt; 0.01, ****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>p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 &lt; 0.0001; ns, not significant (Student's t-test). Source data are provided as a Source Data file.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Fig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 xml:space="preserve">ure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7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 xml:space="preserve"> FLI1 expression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eastAsia="zh-Hans" w:bidi="ar"/>
        </w:rPr>
        <w:t>is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 xml:space="preserve"> positively correlated with TIE1 expression and high FLI1-TIE1 levels predict poor clinical outcomes in NPC patients.</w:t>
      </w:r>
    </w:p>
    <w:p>
      <w:pPr>
        <w:pStyle w:val="4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Representative images of IHC staining of TIE1 protein expression in 137 NPC tissues (a, no brown particle staining; b, light brown particles; c, moderate brown particles; d, dark brown particles). Scale bars=100 μm.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 (B-D)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Kaplan–Meier analysis of the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overall survival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(B)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, local recurrence free survival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(C)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and progress free survival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(D)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of 137 NPC patients based on TIE1 expression. The 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eastAsia="zh-Hans" w:bidi="ar"/>
        </w:rPr>
        <w:t>p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values were analyzed by log-rank test.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(E)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The correlation analysis between FLI1 expression and TIE1 expression. Pearson chi-square analysis was used to determine the correlation.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</w:t>
      </w:r>
      <w:bookmarkEnd w:id="0"/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Supplementary Fig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 xml:space="preserve">ure 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1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(A-B)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Western blot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(A)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and RT-qPCR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(B)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analysis of FLI1 expression in NPC cells.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(C-D)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Western blot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(C)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and RT-qPCR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>(D)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analysis of FLI1 expression in SUNE1 cells with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overexpression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and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6-10B cells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with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knockdown.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(E)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Cells were seeded at the density of 200, 400, 800 and 1000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cells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for 0Gy, 1Gy, 2Gy and 4Gy IR dose. Colony formation assays and survival fraction curve analysis were employed to assess cell survival at 10-14 days after exposure to indicated IR dose.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(F)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Annexin V/PI double-staining assays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were performed to evaluate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the effects of FLI1 on apoptosis 48h after cells treated with or without IR. Data in D, E and F are presented as mean ± SD (n=3). 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 xml:space="preserve">p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&lt; 0.05, 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 xml:space="preserve">p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&lt; 0.01, ***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>p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 &lt; 0.001, ****</w:t>
      </w:r>
      <w:r>
        <w:rPr>
          <w:rFonts w:hint="default" w:ascii="Times New Roman" w:hAnsi="Times New Roman" w:eastAsia="Songti SC" w:cs="Times New Roman"/>
          <w:bCs/>
          <w:i/>
          <w:iCs/>
          <w:sz w:val="24"/>
          <w:szCs w:val="24"/>
          <w:lang w:bidi="ar"/>
        </w:rPr>
        <w:t>p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 &lt; 0.0001; ns, not significant (Student's t-test). Source data are provided as a Source Data file.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Supplementary Fig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ure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 xml:space="preserve"> 2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 xml:space="preserve">(A-B)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Western blot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(A)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and RT-qPCR 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bidi="ar"/>
        </w:rPr>
        <w:t>(B)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analysis of TIE1 protein and mRNA level in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overexpression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and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knockdown NPC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cells.</w:t>
      </w:r>
      <w:r>
        <w:rPr>
          <w:rFonts w:hint="default" w:ascii="Times New Roman" w:hAnsi="Times New Roman" w:eastAsia="Songti SC" w:cs="Times New Roman"/>
          <w:b/>
          <w:sz w:val="24"/>
          <w:szCs w:val="24"/>
          <w:lang w:eastAsia="zh-Hans" w:bidi="ar"/>
        </w:rPr>
        <w:t xml:space="preserve"> (C)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Dual-luciferase reporter assays were used to evaluate TIE1 promoter activity in NPC cells transiently transfected with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control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vector (VEC), FLI1 overexpression plasmid (FLI1),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negative control s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i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RNA (NC)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and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FLI1-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specific siRNA (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s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i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FLI1).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</w:pP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>Supplementary Fig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val="en-US" w:eastAsia="zh-CN" w:bidi="ar"/>
        </w:rPr>
        <w:t>ure</w:t>
      </w:r>
      <w:r>
        <w:rPr>
          <w:rFonts w:hint="default" w:ascii="Times New Roman" w:hAnsi="Times New Roman" w:eastAsia="Songti SC" w:cs="Times New Roman"/>
          <w:b/>
          <w:bCs w:val="0"/>
          <w:sz w:val="24"/>
          <w:szCs w:val="24"/>
          <w:lang w:bidi="ar"/>
        </w:rPr>
        <w:t xml:space="preserve"> 3</w:t>
      </w:r>
    </w:p>
    <w:p>
      <w:pPr>
        <w:pStyle w:val="4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pacing w:line="480" w:lineRule="auto"/>
        <w:textAlignment w:val="auto"/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</w:pP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Western blot analysis of TIE1, PI3K,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p-PI3K, AKT, p-AKT (Thr308) and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>p-AKT (Ser473)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in SUNE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1 cells with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overexpression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 and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 xml:space="preserve"> 6-10B cells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eastAsia="zh-Hans" w:bidi="ar"/>
        </w:rPr>
        <w:t xml:space="preserve">with FLI1 </w:t>
      </w:r>
      <w:r>
        <w:rPr>
          <w:rFonts w:hint="default" w:ascii="Times New Roman" w:hAnsi="Times New Roman" w:eastAsia="Songti SC" w:cs="Times New Roman"/>
          <w:bCs/>
          <w:sz w:val="24"/>
          <w:szCs w:val="24"/>
          <w:lang w:bidi="ar"/>
        </w:rPr>
        <w:t>knockdown.</w:t>
      </w:r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imHei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Songti SC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auto"/>
    <w:pitch w:val="default"/>
    <w:sig w:usb0="00000000" w:usb1="00000000" w:usb2="00000000" w:usb3="00000000" w:csb0="003E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default" w:ascii="Times New Roman" w:hAnsi="Times New Roman" w:cs="Times New Roman"/>
      </w:rPr>
      <w:id w:val="-1637097223"/>
    </w:sdtPr>
    <w:sdtEndPr>
      <w:rPr>
        <w:rFonts w:hint="default" w:ascii="Times New Roman" w:hAnsi="Times New Roman" w:cs="Times New Roman"/>
      </w:rPr>
    </w:sdtEndPr>
    <w:sdtContent>
      <w:p>
        <w:pPr>
          <w:pStyle w:val="2"/>
          <w:jc w:val="center"/>
        </w:pPr>
        <w:r>
          <w:rPr>
            <w:rFonts w:hint="default" w:ascii="Times New Roman" w:hAnsi="Times New Roman" w:cs="Times New Roman"/>
          </w:rPr>
          <w:fldChar w:fldCharType="begin"/>
        </w:r>
        <w:r>
          <w:rPr>
            <w:rFonts w:hint="default" w:ascii="Times New Roman" w:hAnsi="Times New Roman" w:cs="Times New Roman"/>
          </w:rPr>
          <w:instrText xml:space="preserve">PAGE   \* MERGEFORMAT</w:instrText>
        </w:r>
        <w:r>
          <w:rPr>
            <w:rFonts w:hint="default" w:ascii="Times New Roman" w:hAnsi="Times New Roman" w:cs="Times New Roman"/>
          </w:rPr>
          <w:fldChar w:fldCharType="separate"/>
        </w:r>
        <w:r>
          <w:rPr>
            <w:rFonts w:hint="default" w:ascii="Times New Roman" w:hAnsi="Times New Roman" w:cs="Times New Roman"/>
            <w:lang w:val="zh-CN"/>
          </w:rPr>
          <w:t>1</w:t>
        </w:r>
        <w:r>
          <w:rPr>
            <w:rFonts w:hint="default" w:ascii="Times New Roman" w:hAnsi="Times New Roman" w:cs="Times New Roma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FF9B16"/>
    <w:multiLevelType w:val="singleLevel"/>
    <w:tmpl w:val="37FF9B16"/>
    <w:lvl w:ilvl="0" w:tentative="0">
      <w:start w:val="1"/>
      <w:numFmt w:val="upperLetter"/>
      <w:lvlText w:val="(%1)"/>
      <w:lvlJc w:val="left"/>
      <w:pPr>
        <w:tabs>
          <w:tab w:val="left" w:pos="312"/>
        </w:tabs>
      </w:pPr>
      <w:rPr>
        <w:rFonts w:hint="default"/>
        <w:b/>
        <w:bCs/>
      </w:rPr>
    </w:lvl>
  </w:abstractNum>
  <w:abstractNum w:abstractNumId="1">
    <w:nsid w:val="4FD7DE18"/>
    <w:multiLevelType w:val="singleLevel"/>
    <w:tmpl w:val="4FD7DE18"/>
    <w:lvl w:ilvl="0" w:tentative="0">
      <w:start w:val="1"/>
      <w:numFmt w:val="upperLetter"/>
      <w:suff w:val="space"/>
      <w:lvlText w:val="(%1)"/>
      <w:lvlJc w:val="left"/>
      <w:rPr>
        <w:rFonts w:hint="default"/>
        <w:b/>
        <w:bCs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YTlkMDIzZDNmOGU2MmYyZjc2NTNjYzc5NzljZm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wtp9s5sh522x7ept285de2caatdwdrvsx9s&quot;&gt;NLRP3&lt;record-ids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8&lt;/item&gt;&lt;item&gt;39&lt;/item&gt;&lt;item&gt;40&lt;/item&gt;&lt;item&gt;42&lt;/item&gt;&lt;item&gt;43&lt;/item&gt;&lt;item&gt;44&lt;/item&gt;&lt;item&gt;59&lt;/item&gt;&lt;item&gt;60&lt;/item&gt;&lt;item&gt;61&lt;/item&gt;&lt;item&gt;62&lt;/item&gt;&lt;/record-ids&gt;&lt;/item&gt;&lt;/Libraries&gt;"/>
  </w:docVars>
  <w:rsids>
    <w:rsidRoot w:val="007D52EB"/>
    <w:rsid w:val="00005C59"/>
    <w:rsid w:val="00005E47"/>
    <w:rsid w:val="00023B17"/>
    <w:rsid w:val="0002634A"/>
    <w:rsid w:val="000273B4"/>
    <w:rsid w:val="0003729B"/>
    <w:rsid w:val="000426F2"/>
    <w:rsid w:val="00047255"/>
    <w:rsid w:val="00066DC9"/>
    <w:rsid w:val="00072B51"/>
    <w:rsid w:val="000854C0"/>
    <w:rsid w:val="00085E68"/>
    <w:rsid w:val="00092B2A"/>
    <w:rsid w:val="00093B38"/>
    <w:rsid w:val="000A2152"/>
    <w:rsid w:val="000A474E"/>
    <w:rsid w:val="000C41C0"/>
    <w:rsid w:val="000F14AC"/>
    <w:rsid w:val="00100AC9"/>
    <w:rsid w:val="00103175"/>
    <w:rsid w:val="00110F70"/>
    <w:rsid w:val="00121477"/>
    <w:rsid w:val="00125EDF"/>
    <w:rsid w:val="001308CB"/>
    <w:rsid w:val="00132E2D"/>
    <w:rsid w:val="0013572D"/>
    <w:rsid w:val="00180BC0"/>
    <w:rsid w:val="001A7A7B"/>
    <w:rsid w:val="001C5478"/>
    <w:rsid w:val="001D1F47"/>
    <w:rsid w:val="001F4E3B"/>
    <w:rsid w:val="001F5AF0"/>
    <w:rsid w:val="0022349D"/>
    <w:rsid w:val="0024216B"/>
    <w:rsid w:val="002440E7"/>
    <w:rsid w:val="00244B27"/>
    <w:rsid w:val="00253C95"/>
    <w:rsid w:val="002810CC"/>
    <w:rsid w:val="00285F54"/>
    <w:rsid w:val="0029114C"/>
    <w:rsid w:val="0029168C"/>
    <w:rsid w:val="00296A38"/>
    <w:rsid w:val="002A5F26"/>
    <w:rsid w:val="002B2117"/>
    <w:rsid w:val="002D2709"/>
    <w:rsid w:val="002D5D40"/>
    <w:rsid w:val="002E6CCF"/>
    <w:rsid w:val="003041D2"/>
    <w:rsid w:val="00310C29"/>
    <w:rsid w:val="003273B5"/>
    <w:rsid w:val="00340E4C"/>
    <w:rsid w:val="003437A9"/>
    <w:rsid w:val="0034586F"/>
    <w:rsid w:val="00355B4B"/>
    <w:rsid w:val="0038109E"/>
    <w:rsid w:val="00390CCC"/>
    <w:rsid w:val="00393E1F"/>
    <w:rsid w:val="0039543C"/>
    <w:rsid w:val="00396911"/>
    <w:rsid w:val="00397A0F"/>
    <w:rsid w:val="003A142A"/>
    <w:rsid w:val="003B1065"/>
    <w:rsid w:val="003C7CF5"/>
    <w:rsid w:val="003D16AB"/>
    <w:rsid w:val="003D3C96"/>
    <w:rsid w:val="003E084A"/>
    <w:rsid w:val="003E6536"/>
    <w:rsid w:val="003E6FE8"/>
    <w:rsid w:val="003F3257"/>
    <w:rsid w:val="003F604A"/>
    <w:rsid w:val="004056D5"/>
    <w:rsid w:val="004344C1"/>
    <w:rsid w:val="0043643B"/>
    <w:rsid w:val="00477741"/>
    <w:rsid w:val="00477F9D"/>
    <w:rsid w:val="00492400"/>
    <w:rsid w:val="004936A2"/>
    <w:rsid w:val="004B64BC"/>
    <w:rsid w:val="004C48C0"/>
    <w:rsid w:val="004C52F7"/>
    <w:rsid w:val="004C7442"/>
    <w:rsid w:val="004D211D"/>
    <w:rsid w:val="004D4325"/>
    <w:rsid w:val="004D47A7"/>
    <w:rsid w:val="004E563F"/>
    <w:rsid w:val="004E6CEA"/>
    <w:rsid w:val="004F12EB"/>
    <w:rsid w:val="0050049A"/>
    <w:rsid w:val="005156C9"/>
    <w:rsid w:val="00526684"/>
    <w:rsid w:val="0053108F"/>
    <w:rsid w:val="00541556"/>
    <w:rsid w:val="005550A6"/>
    <w:rsid w:val="00561ECF"/>
    <w:rsid w:val="00561F86"/>
    <w:rsid w:val="00565218"/>
    <w:rsid w:val="005765FB"/>
    <w:rsid w:val="00577CD5"/>
    <w:rsid w:val="00593B01"/>
    <w:rsid w:val="005958D8"/>
    <w:rsid w:val="005B6A09"/>
    <w:rsid w:val="005F3921"/>
    <w:rsid w:val="006063A1"/>
    <w:rsid w:val="00616386"/>
    <w:rsid w:val="00621FA7"/>
    <w:rsid w:val="00624699"/>
    <w:rsid w:val="006263D6"/>
    <w:rsid w:val="00633CA2"/>
    <w:rsid w:val="00651969"/>
    <w:rsid w:val="00655516"/>
    <w:rsid w:val="006561FE"/>
    <w:rsid w:val="00664E9E"/>
    <w:rsid w:val="00671701"/>
    <w:rsid w:val="00671B01"/>
    <w:rsid w:val="00675DAF"/>
    <w:rsid w:val="00684101"/>
    <w:rsid w:val="0069090F"/>
    <w:rsid w:val="00693AA2"/>
    <w:rsid w:val="006967F1"/>
    <w:rsid w:val="006A3016"/>
    <w:rsid w:val="006A7B24"/>
    <w:rsid w:val="006D144B"/>
    <w:rsid w:val="006E0877"/>
    <w:rsid w:val="006F5244"/>
    <w:rsid w:val="00700936"/>
    <w:rsid w:val="00716B06"/>
    <w:rsid w:val="00716E8C"/>
    <w:rsid w:val="00732E98"/>
    <w:rsid w:val="00733957"/>
    <w:rsid w:val="00746736"/>
    <w:rsid w:val="00760162"/>
    <w:rsid w:val="00764264"/>
    <w:rsid w:val="0076500D"/>
    <w:rsid w:val="00766368"/>
    <w:rsid w:val="00777488"/>
    <w:rsid w:val="00792B3E"/>
    <w:rsid w:val="00796503"/>
    <w:rsid w:val="007A449D"/>
    <w:rsid w:val="007C2DFA"/>
    <w:rsid w:val="007D437B"/>
    <w:rsid w:val="007D52EB"/>
    <w:rsid w:val="007E6133"/>
    <w:rsid w:val="008021BD"/>
    <w:rsid w:val="008148AE"/>
    <w:rsid w:val="00815ECD"/>
    <w:rsid w:val="00820627"/>
    <w:rsid w:val="00851E9D"/>
    <w:rsid w:val="00862EC6"/>
    <w:rsid w:val="0089241E"/>
    <w:rsid w:val="00892C13"/>
    <w:rsid w:val="008A38AD"/>
    <w:rsid w:val="008A447D"/>
    <w:rsid w:val="008D18D3"/>
    <w:rsid w:val="008F5C15"/>
    <w:rsid w:val="008F6E89"/>
    <w:rsid w:val="00913380"/>
    <w:rsid w:val="00924960"/>
    <w:rsid w:val="00943F6F"/>
    <w:rsid w:val="00955CCC"/>
    <w:rsid w:val="00970F69"/>
    <w:rsid w:val="00972EDF"/>
    <w:rsid w:val="00984A88"/>
    <w:rsid w:val="00991401"/>
    <w:rsid w:val="00994F36"/>
    <w:rsid w:val="00995EA1"/>
    <w:rsid w:val="009A2761"/>
    <w:rsid w:val="009A28E8"/>
    <w:rsid w:val="009B2798"/>
    <w:rsid w:val="009C3283"/>
    <w:rsid w:val="009C4E1E"/>
    <w:rsid w:val="009D15DD"/>
    <w:rsid w:val="009D1B6E"/>
    <w:rsid w:val="009D5ACA"/>
    <w:rsid w:val="00A162E1"/>
    <w:rsid w:val="00A20662"/>
    <w:rsid w:val="00A216F9"/>
    <w:rsid w:val="00A24826"/>
    <w:rsid w:val="00A25D0D"/>
    <w:rsid w:val="00A31DD3"/>
    <w:rsid w:val="00A33B5D"/>
    <w:rsid w:val="00A36204"/>
    <w:rsid w:val="00A60468"/>
    <w:rsid w:val="00AA3A02"/>
    <w:rsid w:val="00AB440E"/>
    <w:rsid w:val="00AE3E5D"/>
    <w:rsid w:val="00AF7EEA"/>
    <w:rsid w:val="00B35764"/>
    <w:rsid w:val="00B43E49"/>
    <w:rsid w:val="00B52A76"/>
    <w:rsid w:val="00B52BC8"/>
    <w:rsid w:val="00B566B2"/>
    <w:rsid w:val="00B75CB9"/>
    <w:rsid w:val="00B75CBC"/>
    <w:rsid w:val="00B813E1"/>
    <w:rsid w:val="00B90FD7"/>
    <w:rsid w:val="00B914D6"/>
    <w:rsid w:val="00B96FE8"/>
    <w:rsid w:val="00BB2099"/>
    <w:rsid w:val="00BC640C"/>
    <w:rsid w:val="00BE2495"/>
    <w:rsid w:val="00BE38A8"/>
    <w:rsid w:val="00BF4212"/>
    <w:rsid w:val="00C14FD7"/>
    <w:rsid w:val="00C15E62"/>
    <w:rsid w:val="00C25049"/>
    <w:rsid w:val="00C27B34"/>
    <w:rsid w:val="00C41E62"/>
    <w:rsid w:val="00C44CBE"/>
    <w:rsid w:val="00C44FAA"/>
    <w:rsid w:val="00C60A7D"/>
    <w:rsid w:val="00C62DF2"/>
    <w:rsid w:val="00C87F0C"/>
    <w:rsid w:val="00C90CFF"/>
    <w:rsid w:val="00C92776"/>
    <w:rsid w:val="00C9478F"/>
    <w:rsid w:val="00C961AB"/>
    <w:rsid w:val="00C979F6"/>
    <w:rsid w:val="00CA3425"/>
    <w:rsid w:val="00CB44A5"/>
    <w:rsid w:val="00CB44EF"/>
    <w:rsid w:val="00CB59DF"/>
    <w:rsid w:val="00CC2AC1"/>
    <w:rsid w:val="00CD0F65"/>
    <w:rsid w:val="00CE19A5"/>
    <w:rsid w:val="00CF03BF"/>
    <w:rsid w:val="00CF5104"/>
    <w:rsid w:val="00D43CC7"/>
    <w:rsid w:val="00D7578F"/>
    <w:rsid w:val="00D920B7"/>
    <w:rsid w:val="00D92AD9"/>
    <w:rsid w:val="00D93D76"/>
    <w:rsid w:val="00D93F84"/>
    <w:rsid w:val="00DA3679"/>
    <w:rsid w:val="00DA6613"/>
    <w:rsid w:val="00DB477A"/>
    <w:rsid w:val="00DD11A8"/>
    <w:rsid w:val="00DD2E74"/>
    <w:rsid w:val="00DD64B5"/>
    <w:rsid w:val="00DE4483"/>
    <w:rsid w:val="00E07FEA"/>
    <w:rsid w:val="00E36213"/>
    <w:rsid w:val="00E42AAF"/>
    <w:rsid w:val="00E458EE"/>
    <w:rsid w:val="00E45925"/>
    <w:rsid w:val="00E51DAE"/>
    <w:rsid w:val="00E55132"/>
    <w:rsid w:val="00E57EF2"/>
    <w:rsid w:val="00E70458"/>
    <w:rsid w:val="00E75DF2"/>
    <w:rsid w:val="00E81912"/>
    <w:rsid w:val="00E83275"/>
    <w:rsid w:val="00E840DB"/>
    <w:rsid w:val="00E85A89"/>
    <w:rsid w:val="00E930A6"/>
    <w:rsid w:val="00EA2697"/>
    <w:rsid w:val="00EA7432"/>
    <w:rsid w:val="00EB7FEF"/>
    <w:rsid w:val="00EC1CC2"/>
    <w:rsid w:val="00EF0ABF"/>
    <w:rsid w:val="00EF16EC"/>
    <w:rsid w:val="00EF7644"/>
    <w:rsid w:val="00F137AA"/>
    <w:rsid w:val="00F204BD"/>
    <w:rsid w:val="00F31F1C"/>
    <w:rsid w:val="00F529E7"/>
    <w:rsid w:val="00F72262"/>
    <w:rsid w:val="00F81B9A"/>
    <w:rsid w:val="00F82E15"/>
    <w:rsid w:val="00F906BC"/>
    <w:rsid w:val="00F91D07"/>
    <w:rsid w:val="00F96FF6"/>
    <w:rsid w:val="00FA3168"/>
    <w:rsid w:val="00FF28A2"/>
    <w:rsid w:val="0491191E"/>
    <w:rsid w:val="058B21A1"/>
    <w:rsid w:val="073807E0"/>
    <w:rsid w:val="07715DF2"/>
    <w:rsid w:val="0B2243CB"/>
    <w:rsid w:val="0B8554A1"/>
    <w:rsid w:val="0C686F14"/>
    <w:rsid w:val="0D2F22AE"/>
    <w:rsid w:val="0DFEE49D"/>
    <w:rsid w:val="0E3A2302"/>
    <w:rsid w:val="13961C8C"/>
    <w:rsid w:val="13966FD1"/>
    <w:rsid w:val="177A0F26"/>
    <w:rsid w:val="19F461BB"/>
    <w:rsid w:val="1A106C52"/>
    <w:rsid w:val="1CC5105D"/>
    <w:rsid w:val="1DFB27AE"/>
    <w:rsid w:val="1F823354"/>
    <w:rsid w:val="1FEB01AD"/>
    <w:rsid w:val="209D2C61"/>
    <w:rsid w:val="23F01AE7"/>
    <w:rsid w:val="24E05340"/>
    <w:rsid w:val="2598700C"/>
    <w:rsid w:val="25AA644A"/>
    <w:rsid w:val="260959B6"/>
    <w:rsid w:val="26E22E76"/>
    <w:rsid w:val="290C7E6D"/>
    <w:rsid w:val="291C6F06"/>
    <w:rsid w:val="2D656D93"/>
    <w:rsid w:val="2EFC1E44"/>
    <w:rsid w:val="30517E2B"/>
    <w:rsid w:val="310B0293"/>
    <w:rsid w:val="31E01034"/>
    <w:rsid w:val="3232308C"/>
    <w:rsid w:val="326C25F9"/>
    <w:rsid w:val="32870516"/>
    <w:rsid w:val="374D44D7"/>
    <w:rsid w:val="381A294C"/>
    <w:rsid w:val="39813F27"/>
    <w:rsid w:val="3C013FD8"/>
    <w:rsid w:val="3D5D2063"/>
    <w:rsid w:val="3DBF63F2"/>
    <w:rsid w:val="3E5DE560"/>
    <w:rsid w:val="3E9B7C2F"/>
    <w:rsid w:val="3FA6A3BA"/>
    <w:rsid w:val="3FDD60F0"/>
    <w:rsid w:val="410B5E72"/>
    <w:rsid w:val="41691C24"/>
    <w:rsid w:val="423D43B6"/>
    <w:rsid w:val="42F238D0"/>
    <w:rsid w:val="43881212"/>
    <w:rsid w:val="441A1341"/>
    <w:rsid w:val="45027353"/>
    <w:rsid w:val="46510F6A"/>
    <w:rsid w:val="46877157"/>
    <w:rsid w:val="47671549"/>
    <w:rsid w:val="47961EA1"/>
    <w:rsid w:val="49810881"/>
    <w:rsid w:val="4AA5428C"/>
    <w:rsid w:val="4CE33DC0"/>
    <w:rsid w:val="50E13414"/>
    <w:rsid w:val="522A26A1"/>
    <w:rsid w:val="53EFD660"/>
    <w:rsid w:val="547722E6"/>
    <w:rsid w:val="5538008E"/>
    <w:rsid w:val="55914448"/>
    <w:rsid w:val="56767A01"/>
    <w:rsid w:val="58207961"/>
    <w:rsid w:val="596D1433"/>
    <w:rsid w:val="5A0F7863"/>
    <w:rsid w:val="5A5848A7"/>
    <w:rsid w:val="5B4E6197"/>
    <w:rsid w:val="5BD3115C"/>
    <w:rsid w:val="5D614349"/>
    <w:rsid w:val="5DFF1C9C"/>
    <w:rsid w:val="5F245A78"/>
    <w:rsid w:val="5F727E13"/>
    <w:rsid w:val="616112A4"/>
    <w:rsid w:val="61A37E1C"/>
    <w:rsid w:val="633C2234"/>
    <w:rsid w:val="63B7171E"/>
    <w:rsid w:val="63E37266"/>
    <w:rsid w:val="646F570C"/>
    <w:rsid w:val="67DFE64E"/>
    <w:rsid w:val="68A436A0"/>
    <w:rsid w:val="696563DA"/>
    <w:rsid w:val="6A18341F"/>
    <w:rsid w:val="6C69430F"/>
    <w:rsid w:val="6CC438C3"/>
    <w:rsid w:val="6D363B43"/>
    <w:rsid w:val="6D3D59D4"/>
    <w:rsid w:val="6E6B2F8C"/>
    <w:rsid w:val="6F610976"/>
    <w:rsid w:val="6F7793CF"/>
    <w:rsid w:val="6F7FD378"/>
    <w:rsid w:val="6FFF2193"/>
    <w:rsid w:val="70FF2322"/>
    <w:rsid w:val="74095E88"/>
    <w:rsid w:val="75D37745"/>
    <w:rsid w:val="764C07D0"/>
    <w:rsid w:val="791D7FF8"/>
    <w:rsid w:val="79571CD7"/>
    <w:rsid w:val="79696E34"/>
    <w:rsid w:val="7A779FC5"/>
    <w:rsid w:val="7A9A2ECD"/>
    <w:rsid w:val="7B773420"/>
    <w:rsid w:val="7CBFFB50"/>
    <w:rsid w:val="7D4805DD"/>
    <w:rsid w:val="7EAD12A3"/>
    <w:rsid w:val="7EE04F5D"/>
    <w:rsid w:val="7EFD74EF"/>
    <w:rsid w:val="7EFFB233"/>
    <w:rsid w:val="7FAD45DC"/>
    <w:rsid w:val="7FBFCD29"/>
    <w:rsid w:val="7FFD6B24"/>
    <w:rsid w:val="7FFEB0E8"/>
    <w:rsid w:val="A9DA061E"/>
    <w:rsid w:val="BFBBB548"/>
    <w:rsid w:val="C6C6B724"/>
    <w:rsid w:val="D3DFEA00"/>
    <w:rsid w:val="DD659013"/>
    <w:rsid w:val="DFA6018D"/>
    <w:rsid w:val="E75AB466"/>
    <w:rsid w:val="EFBE9516"/>
    <w:rsid w:val="F11DCBEF"/>
    <w:rsid w:val="F7EF7543"/>
    <w:rsid w:val="FBFFD8B6"/>
    <w:rsid w:val="FF7FCFE8"/>
    <w:rsid w:val="FF9B0DEE"/>
    <w:rsid w:val="FF9CA373"/>
    <w:rsid w:val="FFB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rFonts w:ascii="Calibri" w:hAnsi="Calibri" w:eastAsia="宋体" w:cs="宋体"/>
      <w:sz w:val="24"/>
    </w:rPr>
  </w:style>
  <w:style w:type="character" w:styleId="7">
    <w:name w:val="line number"/>
    <w:basedOn w:val="6"/>
    <w:semiHidden/>
    <w:unhideWhenUsed/>
    <w:qFormat/>
    <w:uiPriority w:val="99"/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EndNote Bibliography Title"/>
    <w:basedOn w:val="1"/>
    <w:link w:val="10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10">
    <w:name w:val="EndNote Bibliography Title 字符"/>
    <w:basedOn w:val="6"/>
    <w:link w:val="9"/>
    <w:qFormat/>
    <w:uiPriority w:val="0"/>
    <w:rPr>
      <w:rFonts w:ascii="等线" w:hAnsi="等线" w:eastAsia="等线"/>
      <w:kern w:val="2"/>
      <w:szCs w:val="22"/>
    </w:rPr>
  </w:style>
  <w:style w:type="paragraph" w:customStyle="1" w:styleId="11">
    <w:name w:val="EndNote Bibliography"/>
    <w:basedOn w:val="1"/>
    <w:link w:val="12"/>
    <w:qFormat/>
    <w:uiPriority w:val="0"/>
    <w:rPr>
      <w:rFonts w:ascii="等线" w:hAnsi="等线" w:eastAsia="等线"/>
      <w:sz w:val="20"/>
    </w:rPr>
  </w:style>
  <w:style w:type="character" w:customStyle="1" w:styleId="12">
    <w:name w:val="EndNote Bibliography 字符"/>
    <w:basedOn w:val="6"/>
    <w:link w:val="11"/>
    <w:qFormat/>
    <w:uiPriority w:val="0"/>
    <w:rPr>
      <w:rFonts w:ascii="等线" w:hAnsi="等线" w:eastAsia="等线"/>
      <w:kern w:val="2"/>
      <w:szCs w:val="22"/>
    </w:rPr>
  </w:style>
  <w:style w:type="paragraph" w:customStyle="1" w:styleId="13">
    <w:name w:val="p16"/>
    <w:basedOn w:val="1"/>
    <w:qFormat/>
    <w:uiPriority w:val="0"/>
    <w:pPr>
      <w:widowControl/>
      <w:jc w:val="left"/>
    </w:pPr>
    <w:rPr>
      <w:rFonts w:ascii="Times New Roman" w:hAnsi="Times New Roman" w:cs="Times New Roman"/>
    </w:rPr>
  </w:style>
  <w:style w:type="character" w:customStyle="1" w:styleId="14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36</Pages>
  <Words>7664</Words>
  <Characters>44171</Characters>
  <Lines>669</Lines>
  <Paragraphs>188</Paragraphs>
  <TotalTime>0</TotalTime>
  <ScaleCrop>false</ScaleCrop>
  <LinksUpToDate>false</LinksUpToDate>
  <CharactersWithSpaces>51893</CharactersWithSpaces>
  <Application>WPS Office_4.4.1.7360_F1E327BC-269C-435d-A152-05C5408002CA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2021-05-04T16:37:00Z</dcterms:created>
  <dc:creator>wuguo</dc:creator>
  <cp:lastModifiedBy>Author</cp:lastModifiedBy>
  <dcterms:modified xsi:type="dcterms:W3CDTF">2022-11-08T20:17:46Z</dcterms:modified>
  <cp:revision>273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2052-4.4.1.7360</vt:lpwstr>
  </property>
  <property fmtid="{D5CDD505-2E9C-101B-9397-08002B2CF9AE}" pid="3" name="ICV">
    <vt:lpwstr>F593E7FB4A2D43EF9197BD7E616FA63A</vt:lpwstr>
  </property>
</Properties>
</file>