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480" w:lineRule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3752850</wp:posOffset>
            </wp:positionH>
            <wp:positionV relativeFrom="page">
              <wp:posOffset>1162050</wp:posOffset>
            </wp:positionV>
            <wp:extent cx="2941320" cy="2468880"/>
            <wp:effectExtent l="0" t="0" r="11430" b="7620"/>
            <wp:wrapTopAndBottom/>
            <wp:docPr id="2" name="图片 2" descr="pan.ge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pan.gene"/>
                    <pic:cNvPicPr>
                      <a:picLocks noChangeAspect="1"/>
                    </pic:cNvPicPr>
                  </pic:nvPicPr>
                  <pic:blipFill>
                    <a:blip r:embed="rId4"/>
                    <a:srcRect t="2016"/>
                    <a:stretch>
                      <a:fillRect/>
                    </a:stretch>
                  </pic:blipFill>
                  <pic:spPr>
                    <a:xfrm>
                      <a:off x="0" y="0"/>
                      <a:ext cx="2941320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736600</wp:posOffset>
            </wp:positionH>
            <wp:positionV relativeFrom="page">
              <wp:posOffset>1136650</wp:posOffset>
            </wp:positionV>
            <wp:extent cx="2941320" cy="2519680"/>
            <wp:effectExtent l="0" t="0" r="11430" b="13970"/>
            <wp:wrapTopAndBottom/>
            <wp:docPr id="1" name="图片 1" descr="core.ge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ore.gen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41320" cy="2519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</w:rPr>
        <w:t xml:space="preserve">Supplementary Fig.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</w:rPr>
        <w:t xml:space="preserve">: 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</w:rPr>
        <w:t xml:space="preserve">ore-pan genetic analysis of rat fecal samples on days 28.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The curve indicates that the sequencing depth of the sample on day 28 has qualified the analysis requirements.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BA13A6"/>
    <w:rsid w:val="59BA1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2020-04-08T01:52:00Z</dcterms:created>
  <dc:creator>姑苏城外</dc:creator>
  <cp:lastModifiedBy>姑苏城外</cp:lastModifiedBy>
  <dcterms:modified xsi:type="dcterms:W3CDTF">2020-04-08T01:53:51Z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