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E1398" w14:textId="77777777" w:rsidR="00730956" w:rsidRDefault="00730956" w:rsidP="00730956">
      <w:pPr>
        <w:pStyle w:val="paragraph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97264C5" w14:textId="1B133CB6" w:rsidR="00730956" w:rsidRDefault="00730956" w:rsidP="00730956">
      <w:pPr>
        <w:pStyle w:val="paragraph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00FAF05" wp14:editId="70878C03">
            <wp:extent cx="4279900" cy="3441700"/>
            <wp:effectExtent l="0" t="0" r="6350" b="6350"/>
            <wp:docPr id="2" name="Picture 2" descr="Supplementary tabl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Supplementary tabl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9" t="7347" r="9682" b="4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09608" w14:textId="77777777" w:rsidR="00730956" w:rsidRDefault="00730956" w:rsidP="00730956">
      <w:pPr>
        <w:snapToGrid w:val="0"/>
        <w:spacing w:line="360" w:lineRule="auto"/>
        <w:jc w:val="left"/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  <w:t>Supplementary table1.</w:t>
      </w:r>
    </w:p>
    <w:p w14:paraId="49D8A126" w14:textId="77777777" w:rsidR="00730956" w:rsidRDefault="00730956" w:rsidP="00730956">
      <w:pPr>
        <w:snapToGrid w:val="0"/>
        <w:spacing w:line="360" w:lineRule="auto"/>
        <w:jc w:val="left"/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  <w:t xml:space="preserve">Logistic regression analysis of the relationship between clinicopathological characteristics and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  <w:t>theAURKs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  <w:t xml:space="preserve"> expression levels in LUAD.</w:t>
      </w:r>
    </w:p>
    <w:p w14:paraId="16AB0C65" w14:textId="77777777" w:rsidR="00730956" w:rsidRDefault="00730956" w:rsidP="00730956">
      <w:pPr>
        <w:pStyle w:val="paragraph"/>
        <w:spacing w:before="0" w:beforeAutospacing="0" w:after="0" w:afterAutospacing="0" w:line="360" w:lineRule="auto"/>
        <w:rPr>
          <w:rFonts w:ascii="Times New Roman" w:hAnsi="Times New Roman" w:cs="Times New Roman"/>
        </w:rPr>
      </w:pPr>
    </w:p>
    <w:p w14:paraId="3B072D26" w14:textId="65887503" w:rsidR="00730956" w:rsidRDefault="00730956" w:rsidP="00730956">
      <w:pPr>
        <w:pStyle w:val="paragraph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BA30C7" wp14:editId="3D684E16">
            <wp:extent cx="4603750" cy="3638550"/>
            <wp:effectExtent l="0" t="0" r="6350" b="0"/>
            <wp:docPr id="1" name="Picture 1" descr="Supplementary tabl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Supplementary table 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4" t="8673" r="10498" b="4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BD5F6" w14:textId="77777777" w:rsidR="00730956" w:rsidRDefault="00730956" w:rsidP="00730956">
      <w:pPr>
        <w:snapToGrid w:val="0"/>
        <w:spacing w:line="360" w:lineRule="auto"/>
        <w:jc w:val="left"/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  <w:t xml:space="preserve">Supplementary table2. </w:t>
      </w:r>
    </w:p>
    <w:p w14:paraId="672BF8F6" w14:textId="77777777" w:rsidR="00730956" w:rsidRDefault="00730956" w:rsidP="00730956">
      <w:pPr>
        <w:snapToGrid w:val="0"/>
        <w:spacing w:line="360" w:lineRule="auto"/>
        <w:jc w:val="left"/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  <w:t xml:space="preserve">Logistic regression analysis of the relationship between clinicopathological characteristics and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  <w:t>theAURKs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zCs w:val="21"/>
          <w:shd w:val="clear" w:color="auto" w:fill="FFFFFF"/>
        </w:rPr>
        <w:t xml:space="preserve"> expression levels in LUSC patients.</w:t>
      </w:r>
    </w:p>
    <w:p w14:paraId="1CFAD0DB" w14:textId="77777777" w:rsidR="00730956" w:rsidRDefault="00730956" w:rsidP="00730956">
      <w:pPr>
        <w:pStyle w:val="paragraph"/>
        <w:spacing w:before="0" w:beforeAutospacing="0" w:after="0" w:afterAutospacing="0" w:line="360" w:lineRule="auto"/>
        <w:rPr>
          <w:rFonts w:ascii="Times New Roman" w:hAnsi="Times New Roman" w:cs="Times New Roman"/>
        </w:rPr>
      </w:pPr>
    </w:p>
    <w:p w14:paraId="668E718E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56"/>
    <w:rsid w:val="0073095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ED931"/>
  <w15:chartTrackingRefBased/>
  <w15:docId w15:val="{844BB4C1-EBA2-47B5-80E4-621AFB41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95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3095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8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</Words>
  <Characters>280</Characters>
  <Application>Microsoft Office Word</Application>
  <DocSecurity>0</DocSecurity>
  <Lines>2</Lines>
  <Paragraphs>1</Paragraphs>
  <ScaleCrop>false</ScaleCrop>
  <Company>Springer Nature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2022-11-18T12:19:00Z</dcterms:created>
  <dcterms:modified xsi:type="dcterms:W3CDTF">2022-11-18T12:22:00Z</dcterms:modified>
</cp:coreProperties>
</file>