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3"/>
        <w:bidi w:val="0"/>
        <w:ind w:left="0" w:leftChars="0" w:firstLine="0" w:firstLineChars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Effect of lignin and released acid on the gelation and aerogel fabrication of whole biomass in the lithium bromide molten salt hydrate system</w:t>
      </w:r>
    </w:p>
    <w:p>
      <w:pPr>
        <w:pStyle w:val="14"/>
        <w:bidi w:val="0"/>
        <w:ind w:left="0" w:leftChars="0" w:firstLine="0" w:firstLineChars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US" w:eastAsia="zh-CN"/>
        </w:rPr>
        <w:t>Xu Guo</w:t>
      </w:r>
      <w:r>
        <w:rPr>
          <w:rFonts w:hint="default" w:ascii="Times New Roman" w:hAnsi="Times New Roman" w:cs="Times New Roman"/>
          <w:vertAlign w:val="superscript"/>
        </w:rPr>
        <w:t>a</w:t>
      </w:r>
      <w:r>
        <w:rPr>
          <w:rFonts w:hint="default" w:ascii="Times New Roman" w:hAnsi="Times New Roman" w:cs="Times New Roman"/>
        </w:rPr>
        <w:t xml:space="preserve">, </w:t>
      </w:r>
      <w:r>
        <w:rPr>
          <w:rFonts w:hint="default" w:ascii="Times New Roman" w:hAnsi="Times New Roman" w:cs="Times New Roman"/>
          <w:lang w:val="en-US" w:eastAsia="zh-CN"/>
        </w:rPr>
        <w:t>Xinyu</w:t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default" w:ascii="Times New Roman" w:hAnsi="Times New Roman" w:cs="Times New Roman"/>
          <w:lang w:val="en-US" w:eastAsia="zh-CN"/>
        </w:rPr>
        <w:t>Cao</w:t>
      </w:r>
      <w:r>
        <w:rPr>
          <w:rFonts w:hint="default" w:ascii="Times New Roman" w:hAnsi="Times New Roman" w:eastAsia="Times New Roman" w:cs="Times New Roman"/>
          <w:vertAlign w:val="superscript"/>
          <w:lang w:val="en-US" w:eastAsia="zh-CN"/>
        </w:rPr>
        <w:t>a</w:t>
      </w:r>
      <w:r>
        <w:rPr>
          <w:rFonts w:hint="default" w:ascii="Times New Roman" w:hAnsi="Times New Roman" w:cs="Times New Roman"/>
        </w:rPr>
        <w:t>, Tianyuan Xiao</w:t>
      </w:r>
      <w:r>
        <w:rPr>
          <w:rFonts w:hint="default" w:ascii="Times New Roman" w:hAnsi="Times New Roman" w:eastAsia="Times New Roman" w:cs="Times New Roman"/>
          <w:vertAlign w:val="superscript"/>
        </w:rPr>
        <w:t>a,</w:t>
      </w:r>
      <w:r>
        <w:rPr>
          <w:rFonts w:hint="default" w:ascii="Times New Roman" w:hAnsi="Times New Roman" w:eastAsia="Times New Roman" w:cs="Times New Roman"/>
          <w:vertAlign w:val="superscript"/>
          <w:lang w:val="en-US" w:eastAsia="zh-CN"/>
        </w:rPr>
        <w:t>c</w:t>
      </w:r>
      <w:r>
        <w:rPr>
          <w:rFonts w:hint="default" w:ascii="Times New Roman" w:hAnsi="Times New Roman" w:cs="Times New Roman"/>
        </w:rPr>
        <w:t xml:space="preserve">, </w:t>
      </w:r>
      <w:r>
        <w:rPr>
          <w:rFonts w:hint="default" w:ascii="Times New Roman" w:hAnsi="Times New Roman" w:cs="Times New Roman"/>
          <w:lang w:val="en-US" w:eastAsia="zh-CN"/>
        </w:rPr>
        <w:t>Minjie Hou</w:t>
      </w:r>
      <w:r>
        <w:rPr>
          <w:rFonts w:hint="default" w:ascii="Times New Roman" w:hAnsi="Times New Roman" w:eastAsia="Times New Roman" w:cs="Times New Roman"/>
          <w:vertAlign w:val="superscript"/>
        </w:rPr>
        <w:t>a</w:t>
      </w:r>
      <w:r>
        <w:rPr>
          <w:rFonts w:hint="default" w:ascii="Times New Roman" w:hAnsi="Times New Roman" w:cs="Times New Roman"/>
        </w:rPr>
        <w:t xml:space="preserve">, </w:t>
      </w:r>
      <w:r>
        <w:rPr>
          <w:rFonts w:hint="default" w:ascii="Times New Roman" w:hAnsi="Times New Roman" w:cs="Times New Roman"/>
          <w:lang w:val="en-US" w:eastAsia="zh-CN"/>
        </w:rPr>
        <w:t>Changgeng Li</w:t>
      </w:r>
      <w:r>
        <w:rPr>
          <w:rFonts w:hint="default" w:ascii="Times New Roman" w:hAnsi="Times New Roman" w:eastAsia="Times New Roman" w:cs="Times New Roman"/>
          <w:vertAlign w:val="superscript"/>
        </w:rPr>
        <w:t>a</w:t>
      </w:r>
      <w:r>
        <w:rPr>
          <w:rFonts w:hint="default" w:ascii="Times New Roman" w:hAnsi="Times New Roman" w:cs="Times New Roman"/>
        </w:rPr>
        <w:t>, Xueru Sheng</w:t>
      </w:r>
      <w:r>
        <w:rPr>
          <w:rFonts w:hint="default" w:ascii="Times New Roman" w:hAnsi="Times New Roman" w:eastAsia="Times New Roman" w:cs="Times New Roman"/>
          <w:vertAlign w:val="superscript"/>
        </w:rPr>
        <w:t>a</w:t>
      </w:r>
      <w:r>
        <w:rPr>
          <w:rFonts w:hint="default" w:ascii="Times New Roman" w:hAnsi="Times New Roman" w:cs="Times New Roman"/>
        </w:rPr>
        <w:t>,</w:t>
      </w:r>
      <w:r>
        <w:rPr>
          <w:rFonts w:hint="default" w:ascii="Times New Roman" w:hAnsi="Times New Roman" w:cs="Times New Roman"/>
          <w:lang w:val="en-US" w:eastAsia="zh-CN"/>
        </w:rPr>
        <w:t xml:space="preserve"> Yanzhu Guo</w:t>
      </w:r>
      <w:r>
        <w:rPr>
          <w:rFonts w:hint="default" w:ascii="Times New Roman" w:hAnsi="Times New Roman" w:eastAsia="Times New Roman" w:cs="Times New Roman"/>
          <w:vertAlign w:val="superscript"/>
        </w:rPr>
        <w:t>a</w:t>
      </w:r>
      <w:r>
        <w:rPr>
          <w:rFonts w:hint="default" w:ascii="Times New Roman" w:hAnsi="Times New Roman" w:cs="Times New Roman"/>
          <w:lang w:val="en-US" w:eastAsia="zh-CN"/>
        </w:rPr>
        <w:t>, Yanning Sun</w:t>
      </w:r>
      <w:r>
        <w:rPr>
          <w:rFonts w:hint="default" w:ascii="Times New Roman" w:hAnsi="Times New Roman" w:eastAsia="Times New Roman" w:cs="Times New Roman"/>
          <w:vertAlign w:val="superscript"/>
        </w:rPr>
        <w:t>a</w:t>
      </w:r>
      <w:r>
        <w:rPr>
          <w:rFonts w:hint="default" w:ascii="Times New Roman" w:hAnsi="Times New Roman" w:cs="Times New Roman"/>
          <w:lang w:val="en-US" w:eastAsia="zh-CN"/>
        </w:rPr>
        <w:t>,</w:t>
      </w:r>
      <w:r>
        <w:rPr>
          <w:rFonts w:hint="default" w:ascii="Times New Roman" w:hAnsi="Times New Roman" w:cs="Times New Roman"/>
        </w:rPr>
        <w:t xml:space="preserve"> Pedram Fatehi</w:t>
      </w:r>
      <w:r>
        <w:rPr>
          <w:rFonts w:hint="default" w:ascii="Times New Roman" w:hAnsi="Times New Roman" w:eastAsia="Times New Roman" w:cs="Times New Roman"/>
          <w:vertAlign w:val="superscript"/>
          <w:lang w:val="en-US" w:eastAsia="zh-CN"/>
        </w:rPr>
        <w:t>b</w:t>
      </w:r>
      <w:r>
        <w:rPr>
          <w:rFonts w:hint="default" w:ascii="Times New Roman" w:hAnsi="Times New Roman" w:cs="Times New Roman"/>
        </w:rPr>
        <w:t>, Haiqiang Shia*</w:t>
      </w:r>
    </w:p>
    <w:p>
      <w:pPr>
        <w:ind w:firstLine="0" w:firstLineChars="0"/>
        <w:jc w:val="center"/>
        <w:rPr>
          <w:rFonts w:ascii="Times New Roman" w:hAnsi="Times New Roman" w:cs="Times New Roman"/>
          <w:sz w:val="21"/>
        </w:rPr>
      </w:pPr>
    </w:p>
    <w:p>
      <w:pPr>
        <w:pStyle w:val="15"/>
        <w:bidi w:val="0"/>
        <w:ind w:left="0" w:leftChars="0" w:firstLine="0" w:firstLineChars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vertAlign w:val="superscript"/>
        </w:rPr>
        <w:t>a</w:t>
      </w:r>
      <w:r>
        <w:rPr>
          <w:rFonts w:hint="default" w:ascii="Times New Roman" w:hAnsi="Times New Roman" w:cs="Times New Roman"/>
        </w:rPr>
        <w:t xml:space="preserve">Liaoning Key Lab of Lignocellulose chemistry and Biomaterialsbo, Liaoning Collaborative Innovation Center for Lignocellulosic Biorefinery, </w:t>
      </w:r>
      <w:bookmarkStart w:id="0" w:name="_Hlk117202659"/>
      <w:r>
        <w:rPr>
          <w:rFonts w:hint="default" w:ascii="Times New Roman" w:hAnsi="Times New Roman" w:cs="Times New Roman"/>
        </w:rPr>
        <w:t>College</w:t>
      </w:r>
      <w:bookmarkEnd w:id="0"/>
      <w:r>
        <w:rPr>
          <w:rFonts w:hint="default" w:ascii="Times New Roman" w:hAnsi="Times New Roman" w:cs="Times New Roman"/>
        </w:rPr>
        <w:t xml:space="preserve"> of Light Industry and Chemical Engineering, Dalian Polytechnic University, Dalian,</w:t>
      </w:r>
      <w:r>
        <w:rPr>
          <w:rFonts w:hint="default" w:ascii="Times New Roman" w:hAnsi="Times New Roman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</w:rPr>
        <w:t>Liaoning 116034, China</w:t>
      </w:r>
    </w:p>
    <w:p>
      <w:pPr>
        <w:pStyle w:val="15"/>
        <w:bidi w:val="0"/>
        <w:ind w:left="0" w:leftChars="0" w:firstLine="0" w:firstLineChars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Times New Roman" w:cs="Times New Roman"/>
          <w:i/>
          <w:vertAlign w:val="superscript"/>
          <w:lang w:val="en-US" w:eastAsia="zh-CN"/>
        </w:rPr>
        <w:t>b</w:t>
      </w:r>
      <w:r>
        <w:rPr>
          <w:rFonts w:hint="default" w:ascii="Times New Roman" w:hAnsi="Times New Roman" w:cs="Times New Roman"/>
        </w:rPr>
        <w:t>Biorefining Research Institute, Lakehead University, Thunder Bay, ON, Canada, P7B5E1</w:t>
      </w:r>
    </w:p>
    <w:p>
      <w:pPr>
        <w:pStyle w:val="15"/>
        <w:bidi w:val="0"/>
        <w:ind w:left="0" w:leftChars="0" w:firstLine="0" w:firstLineChars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Times New Roman" w:cs="Times New Roman"/>
          <w:i/>
          <w:vertAlign w:val="superscript"/>
          <w:lang w:val="en-US" w:eastAsia="zh-CN"/>
        </w:rPr>
        <w:t>c</w:t>
      </w:r>
      <w:r>
        <w:rPr>
          <w:rFonts w:hint="default" w:ascii="Times New Roman" w:hAnsi="Times New Roman" w:cs="Times New Roman"/>
        </w:rPr>
        <w:t>College of Light Industry and Textile, Qiqihar University, Qiqihar 161000, People’s Republic of China</w:t>
      </w:r>
    </w:p>
    <w:p>
      <w:pPr>
        <w:pStyle w:val="15"/>
        <w:bidi w:val="0"/>
      </w:pPr>
    </w:p>
    <w:p>
      <w:pPr>
        <w:pStyle w:val="15"/>
        <w:bidi w:val="0"/>
        <w:ind w:left="0" w:leftChars="0" w:firstLine="0" w:firstLineChars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*Corresponding author. Liaoning Key Laboratory of Pulp and Paper Engineering,</w:t>
      </w:r>
      <w:r>
        <w:rPr>
          <w:rFonts w:hint="default" w:ascii="Times New Roman" w:hAnsi="Times New Roman" w:eastAsia="宋体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</w:rPr>
        <w:t>Dalian Polytechnic University, Dalian, 116034, China.</w:t>
      </w:r>
    </w:p>
    <w:p>
      <w:pPr>
        <w:pStyle w:val="16"/>
        <w:bidi w:val="0"/>
        <w:ind w:left="0" w:leftChars="0" w:firstLine="0" w:firstLineChars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Tel.: +86 411 86332216; fax: +86 411 86323736</w:t>
      </w:r>
      <w:bookmarkStart w:id="1" w:name="_GoBack"/>
      <w:bookmarkEnd w:id="1"/>
    </w:p>
    <w:p>
      <w:pPr>
        <w:pStyle w:val="17"/>
        <w:bidi w:val="0"/>
        <w:ind w:left="0" w:leftChars="0" w:firstLine="0" w:firstLineChars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Email address: shihq@dlpu.edu.cn</w:t>
      </w:r>
    </w:p>
    <w:p>
      <w:pPr>
        <w:ind w:firstLine="0" w:firstLineChars="0"/>
        <w:rPr>
          <w:rFonts w:ascii="Times New Roman" w:hAnsi="Times New Roman" w:cs="Times New Roman"/>
          <w:color w:val="000000"/>
          <w:szCs w:val="24"/>
        </w:rPr>
      </w:pPr>
    </w:p>
    <w:p>
      <w:pPr>
        <w:widowControl/>
        <w:ind w:firstLine="0" w:firstLineChars="0"/>
        <w:jc w:val="left"/>
        <w:rPr>
          <w:rFonts w:ascii="Times New Roman" w:hAnsi="Times New Roman" w:cs="Times New Roman"/>
          <w:color w:val="000000"/>
          <w:szCs w:val="24"/>
        </w:rPr>
      </w:pPr>
      <w:r>
        <w:rPr>
          <w:rFonts w:ascii="Times New Roman" w:hAnsi="Times New Roman" w:cs="Times New Roman"/>
          <w:color w:val="000000"/>
          <w:szCs w:val="24"/>
        </w:rPr>
        <w:br w:type="page"/>
      </w:r>
    </w:p>
    <w:p>
      <w:pPr>
        <w:ind w:left="0" w:leftChars="0" w:firstLine="0" w:firstLineChars="0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  <w:lang w:val="en-US" w:eastAsia="zh-CN"/>
        </w:rPr>
        <w:t>1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>1</w:t>
      </w:r>
      <w:r>
        <w:rPr>
          <w:rFonts w:ascii="Times New Roman" w:hAnsi="Times New Roman"/>
          <w:sz w:val="24"/>
          <w:szCs w:val="24"/>
        </w:rPr>
        <w:t>. Composition analysis</w:t>
      </w:r>
    </w:p>
    <w:p>
      <w:pPr>
        <w:ind w:firstLine="240" w:firstLineChars="100"/>
        <w:rPr>
          <w:rStyle w:val="8"/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 xml:space="preserve">The organic components </w:t>
      </w:r>
      <w:r>
        <w:rPr>
          <w:rFonts w:ascii="Times New Roman" w:hAnsi="Times New Roman"/>
          <w:sz w:val="24"/>
          <w:szCs w:val="24"/>
        </w:rPr>
        <w:t xml:space="preserve">of </w:t>
      </w:r>
      <w:r>
        <w:rPr>
          <w:rFonts w:hint="eastAsia" w:ascii="Times New Roman" w:hAnsi="Times New Roman"/>
          <w:sz w:val="24"/>
          <w:szCs w:val="24"/>
        </w:rPr>
        <w:t>the samples w</w:t>
      </w:r>
      <w:r>
        <w:rPr>
          <w:rFonts w:ascii="Times New Roman" w:hAnsi="Times New Roman"/>
          <w:sz w:val="24"/>
          <w:szCs w:val="24"/>
        </w:rPr>
        <w:t>ere</w:t>
      </w:r>
      <w:r>
        <w:rPr>
          <w:rFonts w:hint="eastAsia" w:ascii="Times New Roman" w:hAnsi="Times New Roman"/>
          <w:sz w:val="24"/>
          <w:szCs w:val="24"/>
        </w:rPr>
        <w:t xml:space="preserve"> determined according to the NREL method. A 0.3 g (od) sample was added to a pressure-resistant flask containing 3 mL of 72% sulfuric acid, </w:t>
      </w:r>
      <w:r>
        <w:rPr>
          <w:rFonts w:ascii="Times New Roman" w:hAnsi="Times New Roman"/>
          <w:sz w:val="24"/>
          <w:szCs w:val="24"/>
        </w:rPr>
        <w:t xml:space="preserve">which was </w:t>
      </w:r>
      <w:r>
        <w:rPr>
          <w:rFonts w:hint="eastAsia" w:ascii="Times New Roman" w:hAnsi="Times New Roman"/>
          <w:sz w:val="24"/>
          <w:szCs w:val="24"/>
        </w:rPr>
        <w:t xml:space="preserve">then reacted at room temperature for 2h, </w:t>
      </w:r>
      <w:r>
        <w:rPr>
          <w:rFonts w:ascii="Times New Roman" w:hAnsi="Times New Roman"/>
          <w:sz w:val="24"/>
          <w:szCs w:val="24"/>
        </w:rPr>
        <w:t xml:space="preserve">and </w:t>
      </w:r>
      <w:r>
        <w:rPr>
          <w:rFonts w:hint="eastAsia" w:ascii="Times New Roman" w:hAnsi="Times New Roman"/>
          <w:sz w:val="24"/>
          <w:szCs w:val="24"/>
        </w:rPr>
        <w:t>at 121°C for 1h follow</w:t>
      </w:r>
      <w:r>
        <w:rPr>
          <w:rFonts w:ascii="Times New Roman" w:hAnsi="Times New Roman"/>
          <w:sz w:val="24"/>
          <w:szCs w:val="24"/>
        </w:rPr>
        <w:t>ing</w:t>
      </w:r>
      <w:r>
        <w:rPr>
          <w:rFonts w:hint="eastAsia" w:ascii="Times New Roman" w:hAnsi="Times New Roman"/>
          <w:sz w:val="24"/>
          <w:szCs w:val="24"/>
        </w:rPr>
        <w:t xml:space="preserve"> the addition of 84 mL of deionized water. </w:t>
      </w:r>
      <w:r>
        <w:rPr>
          <w:rStyle w:val="8"/>
          <w:rFonts w:hint="eastAsia" w:ascii="Times New Roman" w:hAnsi="Times New Roman"/>
          <w:sz w:val="24"/>
          <w:szCs w:val="24"/>
        </w:rPr>
        <w:t>After the reaction complet</w:t>
      </w:r>
      <w:r>
        <w:rPr>
          <w:rStyle w:val="8"/>
          <w:rFonts w:ascii="Times New Roman" w:hAnsi="Times New Roman"/>
          <w:sz w:val="24"/>
          <w:szCs w:val="24"/>
        </w:rPr>
        <w:t>ion</w:t>
      </w:r>
      <w:r>
        <w:rPr>
          <w:rStyle w:val="8"/>
          <w:rFonts w:hint="eastAsia" w:ascii="Times New Roman" w:hAnsi="Times New Roman"/>
          <w:sz w:val="24"/>
          <w:szCs w:val="24"/>
        </w:rPr>
        <w:t>, it was filtered</w:t>
      </w:r>
      <w:r>
        <w:rPr>
          <w:rStyle w:val="8"/>
          <w:rFonts w:ascii="Times New Roman" w:hAnsi="Times New Roman"/>
          <w:sz w:val="24"/>
          <w:szCs w:val="24"/>
        </w:rPr>
        <w:t xml:space="preserve"> and t</w:t>
      </w:r>
      <w:r>
        <w:rPr>
          <w:rStyle w:val="8"/>
          <w:rFonts w:hint="eastAsia" w:ascii="Times New Roman" w:hAnsi="Times New Roman"/>
          <w:sz w:val="24"/>
          <w:szCs w:val="24"/>
        </w:rPr>
        <w:t>he filtrate was used for the quantification of monosaccharides</w:t>
      </w:r>
      <w:r>
        <w:rPr>
          <w:rStyle w:val="8"/>
          <w:rFonts w:ascii="Times New Roman" w:hAnsi="Times New Roman"/>
          <w:sz w:val="24"/>
          <w:szCs w:val="24"/>
        </w:rPr>
        <w:t xml:space="preserve">, </w:t>
      </w:r>
      <w:r>
        <w:rPr>
          <w:rStyle w:val="8"/>
          <w:rFonts w:hint="eastAsia" w:ascii="Times New Roman" w:hAnsi="Times New Roman"/>
          <w:sz w:val="24"/>
          <w:szCs w:val="24"/>
        </w:rPr>
        <w:t>organic acids</w:t>
      </w:r>
      <w:r>
        <w:rPr>
          <w:rStyle w:val="8"/>
          <w:rFonts w:ascii="Times New Roman" w:hAnsi="Times New Roman"/>
          <w:sz w:val="24"/>
          <w:szCs w:val="24"/>
        </w:rPr>
        <w:t>,</w:t>
      </w:r>
      <w:r>
        <w:rPr>
          <w:rStyle w:val="8"/>
          <w:rFonts w:hint="eastAsia" w:ascii="Times New Roman" w:hAnsi="Times New Roman"/>
          <w:sz w:val="24"/>
          <w:szCs w:val="24"/>
        </w:rPr>
        <w:t xml:space="preserve"> and acid-soluble lignin, and the solid fraction was used for the quantification of Klason lignin. </w:t>
      </w:r>
    </w:p>
    <w:p>
      <w:pPr>
        <w:ind w:firstLine="240" w:firstLineChars="100"/>
        <w:rPr>
          <w:rFonts w:ascii="Times New Roman" w:hAnsi="Times New Roman"/>
          <w:sz w:val="24"/>
          <w:szCs w:val="24"/>
        </w:rPr>
      </w:pPr>
      <w:r>
        <w:rPr>
          <w:rStyle w:val="8"/>
          <w:rFonts w:ascii="Times New Roman" w:hAnsi="Times New Roman"/>
          <w:sz w:val="24"/>
          <w:szCs w:val="24"/>
        </w:rPr>
        <w:t>M</w:t>
      </w:r>
      <w:r>
        <w:rPr>
          <w:rStyle w:val="8"/>
          <w:rFonts w:hint="eastAsia" w:ascii="Times New Roman" w:hAnsi="Times New Roman"/>
          <w:sz w:val="24"/>
          <w:szCs w:val="24"/>
        </w:rPr>
        <w:t>onosaccharides were determined by high</w:t>
      </w:r>
      <w:r>
        <w:rPr>
          <w:rStyle w:val="8"/>
          <w:rFonts w:ascii="Times New Roman" w:hAnsi="Times New Roman"/>
          <w:sz w:val="24"/>
          <w:szCs w:val="24"/>
        </w:rPr>
        <w:t>-</w:t>
      </w:r>
      <w:r>
        <w:rPr>
          <w:rStyle w:val="8"/>
          <w:rFonts w:hint="eastAsia" w:ascii="Times New Roman" w:hAnsi="Times New Roman"/>
          <w:sz w:val="24"/>
          <w:szCs w:val="24"/>
        </w:rPr>
        <w:t xml:space="preserve">performance liquid chromatography (HPLC) </w:t>
      </w:r>
      <w:r>
        <w:rPr>
          <w:rFonts w:ascii="Times New Roman" w:hAnsi="Times New Roman"/>
          <w:sz w:val="24"/>
          <w:szCs w:val="24"/>
        </w:rPr>
        <w:t>(Waters e2695, USA)</w:t>
      </w:r>
      <w:r>
        <w:rPr>
          <w:rStyle w:val="8"/>
          <w:rFonts w:hint="eastAsia"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The hydrolysate sample of 50 μL was filtered and degassed before injecting to the HPLC </w:t>
      </w:r>
      <w:r>
        <w:rPr>
          <w:rFonts w:hint="eastAsia" w:ascii="Times New Roman" w:hAnsi="Times New Roman"/>
          <w:sz w:val="24"/>
          <w:szCs w:val="24"/>
        </w:rPr>
        <w:t xml:space="preserve">HPX 87H </w:t>
      </w:r>
      <w:r>
        <w:rPr>
          <w:rFonts w:ascii="Times New Roman" w:hAnsi="Times New Roman"/>
          <w:sz w:val="24"/>
          <w:szCs w:val="24"/>
        </w:rPr>
        <w:t>column. Sulfuric acid of 0.005 M was used as the mobile phase at a flow rate of 0.6 mL/min. Other HPLC conditions were the column and detector temperature of 60 °C, and elution time of 50 min. The average of duplicate tests was reported.</w:t>
      </w:r>
    </w:p>
    <w:p>
      <w:pPr>
        <w:ind w:firstLine="240" w:firstLineChars="100"/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sz w:val="24"/>
          <w:szCs w:val="24"/>
        </w:rPr>
        <w:t xml:space="preserve">The acid-insoluble lignin was determined directly by the gravimetric method, while the 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acid-soluble lignin was determined spectrophotometrically. In brief, the absorbance of the hydrolysate at 205 nm was measured using a UV spectrophotometer (Cary300, VARIAN) to determine acid-soluble lignin. The hydrolysate was carefully diluted to ensure the value of absorbance fell in the range of 0.2–0.7. The acid-soluble lignin in the hydrolysate was calculated according to the Lambert-Beer law</w:t>
      </w:r>
      <w:r>
        <w:rPr>
          <w:rStyle w:val="8"/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(A =εbc) and considering absorptivity (ε) to be 110 L/g/cm.</w:t>
      </w:r>
    </w:p>
    <w:p>
      <w:pPr>
        <w:ind w:firstLine="0" w:firstLineChars="0"/>
      </w:pPr>
    </w:p>
    <w:p>
      <w:pPr>
        <w:ind w:firstLine="0" w:firstLineChars="0"/>
        <w:rPr>
          <w:rFonts w:hint="eastAsia"/>
          <w:b/>
          <w:bCs/>
          <w:lang w:val="en-US" w:eastAsia="zh-CN"/>
        </w:rPr>
      </w:pPr>
      <w:r>
        <w:rPr>
          <w:rFonts w:hint="eastAsia" w:ascii="Times New Roman" w:hAnsi="Times New Roman"/>
          <w:sz w:val="24"/>
          <w:szCs w:val="24"/>
          <w:lang w:val="en-US" w:eastAsia="zh-CN"/>
        </w:rPr>
        <w:t xml:space="preserve">1.2. </w:t>
      </w:r>
      <w:r>
        <w:rPr>
          <w:rFonts w:ascii="Times New Roman" w:hAnsi="Times New Roman"/>
          <w:sz w:val="24"/>
          <w:szCs w:val="24"/>
        </w:rPr>
        <w:t>Determination of the degree of polymerization</w:t>
      </w:r>
    </w:p>
    <w:p>
      <w:pPr>
        <w:ind w:left="0" w:leftChars="0" w:firstLine="0" w:firstLineChars="0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  <w:lang w:val="en-US" w:eastAsia="zh-CN"/>
        </w:rPr>
        <w:t>1.2</w:t>
      </w:r>
      <w:r>
        <w:rPr>
          <w:rFonts w:hint="eastAsia" w:ascii="Times New Roman" w:hAnsi="Times New Roman"/>
          <w:sz w:val="24"/>
          <w:szCs w:val="24"/>
        </w:rPr>
        <w:t xml:space="preserve">.1. </w:t>
      </w:r>
      <w:r>
        <w:rPr>
          <w:rFonts w:ascii="Times New Roman" w:hAnsi="Times New Roman"/>
          <w:sz w:val="24"/>
          <w:szCs w:val="24"/>
        </w:rPr>
        <w:t>Determination of the average degree of polymerization of lignin-free samples</w:t>
      </w:r>
    </w:p>
    <w:p>
      <w:pPr>
        <w:ind w:firstLine="240" w:firstLineChars="10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 DP of lignin-free samples was estimated by the capillary viscometer method following GB/T 1548-2016 standard method. The lignin-free samples (0.25 g) were homogeneously dispersed in 25 mL of deionized water and subsequently dissolved in 50 mL of 0.5 M copper ethylenediamine (CED) for 10 min. The relative viscosity of the solution was measured using a Cannon-Fenske capillary viscometer at 25°C to provide the corresponding characteristic viscosity ([η] mL g</w:t>
      </w:r>
      <w:r>
        <w:rPr>
          <w:rFonts w:ascii="Times New Roman" w:hAnsi="Times New Roman"/>
          <w:sz w:val="24"/>
          <w:szCs w:val="24"/>
          <w:vertAlign w:val="superscript"/>
        </w:rPr>
        <w:t>-1</w:t>
      </w:r>
      <w:r>
        <w:rPr>
          <w:rFonts w:ascii="Times New Roman" w:hAnsi="Times New Roman"/>
          <w:sz w:val="24"/>
          <w:szCs w:val="24"/>
        </w:rPr>
        <w:t>). DP values were obtained from Eq. (1)</w:t>
      </w:r>
      <w:r>
        <w:rPr>
          <w:rFonts w:hint="eastAsia" w:ascii="Times New Roman" w:hAnsi="Times New Roman"/>
          <w:sz w:val="24"/>
          <w:szCs w:val="24"/>
        </w:rPr>
        <w:t>.</w:t>
      </w:r>
    </w:p>
    <w:p>
      <w:pPr>
        <w:tabs>
          <w:tab w:val="center" w:pos="4200"/>
          <w:tab w:val="right" w:pos="8400"/>
        </w:tabs>
        <w:ind w:left="0" w:leftChars="0" w:firstLine="0" w:firstLineChars="0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ab/>
      </w:r>
      <w:r>
        <w:rPr>
          <w:rFonts w:hint="eastAsia" w:ascii="Times New Roman" w:hAnsi="Times New Roman"/>
          <w:sz w:val="24"/>
          <w:szCs w:val="24"/>
        </w:rPr>
        <w:t>DP</w:t>
      </w:r>
      <w:r>
        <w:rPr>
          <w:rFonts w:hint="eastAsia" w:ascii="Times New Roman" w:hAnsi="Times New Roman"/>
          <w:sz w:val="24"/>
          <w:szCs w:val="24"/>
          <w:vertAlign w:val="superscript"/>
        </w:rPr>
        <w:t>0.905</w:t>
      </w:r>
      <w:r>
        <w:rPr>
          <w:rFonts w:hint="eastAsia" w:ascii="Times New Roman" w:hAnsi="Times New Roman"/>
          <w:sz w:val="24"/>
          <w:szCs w:val="24"/>
        </w:rPr>
        <w:t>=0.75</w:t>
      </w:r>
      <w:r>
        <w:rPr>
          <w:rFonts w:ascii="Times New Roman" w:hAnsi="Times New Roman"/>
          <w:sz w:val="24"/>
          <w:szCs w:val="24"/>
        </w:rPr>
        <w:t>[η]</w:t>
      </w:r>
      <w:r>
        <w:rPr>
          <w:rFonts w:hint="eastAsia" w:ascii="Times New Roman" w:hAnsi="Times New Roman"/>
          <w:sz w:val="24"/>
          <w:szCs w:val="24"/>
        </w:rPr>
        <w:tab/>
      </w:r>
      <w:r>
        <w:rPr>
          <w:rFonts w:hint="eastAsia" w:ascii="Times New Roman" w:hAnsi="Times New Roman"/>
          <w:sz w:val="24"/>
          <w:szCs w:val="24"/>
        </w:rPr>
        <w:t>(1)</w:t>
      </w:r>
    </w:p>
    <w:p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where the constants of 0.905 and 0.75 were derived from empirical values for the cellulose-CED system.</w:t>
      </w:r>
    </w:p>
    <w:p>
      <w:pPr>
        <w:rPr>
          <w:rFonts w:ascii="Times New Roman" w:hAnsi="Times New Roman"/>
          <w:sz w:val="24"/>
          <w:szCs w:val="24"/>
        </w:rPr>
      </w:pPr>
    </w:p>
    <w:p>
      <w:pPr>
        <w:ind w:left="0" w:leftChars="0" w:firstLine="0" w:firstLineChars="0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  <w:lang w:val="en-US" w:eastAsia="zh-CN"/>
        </w:rPr>
        <w:t>1.2.</w:t>
      </w:r>
      <w:r>
        <w:rPr>
          <w:rFonts w:hint="eastAsia" w:ascii="Times New Roman" w:hAnsi="Times New Roman"/>
          <w:sz w:val="24"/>
          <w:szCs w:val="24"/>
        </w:rPr>
        <w:t xml:space="preserve">2. </w:t>
      </w:r>
      <w:r>
        <w:rPr>
          <w:rFonts w:ascii="Times New Roman" w:hAnsi="Times New Roman"/>
          <w:sz w:val="24"/>
          <w:szCs w:val="24"/>
        </w:rPr>
        <w:t xml:space="preserve">Determination of the degree of polymerization of lignin-free aerogels </w:t>
      </w:r>
    </w:p>
    <w:p>
      <w:pPr>
        <w:ind w:firstLine="240" w:firstLineChars="10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The lignin-free aerogels were ground with a ball mill at 1200 rpm for 5h so that they could be dispersed in water uniformly. Then, the average degree of polymerization was determined according to the procedure in 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>1.2</w:t>
      </w:r>
      <w:r>
        <w:rPr>
          <w:rFonts w:ascii="Times New Roman" w:hAnsi="Times New Roman"/>
          <w:sz w:val="24"/>
          <w:szCs w:val="24"/>
        </w:rPr>
        <w:t>.1.</w:t>
      </w:r>
    </w:p>
    <w:p>
      <w:pPr>
        <w:ind w:firstLine="240" w:firstLineChars="100"/>
        <w:rPr>
          <w:rFonts w:ascii="Times New Roman" w:hAnsi="Times New Roman"/>
          <w:sz w:val="24"/>
          <w:szCs w:val="24"/>
        </w:rPr>
      </w:pPr>
    </w:p>
    <w:p>
      <w:pPr>
        <w:ind w:left="0" w:leftChars="0" w:firstLine="0" w:firstLineChars="0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  <w:lang w:val="en-US" w:eastAsia="zh-CN"/>
        </w:rPr>
        <w:t>1.2.</w:t>
      </w:r>
      <w:r>
        <w:rPr>
          <w:rFonts w:hint="eastAsia" w:ascii="Times New Roman" w:hAnsi="Times New Roman"/>
          <w:sz w:val="24"/>
          <w:szCs w:val="24"/>
        </w:rPr>
        <w:t xml:space="preserve">3. </w:t>
      </w:r>
      <w:r>
        <w:rPr>
          <w:rFonts w:ascii="Times New Roman" w:hAnsi="Times New Roman"/>
          <w:sz w:val="24"/>
          <w:szCs w:val="24"/>
        </w:rPr>
        <w:t>Determination of the average degree of polymerization of carbohydrates in ungelatinized solutions</w:t>
      </w:r>
    </w:p>
    <w:p>
      <w:pPr>
        <w:ind w:firstLine="240" w:firstLineChars="10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Ethanol was added (at 10/1 ethanol/solution ratio) to the ungelled solution of</w:t>
      </w:r>
      <w:r>
        <w:rPr>
          <w:rFonts w:hint="eastAsia"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lignin-free samples and stirred with an electromagnetic stirrer at 350 rpm for 10 min. After stirring, the precipitated insoluble material was separated by centrifugation using a low-speed centrifuge</w:t>
      </w:r>
      <w:r>
        <w:rPr>
          <w:rFonts w:hint="eastAsia" w:ascii="Times New Roman" w:hAnsi="Times New Roman"/>
          <w:sz w:val="24"/>
          <w:szCs w:val="24"/>
        </w:rPr>
        <w:t xml:space="preserve"> (400</w:t>
      </w:r>
      <w:r>
        <w:rPr>
          <w:rFonts w:ascii="Times New Roman" w:hAnsi="Times New Roman"/>
          <w:sz w:val="24"/>
          <w:szCs w:val="24"/>
        </w:rPr>
        <w:t>0 rpm for 10 min</w:t>
      </w:r>
      <w:r>
        <w:rPr>
          <w:rFonts w:hint="eastAsia"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>. The insoluble material was then dried using a freeze dryer for 24 h.</w:t>
      </w:r>
      <w:r>
        <w:rPr>
          <w:rFonts w:hint="eastAsia"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The average degree of polymerization of the dried carbohydrates was then determined using the procedure in 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>1.2</w:t>
      </w:r>
      <w:r>
        <w:rPr>
          <w:rFonts w:ascii="Times New Roman" w:hAnsi="Times New Roman"/>
          <w:sz w:val="24"/>
          <w:szCs w:val="24"/>
        </w:rPr>
        <w:t>.1</w:t>
      </w:r>
      <w:r>
        <w:rPr>
          <w:rFonts w:hint="eastAsia" w:ascii="Times New Roman" w:hAnsi="Times New Roman"/>
          <w:sz w:val="24"/>
          <w:szCs w:val="24"/>
        </w:rPr>
        <w:t>.</w:t>
      </w:r>
    </w:p>
    <w:p>
      <w:pPr>
        <w:ind w:firstLine="0" w:firstLineChars="0"/>
        <w:rPr>
          <w:rFonts w:hint="default"/>
          <w:lang w:val="en-US" w:eastAsia="zh-CN"/>
        </w:rPr>
      </w:pPr>
    </w:p>
    <w:p>
      <w:pPr>
        <w:ind w:firstLine="0" w:firstLineChars="0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1.3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ascii="Times New Roman" w:hAnsi="Times New Roman"/>
          <w:sz w:val="24"/>
          <w:szCs w:val="24"/>
        </w:rPr>
        <w:t>Characterization of aerogels</w:t>
      </w:r>
    </w:p>
    <w:p>
      <w:pPr>
        <w:ind w:left="0" w:leftChars="0" w:firstLine="0" w:firstLineChars="0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  <w:lang w:val="en-US" w:eastAsia="zh-CN"/>
        </w:rPr>
        <w:t>1.3</w:t>
      </w:r>
      <w:r>
        <w:rPr>
          <w:rFonts w:ascii="Times New Roman" w:hAnsi="Times New Roman"/>
          <w:sz w:val="24"/>
          <w:szCs w:val="24"/>
        </w:rPr>
        <w:t>.1.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z w:val="24"/>
          <w:szCs w:val="24"/>
        </w:rPr>
        <w:t>Scanning electron microscope (SEM)</w:t>
      </w:r>
    </w:p>
    <w:p>
      <w:pPr>
        <w:ind w:firstLine="240" w:firstLineChars="10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 internal network structure of the aerogel was observed using a scanning electron microscope (JSM-</w:t>
      </w:r>
      <w:r>
        <w:rPr>
          <w:rFonts w:hint="eastAsia" w:ascii="Times New Roman" w:hAnsi="Times New Roman"/>
          <w:sz w:val="24"/>
          <w:szCs w:val="24"/>
        </w:rPr>
        <w:t>7800F</w:t>
      </w:r>
      <w:r>
        <w:rPr>
          <w:rFonts w:ascii="Times New Roman" w:hAnsi="Times New Roman"/>
          <w:sz w:val="24"/>
          <w:szCs w:val="24"/>
        </w:rPr>
        <w:t>)</w:t>
      </w:r>
      <w:r>
        <w:rPr>
          <w:rFonts w:hint="eastAsia"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at the accelerating voltage of 20 kV. The aerogels were manually cross-sectioned and sliced, and the surface of aerogels was coated with a gold prior to analysis.</w:t>
      </w:r>
    </w:p>
    <w:p>
      <w:pPr>
        <w:ind w:left="0" w:leftChars="0" w:firstLine="0" w:firstLineChars="0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  <w:lang w:val="en-US" w:eastAsia="zh-CN"/>
        </w:rPr>
        <w:t>1.3</w:t>
      </w:r>
      <w:r>
        <w:rPr>
          <w:rFonts w:ascii="Times New Roman" w:hAnsi="Times New Roman"/>
          <w:sz w:val="24"/>
          <w:szCs w:val="24"/>
        </w:rPr>
        <w:t>.2. Pore structure and specific surface area analysis</w:t>
      </w:r>
    </w:p>
    <w:p>
      <w:pPr>
        <w:ind w:firstLine="240" w:firstLineChars="10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 specific surface area of aerogels was determined under N</w:t>
      </w:r>
      <w:r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</w:rPr>
        <w:t xml:space="preserve"> adsorption conditions using a specific surface area and porosity analyzer (2020 PLUS HD88) at 170°C for 0.2 g of aerogel for 4 h.</w:t>
      </w:r>
    </w:p>
    <w:p>
      <w:pPr>
        <w:ind w:left="0" w:leftChars="0" w:firstLine="0" w:firstLineChars="0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  <w:lang w:val="en-US" w:eastAsia="zh-CN"/>
        </w:rPr>
        <w:t>1.3</w:t>
      </w:r>
      <w:r>
        <w:rPr>
          <w:rFonts w:ascii="Times New Roman" w:hAnsi="Times New Roman"/>
          <w:sz w:val="24"/>
          <w:szCs w:val="24"/>
        </w:rPr>
        <w:t xml:space="preserve">.3. Thermal gravimetric (TG) analysis </w:t>
      </w:r>
    </w:p>
    <w:p>
      <w:pPr>
        <w:ind w:firstLine="240" w:firstLineChars="10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Approximately, 8 mg of aerogels were used for analyzing their thermal stability with a thermogravimetric analyzer (TGA Q500, TA). The test was carried out under nitrogen protection and a heating rate of 10°C/min to the temperature of 700°C.</w:t>
      </w:r>
    </w:p>
    <w:p>
      <w:pPr>
        <w:ind w:left="0" w:leftChars="0" w:firstLine="0" w:firstLineChars="0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  <w:lang w:val="en-US" w:eastAsia="zh-CN"/>
        </w:rPr>
        <w:t>1.3</w:t>
      </w:r>
      <w:r>
        <w:rPr>
          <w:rFonts w:ascii="Times New Roman" w:hAnsi="Times New Roman"/>
          <w:sz w:val="24"/>
          <w:szCs w:val="24"/>
        </w:rPr>
        <w:t>.4. Mechanical performance analysis</w:t>
      </w:r>
    </w:p>
    <w:p>
      <w:pPr>
        <w:ind w:firstLine="240" w:firstLineChars="10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Mechanical performance of aerogels was assessed at room temperature using a universal testing machine (Instron 5965) following GB/T528-2009 standard method. The aerogel specimens were cut into a dumbbell shape and stretched at a rate of 20 mm/min until fracture to obtain tensile strength (</w:t>
      </w:r>
      <w:r>
        <w:rPr>
          <w:rFonts w:hint="eastAsia" w:ascii="Times New Roman" w:hAnsi="Times New Roman"/>
          <w:sz w:val="24"/>
          <w:szCs w:val="24"/>
        </w:rPr>
        <w:t>Ts</w:t>
      </w:r>
      <w:r>
        <w:rPr>
          <w:rFonts w:ascii="Times New Roman" w:hAnsi="Times New Roman"/>
          <w:sz w:val="24"/>
          <w:szCs w:val="24"/>
        </w:rPr>
        <w:t>) and elastic modulus (</w:t>
      </w:r>
      <w:r>
        <w:rPr>
          <w:rFonts w:hint="eastAsia"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).</w:t>
      </w:r>
      <w:r>
        <w:rPr>
          <w:rFonts w:hint="eastAsia" w:ascii="Times New Roman" w:hAnsi="Times New Roman"/>
          <w:sz w:val="24"/>
          <w:szCs w:val="24"/>
        </w:rPr>
        <w:t xml:space="preserve"> Three sets of data were measured in parallel for each sample, and the results were averaged.</w:t>
      </w:r>
    </w:p>
    <w:p>
      <w:pPr>
        <w:ind w:firstLine="0" w:firstLineChars="0"/>
        <w:rPr>
          <w:rFonts w:hint="default" w:ascii="Times New Roman" w:hAnsi="Times New Roman" w:cs="Times New Roman"/>
          <w:lang w:val="en-US" w:eastAsia="zh-CN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480"/>
      </w:pPr>
      <w:r>
        <w:separator/>
      </w:r>
    </w:p>
  </w:endnote>
  <w:endnote w:type="continuationSeparator" w:id="1">
    <w:p>
      <w:pPr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480"/>
      </w:pPr>
      <w:r>
        <w:separator/>
      </w:r>
    </w:p>
  </w:footnote>
  <w:footnote w:type="continuationSeparator" w:id="1">
    <w:p>
      <w:pPr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RiNGNkNjg0OGVjY2NmNjk4NGRjMDc2ODY0MDlmZmUifQ=="/>
  </w:docVars>
  <w:rsids>
    <w:rsidRoot w:val="00A60A4A"/>
    <w:rsid w:val="00007BD3"/>
    <w:rsid w:val="002753C3"/>
    <w:rsid w:val="0034287E"/>
    <w:rsid w:val="00354029"/>
    <w:rsid w:val="00663D0A"/>
    <w:rsid w:val="006A03E1"/>
    <w:rsid w:val="006F7B61"/>
    <w:rsid w:val="007857E5"/>
    <w:rsid w:val="008108B6"/>
    <w:rsid w:val="00815171"/>
    <w:rsid w:val="00967793"/>
    <w:rsid w:val="00A60A4A"/>
    <w:rsid w:val="00AE5832"/>
    <w:rsid w:val="00B701AA"/>
    <w:rsid w:val="00B86D8D"/>
    <w:rsid w:val="00D93DE4"/>
    <w:rsid w:val="00E1652D"/>
    <w:rsid w:val="00E21B8C"/>
    <w:rsid w:val="00EF1D94"/>
    <w:rsid w:val="00F570A5"/>
    <w:rsid w:val="1D35655C"/>
    <w:rsid w:val="39D952E0"/>
    <w:rsid w:val="6D035E01"/>
    <w:rsid w:val="769D6A3F"/>
    <w:rsid w:val="77416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Theme="minorHAnsi" w:hAnsiTheme="minorHAnsi" w:eastAsiaTheme="minorEastAsia" w:cstheme="minorBidi"/>
      <w:kern w:val="2"/>
      <w:sz w:val="24"/>
      <w:szCs w:val="21"/>
      <w:lang w:val="en-US" w:eastAsia="zh-CN" w:bidi="ar-SA"/>
    </w:rPr>
  </w:style>
  <w:style w:type="paragraph" w:styleId="2">
    <w:name w:val="heading 1"/>
    <w:next w:val="1"/>
    <w:link w:val="9"/>
    <w:qFormat/>
    <w:uiPriority w:val="9"/>
    <w:pPr>
      <w:keepNext/>
      <w:keepLines/>
      <w:pBdr>
        <w:bottom w:val="single" w:color="DBE5F1" w:themeColor="accent1" w:themeTint="33" w:sz="8" w:space="0"/>
      </w:pBdr>
      <w:spacing w:after="200" w:line="300" w:lineRule="auto"/>
      <w:outlineLvl w:val="0"/>
    </w:pPr>
    <w:rPr>
      <w:rFonts w:eastAsia="Microsoft YaHei UI" w:asciiTheme="majorHAnsi" w:hAnsiTheme="majorHAnsi" w:cstheme="majorBidi"/>
      <w:color w:val="4F81BD" w:themeColor="accent1"/>
      <w:kern w:val="0"/>
      <w:sz w:val="36"/>
      <w:szCs w:val="36"/>
      <w:lang w:val="en-US" w:eastAsia="ja-JP" w:bidi="ar-SA"/>
      <w14:textFill>
        <w14:solidFill>
          <w14:schemeClr w14:val="accent1"/>
        </w14:solidFill>
      </w14:textFill>
    </w:rPr>
  </w:style>
  <w:style w:type="paragraph" w:styleId="3">
    <w:name w:val="heading 2"/>
    <w:next w:val="1"/>
    <w:link w:val="10"/>
    <w:unhideWhenUsed/>
    <w:qFormat/>
    <w:uiPriority w:val="9"/>
    <w:pPr>
      <w:keepNext/>
      <w:keepLines/>
      <w:spacing w:before="120" w:after="120"/>
      <w:outlineLvl w:val="1"/>
    </w:pPr>
    <w:rPr>
      <w:rFonts w:eastAsia="Microsoft YaHei UI" w:asciiTheme="minorHAnsi" w:hAnsiTheme="minorHAnsi" w:cstheme="minorBidi"/>
      <w:b/>
      <w:bCs/>
      <w:color w:val="1F497D" w:themeColor="text2"/>
      <w:kern w:val="0"/>
      <w:sz w:val="26"/>
      <w:szCs w:val="26"/>
      <w:lang w:val="en-US" w:eastAsia="ja-JP" w:bidi="ar-SA"/>
      <w14:textFill>
        <w14:solidFill>
          <w14:schemeClr w14:val="tx2"/>
        </w14:solidFill>
      </w14:textFill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annotation reference"/>
    <w:basedOn w:val="7"/>
    <w:semiHidden/>
    <w:unhideWhenUsed/>
    <w:qFormat/>
    <w:uiPriority w:val="99"/>
    <w:rPr>
      <w:sz w:val="21"/>
      <w:szCs w:val="21"/>
    </w:rPr>
  </w:style>
  <w:style w:type="character" w:customStyle="1" w:styleId="9">
    <w:name w:val="标题 1 字符"/>
    <w:basedOn w:val="7"/>
    <w:link w:val="2"/>
    <w:qFormat/>
    <w:uiPriority w:val="9"/>
    <w:rPr>
      <w:rFonts w:eastAsia="Microsoft YaHei UI" w:asciiTheme="majorHAnsi" w:hAnsiTheme="majorHAnsi" w:cstheme="majorBidi"/>
      <w:color w:val="4F81BD" w:themeColor="accent1"/>
      <w:kern w:val="0"/>
      <w:sz w:val="36"/>
      <w:szCs w:val="36"/>
      <w:lang w:eastAsia="ja-JP"/>
      <w14:textFill>
        <w14:solidFill>
          <w14:schemeClr w14:val="accent1"/>
        </w14:solidFill>
      </w14:textFill>
    </w:rPr>
  </w:style>
  <w:style w:type="character" w:customStyle="1" w:styleId="10">
    <w:name w:val="标题 2 字符"/>
    <w:basedOn w:val="7"/>
    <w:link w:val="3"/>
    <w:qFormat/>
    <w:uiPriority w:val="9"/>
    <w:rPr>
      <w:rFonts w:eastAsia="Microsoft YaHei UI"/>
      <w:b/>
      <w:bCs/>
      <w:color w:val="1F497D" w:themeColor="text2"/>
      <w:kern w:val="0"/>
      <w:sz w:val="26"/>
      <w:szCs w:val="26"/>
      <w:lang w:eastAsia="ja-JP"/>
      <w14:textFill>
        <w14:solidFill>
          <w14:schemeClr w14:val="tx2"/>
        </w14:solidFill>
      </w14:textFill>
    </w:rPr>
  </w:style>
  <w:style w:type="character" w:customStyle="1" w:styleId="11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12">
    <w:name w:val="页脚 字符"/>
    <w:basedOn w:val="7"/>
    <w:link w:val="4"/>
    <w:qFormat/>
    <w:uiPriority w:val="99"/>
    <w:rPr>
      <w:sz w:val="18"/>
      <w:szCs w:val="18"/>
    </w:rPr>
  </w:style>
  <w:style w:type="paragraph" w:customStyle="1" w:styleId="13">
    <w:name w:val="title"/>
    <w:basedOn w:val="1"/>
    <w:next w:val="14"/>
    <w:qFormat/>
    <w:uiPriority w:val="0"/>
    <w:rPr>
      <w:rFonts w:ascii="Arial" w:hAnsi="Arial"/>
      <w:b/>
      <w:sz w:val="36"/>
    </w:rPr>
  </w:style>
  <w:style w:type="paragraph" w:customStyle="1" w:styleId="14">
    <w:name w:val="author"/>
    <w:basedOn w:val="1"/>
    <w:next w:val="15"/>
    <w:qFormat/>
    <w:uiPriority w:val="0"/>
    <w:pPr>
      <w:spacing w:before="120"/>
    </w:pPr>
  </w:style>
  <w:style w:type="paragraph" w:customStyle="1" w:styleId="15">
    <w:name w:val="affiliation"/>
    <w:basedOn w:val="1"/>
    <w:next w:val="16"/>
    <w:qFormat/>
    <w:uiPriority w:val="0"/>
    <w:pPr>
      <w:spacing w:before="120" w:line="240" w:lineRule="auto"/>
    </w:pPr>
    <w:rPr>
      <w:i/>
    </w:rPr>
  </w:style>
  <w:style w:type="paragraph" w:customStyle="1" w:styleId="16">
    <w:name w:val="phone"/>
    <w:basedOn w:val="17"/>
    <w:next w:val="19"/>
    <w:qFormat/>
    <w:uiPriority w:val="0"/>
  </w:style>
  <w:style w:type="paragraph" w:customStyle="1" w:styleId="17">
    <w:name w:val="email"/>
    <w:basedOn w:val="1"/>
    <w:next w:val="18"/>
    <w:qFormat/>
    <w:uiPriority w:val="0"/>
    <w:pPr>
      <w:spacing w:before="120" w:line="240" w:lineRule="auto"/>
    </w:pPr>
    <w:rPr>
      <w:sz w:val="20"/>
    </w:rPr>
  </w:style>
  <w:style w:type="paragraph" w:customStyle="1" w:styleId="18">
    <w:name w:val="url"/>
    <w:basedOn w:val="17"/>
    <w:next w:val="1"/>
    <w:qFormat/>
    <w:uiPriority w:val="0"/>
  </w:style>
  <w:style w:type="paragraph" w:customStyle="1" w:styleId="19">
    <w:name w:val="fax"/>
    <w:basedOn w:val="17"/>
    <w:next w:val="1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818</Words>
  <Characters>4641</Characters>
  <Lines>51</Lines>
  <Paragraphs>14</Paragraphs>
  <TotalTime>1</TotalTime>
  <ScaleCrop>false</ScaleCrop>
  <LinksUpToDate>false</LinksUpToDate>
  <CharactersWithSpaces>5430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2022-10-20T03:32:00Z</dcterms:created>
  <dc:creator>d</dc:creator>
  <cp:lastModifiedBy>◎</cp:lastModifiedBy>
  <dcterms:modified xsi:type="dcterms:W3CDTF">2022-11-15T03:03:10Z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87C988ABC6A742E99D1733DC4B8C1F42</vt:lpwstr>
  </property>
</Properties>
</file>