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D8FA8" w14:textId="6B3CEC92" w:rsidR="001D3A27" w:rsidRPr="003C45AC" w:rsidRDefault="00CD4362" w:rsidP="00CD4362">
      <w:pPr>
        <w:jc w:val="center"/>
        <w:rPr>
          <w:rFonts w:ascii="Times New Roman" w:eastAsia="宋体" w:hAnsi="Times New Roman" w:cs="Times New Roman"/>
          <w:sz w:val="24"/>
          <w:szCs w:val="24"/>
        </w:rPr>
      </w:pPr>
      <w:r w:rsidRPr="003C45AC">
        <w:rPr>
          <w:rFonts w:ascii="Times New Roman" w:eastAsia="宋体" w:hAnsi="Times New Roman" w:cs="Times New Roman"/>
          <w:sz w:val="24"/>
          <w:szCs w:val="24"/>
        </w:rPr>
        <w:t xml:space="preserve">Supplementary </w:t>
      </w:r>
      <w:r w:rsidR="00644102" w:rsidRPr="003C45AC">
        <w:rPr>
          <w:rFonts w:ascii="Times New Roman" w:eastAsia="宋体" w:hAnsi="Times New Roman" w:cs="Times New Roman"/>
          <w:sz w:val="24"/>
          <w:szCs w:val="24"/>
        </w:rPr>
        <w:t>F</w:t>
      </w:r>
      <w:r w:rsidRPr="003C45AC">
        <w:rPr>
          <w:rFonts w:ascii="Times New Roman" w:eastAsia="宋体" w:hAnsi="Times New Roman" w:cs="Times New Roman"/>
          <w:sz w:val="24"/>
          <w:szCs w:val="24"/>
        </w:rPr>
        <w:t>igure</w:t>
      </w:r>
    </w:p>
    <w:p w14:paraId="60765C1A" w14:textId="7F4D354F" w:rsidR="00644102" w:rsidRPr="003C45AC" w:rsidRDefault="00464C2D" w:rsidP="00CD4362">
      <w:pPr>
        <w:rPr>
          <w:rFonts w:ascii="Times New Roman" w:eastAsia="宋体" w:hAnsi="Times New Roman" w:cs="Times New Roman"/>
          <w:sz w:val="24"/>
          <w:szCs w:val="24"/>
        </w:rPr>
      </w:pPr>
      <w:r w:rsidRPr="003C45AC">
        <w:rPr>
          <w:noProof/>
          <w:sz w:val="24"/>
          <w:szCs w:val="24"/>
        </w:rPr>
        <w:drawing>
          <wp:inline distT="0" distB="0" distL="0" distR="0" wp14:anchorId="6CC3159F" wp14:editId="3798E31A">
            <wp:extent cx="5274310" cy="728027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280275"/>
                    </a:xfrm>
                    <a:prstGeom prst="rect">
                      <a:avLst/>
                    </a:prstGeom>
                    <a:noFill/>
                    <a:ln>
                      <a:noFill/>
                    </a:ln>
                  </pic:spPr>
                </pic:pic>
              </a:graphicData>
            </a:graphic>
          </wp:inline>
        </w:drawing>
      </w:r>
    </w:p>
    <w:p w14:paraId="4B6413BF" w14:textId="2EEFDBDA" w:rsidR="003C45AC" w:rsidRDefault="00C962C5" w:rsidP="00C962C5">
      <w:pPr>
        <w:rPr>
          <w:rFonts w:ascii="Times New Roman" w:hAnsi="Times New Roman" w:cs="Times New Roman"/>
          <w:sz w:val="24"/>
          <w:szCs w:val="24"/>
        </w:rPr>
      </w:pPr>
      <w:r w:rsidRPr="003C45AC">
        <w:rPr>
          <w:rFonts w:ascii="Times New Roman" w:eastAsia="宋体" w:hAnsi="Times New Roman" w:cs="Times New Roman"/>
          <w:sz w:val="24"/>
          <w:szCs w:val="24"/>
        </w:rPr>
        <w:t xml:space="preserve">Figure S1 </w:t>
      </w:r>
      <w:r w:rsidRPr="003C45AC">
        <w:rPr>
          <w:rFonts w:ascii="Times New Roman" w:hAnsi="Times New Roman" w:cs="Times New Roman"/>
          <w:sz w:val="24"/>
          <w:szCs w:val="24"/>
        </w:rPr>
        <w:t>Stacked bar chart. Bar plot shows the relative abundance of jejunal microbiota at the phylum level in each group.</w:t>
      </w:r>
    </w:p>
    <w:p w14:paraId="42D213BC" w14:textId="77777777" w:rsidR="003C45AC" w:rsidRDefault="003C45A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6329091" w14:textId="0B70DFB1" w:rsidR="0088604F" w:rsidRPr="003C45AC" w:rsidRDefault="0088604F" w:rsidP="00CD4362">
      <w:pPr>
        <w:rPr>
          <w:rFonts w:ascii="Times New Roman" w:eastAsia="宋体" w:hAnsi="Times New Roman" w:cs="Times New Roman"/>
          <w:sz w:val="24"/>
          <w:szCs w:val="24"/>
        </w:rPr>
      </w:pPr>
      <w:r w:rsidRPr="003C45AC">
        <w:rPr>
          <w:noProof/>
          <w:sz w:val="24"/>
          <w:szCs w:val="24"/>
        </w:rPr>
        <w:lastRenderedPageBreak/>
        <w:drawing>
          <wp:inline distT="0" distB="0" distL="0" distR="0" wp14:anchorId="3FDEB337" wp14:editId="7DC17083">
            <wp:extent cx="4371149" cy="3823834"/>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6438" cy="3828461"/>
                    </a:xfrm>
                    <a:prstGeom prst="rect">
                      <a:avLst/>
                    </a:prstGeom>
                    <a:noFill/>
                    <a:ln>
                      <a:noFill/>
                    </a:ln>
                  </pic:spPr>
                </pic:pic>
              </a:graphicData>
            </a:graphic>
          </wp:inline>
        </w:drawing>
      </w:r>
    </w:p>
    <w:p w14:paraId="6514BBF1" w14:textId="4697FF4B" w:rsidR="00C962C5" w:rsidRPr="003C45AC" w:rsidRDefault="00C962C5" w:rsidP="00C962C5">
      <w:pPr>
        <w:rPr>
          <w:rFonts w:ascii="Times New Roman" w:eastAsia="宋体" w:hAnsi="Times New Roman" w:cs="Times New Roman"/>
          <w:sz w:val="24"/>
          <w:szCs w:val="24"/>
        </w:rPr>
      </w:pPr>
      <w:r w:rsidRPr="003C45AC">
        <w:rPr>
          <w:rFonts w:ascii="Times New Roman" w:eastAsia="宋体" w:hAnsi="Times New Roman" w:cs="Times New Roman"/>
          <w:sz w:val="24"/>
          <w:szCs w:val="24"/>
        </w:rPr>
        <w:t>Figure S</w:t>
      </w:r>
      <w:r w:rsidR="00655441" w:rsidRPr="003C45AC">
        <w:rPr>
          <w:rFonts w:ascii="Times New Roman" w:eastAsia="宋体" w:hAnsi="Times New Roman" w:cs="Times New Roman"/>
          <w:sz w:val="24"/>
          <w:szCs w:val="24"/>
        </w:rPr>
        <w:t>2</w:t>
      </w:r>
      <w:r w:rsidRPr="003C45AC">
        <w:rPr>
          <w:rFonts w:ascii="Times New Roman" w:eastAsia="宋体" w:hAnsi="Times New Roman" w:cs="Times New Roman"/>
          <w:sz w:val="24"/>
          <w:szCs w:val="24"/>
        </w:rPr>
        <w:t xml:space="preserve"> Non-metric multi-dimensional scaling (NMDS). The NMDS analysis was based on the Bray–Curtis distance. Each point in the figure represents a sample, and the samples in the same group are represented by the same color.</w:t>
      </w:r>
    </w:p>
    <w:p w14:paraId="27EDB002" w14:textId="77777777" w:rsidR="0070661F" w:rsidRPr="003C45AC" w:rsidRDefault="0070661F" w:rsidP="00C962C5">
      <w:pPr>
        <w:rPr>
          <w:rFonts w:ascii="Times New Roman" w:eastAsia="宋体" w:hAnsi="Times New Roman" w:cs="Times New Roman"/>
          <w:sz w:val="24"/>
          <w:szCs w:val="24"/>
        </w:rPr>
      </w:pPr>
    </w:p>
    <w:p w14:paraId="0442453F" w14:textId="2A1D8E60" w:rsidR="0088604F" w:rsidRPr="003C45AC" w:rsidRDefault="00ED3185" w:rsidP="00CD4362">
      <w:pPr>
        <w:rPr>
          <w:rFonts w:ascii="Times New Roman" w:eastAsia="宋体" w:hAnsi="Times New Roman" w:cs="Times New Roman"/>
          <w:sz w:val="24"/>
          <w:szCs w:val="24"/>
        </w:rPr>
      </w:pPr>
      <w:r w:rsidRPr="003C45AC">
        <w:rPr>
          <w:noProof/>
          <w:sz w:val="24"/>
          <w:szCs w:val="24"/>
        </w:rPr>
        <w:drawing>
          <wp:inline distT="0" distB="0" distL="0" distR="0" wp14:anchorId="7A87837A" wp14:editId="4D27487D">
            <wp:extent cx="4955500" cy="330346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8284" cy="3351988"/>
                    </a:xfrm>
                    <a:prstGeom prst="rect">
                      <a:avLst/>
                    </a:prstGeom>
                    <a:noFill/>
                    <a:ln>
                      <a:noFill/>
                    </a:ln>
                  </pic:spPr>
                </pic:pic>
              </a:graphicData>
            </a:graphic>
          </wp:inline>
        </w:drawing>
      </w:r>
    </w:p>
    <w:p w14:paraId="2E763AF1" w14:textId="5036CBAB" w:rsidR="003C45AC" w:rsidRDefault="00C962C5" w:rsidP="00605C29">
      <w:pPr>
        <w:rPr>
          <w:rFonts w:ascii="Times New Roman" w:eastAsia="宋体" w:hAnsi="Times New Roman" w:cs="Times New Roman"/>
          <w:sz w:val="24"/>
          <w:szCs w:val="24"/>
        </w:rPr>
      </w:pPr>
      <w:r w:rsidRPr="003C45AC">
        <w:rPr>
          <w:rFonts w:ascii="Times New Roman" w:eastAsia="宋体" w:hAnsi="Times New Roman" w:cs="Times New Roman"/>
          <w:sz w:val="24"/>
          <w:szCs w:val="24"/>
        </w:rPr>
        <w:t>Figure S</w:t>
      </w:r>
      <w:r w:rsidR="005B16E1" w:rsidRPr="003C45AC">
        <w:rPr>
          <w:rFonts w:ascii="Times New Roman" w:eastAsia="宋体" w:hAnsi="Times New Roman" w:cs="Times New Roman"/>
          <w:sz w:val="24"/>
          <w:szCs w:val="24"/>
        </w:rPr>
        <w:t>3</w:t>
      </w:r>
      <w:r w:rsidRPr="003C45AC">
        <w:rPr>
          <w:rFonts w:ascii="Times New Roman" w:eastAsia="宋体" w:hAnsi="Times New Roman" w:cs="Times New Roman"/>
          <w:sz w:val="24"/>
          <w:szCs w:val="24"/>
        </w:rPr>
        <w:t xml:space="preserve"> On the left is the UPGMA cluster tree structure of each sample at the OT</w:t>
      </w:r>
      <w:r w:rsidR="001F2AF3" w:rsidRPr="003C45AC">
        <w:rPr>
          <w:rFonts w:ascii="Times New Roman" w:eastAsia="宋体" w:hAnsi="Times New Roman" w:cs="Times New Roman"/>
          <w:sz w:val="24"/>
          <w:szCs w:val="24"/>
        </w:rPr>
        <w:t>U</w:t>
      </w:r>
      <w:r w:rsidRPr="003C45AC">
        <w:rPr>
          <w:rFonts w:ascii="Times New Roman" w:eastAsia="宋体" w:hAnsi="Times New Roman" w:cs="Times New Roman"/>
          <w:sz w:val="24"/>
          <w:szCs w:val="24"/>
        </w:rPr>
        <w:t xml:space="preserve"> level, and on the right is the relative abundance distribution map of each sample at the genus level.</w:t>
      </w:r>
    </w:p>
    <w:p w14:paraId="4AEBB20C" w14:textId="461411B6" w:rsidR="00ED3185" w:rsidRPr="003C45AC" w:rsidRDefault="003C45AC" w:rsidP="003C45AC">
      <w:pPr>
        <w:widowControl/>
        <w:jc w:val="left"/>
        <w:rPr>
          <w:sz w:val="24"/>
          <w:szCs w:val="24"/>
        </w:rPr>
      </w:pPr>
      <w:r>
        <w:rPr>
          <w:rFonts w:ascii="Times New Roman" w:eastAsia="宋体" w:hAnsi="Times New Roman" w:cs="Times New Roman"/>
          <w:sz w:val="24"/>
          <w:szCs w:val="24"/>
        </w:rPr>
        <w:br w:type="page"/>
      </w:r>
      <w:r w:rsidR="00AA59A6" w:rsidRPr="003C45AC">
        <w:rPr>
          <w:noProof/>
          <w:sz w:val="24"/>
          <w:szCs w:val="24"/>
        </w:rPr>
        <w:lastRenderedPageBreak/>
        <w:drawing>
          <wp:inline distT="0" distB="0" distL="0" distR="0" wp14:anchorId="24202F66" wp14:editId="2466BF6C">
            <wp:extent cx="4408148" cy="3790392"/>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4932" cy="3813422"/>
                    </a:xfrm>
                    <a:prstGeom prst="rect">
                      <a:avLst/>
                    </a:prstGeom>
                    <a:noFill/>
                    <a:ln>
                      <a:noFill/>
                    </a:ln>
                  </pic:spPr>
                </pic:pic>
              </a:graphicData>
            </a:graphic>
          </wp:inline>
        </w:drawing>
      </w:r>
    </w:p>
    <w:p w14:paraId="7A400AB4" w14:textId="22789411" w:rsidR="003C45AC" w:rsidRDefault="00C962C5" w:rsidP="00C962C5">
      <w:pPr>
        <w:rPr>
          <w:rFonts w:ascii="Times New Roman" w:eastAsia="宋体" w:hAnsi="Times New Roman" w:cs="Times New Roman"/>
          <w:sz w:val="24"/>
          <w:szCs w:val="24"/>
        </w:rPr>
      </w:pPr>
      <w:r w:rsidRPr="003C45AC">
        <w:rPr>
          <w:rFonts w:ascii="Times New Roman" w:eastAsia="宋体" w:hAnsi="Times New Roman" w:cs="Times New Roman"/>
          <w:sz w:val="24"/>
          <w:szCs w:val="24"/>
        </w:rPr>
        <w:t>Figure S</w:t>
      </w:r>
      <w:r w:rsidR="005B16E1" w:rsidRPr="003C45AC">
        <w:rPr>
          <w:rFonts w:ascii="Times New Roman" w:eastAsia="宋体" w:hAnsi="Times New Roman" w:cs="Times New Roman"/>
          <w:sz w:val="24"/>
          <w:szCs w:val="24"/>
        </w:rPr>
        <w:t>4</w:t>
      </w:r>
      <w:r w:rsidRPr="003C45AC">
        <w:rPr>
          <w:rFonts w:ascii="Times New Roman" w:eastAsia="宋体" w:hAnsi="Times New Roman" w:cs="Times New Roman"/>
          <w:sz w:val="24"/>
          <w:szCs w:val="24"/>
        </w:rPr>
        <w:t xml:space="preserve"> Comparison of the classification of rumen microbiota between two groups by linear discriminant analysis effect size (LefSe) method. The LDA value distribution histogram (left) shows the species with significant differences in abundance in the two groups, and the length of the histogram represents the impact of different species. In the taxonomic cladogram (right), the circles radiating from the inside to the outside represent the classification level from phylum to species.</w:t>
      </w:r>
    </w:p>
    <w:p w14:paraId="06D50800" w14:textId="77777777" w:rsidR="003C45AC" w:rsidRDefault="003C45AC">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31FCDFE" w14:textId="768B13A4" w:rsidR="00605C29" w:rsidRPr="003C45AC" w:rsidRDefault="00A66D37" w:rsidP="00605C29">
      <w:pPr>
        <w:rPr>
          <w:sz w:val="24"/>
          <w:szCs w:val="24"/>
        </w:rPr>
      </w:pPr>
      <w:r w:rsidRPr="003C45AC">
        <w:rPr>
          <w:noProof/>
          <w:sz w:val="24"/>
          <w:szCs w:val="24"/>
        </w:rPr>
        <w:lastRenderedPageBreak/>
        <w:drawing>
          <wp:inline distT="0" distB="0" distL="0" distR="0" wp14:anchorId="62AF5468" wp14:editId="3BDDAE5A">
            <wp:extent cx="5274310" cy="276987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769870"/>
                    </a:xfrm>
                    <a:prstGeom prst="rect">
                      <a:avLst/>
                    </a:prstGeom>
                    <a:noFill/>
                    <a:ln>
                      <a:noFill/>
                    </a:ln>
                  </pic:spPr>
                </pic:pic>
              </a:graphicData>
            </a:graphic>
          </wp:inline>
        </w:drawing>
      </w:r>
    </w:p>
    <w:p w14:paraId="79DBF0D1" w14:textId="0AF84CA9" w:rsidR="00C962C5" w:rsidRDefault="00C962C5" w:rsidP="00C962C5">
      <w:pPr>
        <w:rPr>
          <w:rFonts w:ascii="Times New Roman" w:eastAsia="宋体" w:hAnsi="Times New Roman" w:cs="Times New Roman"/>
          <w:sz w:val="24"/>
          <w:szCs w:val="24"/>
        </w:rPr>
      </w:pPr>
      <w:r w:rsidRPr="003C45AC">
        <w:rPr>
          <w:rFonts w:ascii="Times New Roman" w:eastAsia="宋体" w:hAnsi="Times New Roman" w:cs="Times New Roman"/>
          <w:sz w:val="24"/>
          <w:szCs w:val="24"/>
        </w:rPr>
        <w:t>Figure S</w:t>
      </w:r>
      <w:r w:rsidR="005B16E1" w:rsidRPr="003C45AC">
        <w:rPr>
          <w:rFonts w:ascii="Times New Roman" w:eastAsia="宋体" w:hAnsi="Times New Roman" w:cs="Times New Roman"/>
          <w:sz w:val="24"/>
          <w:szCs w:val="24"/>
        </w:rPr>
        <w:t>5</w:t>
      </w:r>
      <w:r w:rsidRPr="003C45AC">
        <w:rPr>
          <w:rFonts w:ascii="Times New Roman" w:eastAsia="宋体" w:hAnsi="Times New Roman" w:cs="Times New Roman"/>
          <w:sz w:val="24"/>
          <w:szCs w:val="24"/>
        </w:rPr>
        <w:t xml:space="preserve"> Sparcc network diagram and heat map. Different nodes in the network diagram represent different dominant genera. The connection between nodes indicates that there is correlation between the two genera. The thickness of the line indicates the strength of the correlation, and the size of the node indicates the number of other bacteria associated with the bacterium.</w:t>
      </w:r>
    </w:p>
    <w:p w14:paraId="72A1A531" w14:textId="3E4B32AD" w:rsidR="003C45AC" w:rsidRDefault="003C45AC" w:rsidP="00C962C5">
      <w:pPr>
        <w:rPr>
          <w:rFonts w:ascii="Times New Roman" w:eastAsia="宋体" w:hAnsi="Times New Roman" w:cs="Times New Roman"/>
          <w:sz w:val="24"/>
          <w:szCs w:val="24"/>
        </w:rPr>
      </w:pPr>
    </w:p>
    <w:p w14:paraId="65E3E3A6" w14:textId="72A1381C" w:rsidR="003C45AC" w:rsidRDefault="003C45AC" w:rsidP="00C962C5">
      <w:pPr>
        <w:rPr>
          <w:rFonts w:ascii="Times New Roman" w:eastAsia="宋体" w:hAnsi="Times New Roman" w:cs="Times New Roman"/>
          <w:sz w:val="24"/>
          <w:szCs w:val="24"/>
        </w:rPr>
      </w:pPr>
    </w:p>
    <w:p w14:paraId="79463ED5" w14:textId="77777777" w:rsidR="003C45AC" w:rsidRPr="003C45AC" w:rsidRDefault="003C45AC" w:rsidP="00C962C5">
      <w:pPr>
        <w:rPr>
          <w:rFonts w:ascii="Times New Roman" w:eastAsia="宋体" w:hAnsi="Times New Roman" w:cs="Times New Roman" w:hint="eastAsia"/>
          <w:sz w:val="24"/>
          <w:szCs w:val="24"/>
        </w:rPr>
      </w:pPr>
    </w:p>
    <w:p w14:paraId="71CDF3C1" w14:textId="508A6685" w:rsidR="00D14893" w:rsidRPr="003C45AC" w:rsidRDefault="00F30487" w:rsidP="00014BFA">
      <w:pPr>
        <w:spacing w:line="360" w:lineRule="auto"/>
        <w:rPr>
          <w:rFonts w:ascii="Times New Roman" w:eastAsia="宋体" w:hAnsi="Times New Roman" w:cs="Times New Roman"/>
          <w:sz w:val="24"/>
          <w:szCs w:val="24"/>
        </w:rPr>
      </w:pPr>
      <w:r w:rsidRPr="003C45AC">
        <w:rPr>
          <w:noProof/>
          <w:sz w:val="24"/>
          <w:szCs w:val="24"/>
        </w:rPr>
        <w:drawing>
          <wp:inline distT="0" distB="0" distL="0" distR="0" wp14:anchorId="3C54EBED" wp14:editId="37FF241D">
            <wp:extent cx="5274310" cy="263715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r w:rsidR="00765080" w:rsidRPr="003C45AC">
        <w:rPr>
          <w:rFonts w:ascii="Times New Roman" w:eastAsia="宋体" w:hAnsi="Times New Roman" w:cs="Times New Roman"/>
          <w:sz w:val="24"/>
          <w:szCs w:val="24"/>
        </w:rPr>
        <w:t>Figure S</w:t>
      </w:r>
      <w:r w:rsidR="005B16E1" w:rsidRPr="003C45AC">
        <w:rPr>
          <w:rFonts w:ascii="Times New Roman" w:eastAsia="宋体" w:hAnsi="Times New Roman" w:cs="Times New Roman"/>
          <w:sz w:val="24"/>
          <w:szCs w:val="24"/>
        </w:rPr>
        <w:t>6</w:t>
      </w:r>
      <w:r w:rsidR="009218EB" w:rsidRPr="003C45AC">
        <w:rPr>
          <w:rFonts w:ascii="Times New Roman" w:eastAsia="宋体" w:hAnsi="Times New Roman" w:cs="Times New Roman"/>
          <w:sz w:val="24"/>
          <w:szCs w:val="24"/>
        </w:rPr>
        <w:t xml:space="preserve"> Functional prediction </w:t>
      </w:r>
      <w:r w:rsidR="009218EB" w:rsidRPr="003C45AC">
        <w:rPr>
          <w:rFonts w:ascii="Times New Roman" w:eastAsia="宋体" w:hAnsi="Times New Roman" w:cs="Times New Roman" w:hint="eastAsia"/>
          <w:sz w:val="24"/>
          <w:szCs w:val="24"/>
        </w:rPr>
        <w:t>STAMP</w:t>
      </w:r>
      <w:r w:rsidR="009218EB" w:rsidRPr="003C45AC">
        <w:rPr>
          <w:rFonts w:ascii="Times New Roman" w:eastAsia="宋体" w:hAnsi="Times New Roman" w:cs="Times New Roman"/>
          <w:sz w:val="24"/>
          <w:szCs w:val="24"/>
        </w:rPr>
        <w:t xml:space="preserve"> difference analysis. The analysis results show the top 30 differential classification Clusters between the two group in COG function pathways (</w:t>
      </w:r>
      <w:r w:rsidR="009218EB" w:rsidRPr="003C45AC">
        <w:rPr>
          <w:rFonts w:ascii="Times New Roman" w:eastAsia="宋体" w:hAnsi="Times New Roman" w:cs="Times New Roman"/>
          <w:i/>
          <w:iCs/>
          <w:sz w:val="24"/>
          <w:szCs w:val="24"/>
        </w:rPr>
        <w:t>P</w:t>
      </w:r>
      <w:r w:rsidR="009218EB" w:rsidRPr="003C45AC">
        <w:rPr>
          <w:rFonts w:ascii="Times New Roman" w:eastAsia="宋体" w:hAnsi="Times New Roman" w:cs="Times New Roman"/>
          <w:sz w:val="24"/>
          <w:szCs w:val="24"/>
        </w:rPr>
        <w:t xml:space="preserve"> &lt;0.05, 95% confidence interval).</w:t>
      </w:r>
    </w:p>
    <w:sectPr w:rsidR="00D14893" w:rsidRPr="003C45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51E7D" w14:textId="77777777" w:rsidR="003D72B1" w:rsidRDefault="003D72B1" w:rsidP="00765080">
      <w:r>
        <w:separator/>
      </w:r>
    </w:p>
  </w:endnote>
  <w:endnote w:type="continuationSeparator" w:id="0">
    <w:p w14:paraId="624FBEC6" w14:textId="77777777" w:rsidR="003D72B1" w:rsidRDefault="003D72B1" w:rsidP="0076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61B18" w14:textId="77777777" w:rsidR="003D72B1" w:rsidRDefault="003D72B1" w:rsidP="00765080">
      <w:r>
        <w:separator/>
      </w:r>
    </w:p>
  </w:footnote>
  <w:footnote w:type="continuationSeparator" w:id="0">
    <w:p w14:paraId="3B91FDBB" w14:textId="77777777" w:rsidR="003D72B1" w:rsidRDefault="003D72B1" w:rsidP="007650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B17"/>
    <w:rsid w:val="00014BFA"/>
    <w:rsid w:val="00017F31"/>
    <w:rsid w:val="000F39EF"/>
    <w:rsid w:val="001C4BBA"/>
    <w:rsid w:val="001D3A27"/>
    <w:rsid w:val="001F2AF3"/>
    <w:rsid w:val="001F5875"/>
    <w:rsid w:val="002B2682"/>
    <w:rsid w:val="002D77F6"/>
    <w:rsid w:val="00310A6F"/>
    <w:rsid w:val="00332E1C"/>
    <w:rsid w:val="00386D67"/>
    <w:rsid w:val="003C45AC"/>
    <w:rsid w:val="003D72B1"/>
    <w:rsid w:val="00414AB9"/>
    <w:rsid w:val="00464C2D"/>
    <w:rsid w:val="004706E8"/>
    <w:rsid w:val="004E40FB"/>
    <w:rsid w:val="004F0D1E"/>
    <w:rsid w:val="005B16E1"/>
    <w:rsid w:val="005C42B2"/>
    <w:rsid w:val="00605C29"/>
    <w:rsid w:val="00644102"/>
    <w:rsid w:val="00655441"/>
    <w:rsid w:val="006D7CF7"/>
    <w:rsid w:val="006F3B8E"/>
    <w:rsid w:val="0070661F"/>
    <w:rsid w:val="007305DF"/>
    <w:rsid w:val="00765080"/>
    <w:rsid w:val="0081788E"/>
    <w:rsid w:val="00864BBB"/>
    <w:rsid w:val="0088604F"/>
    <w:rsid w:val="008B0C25"/>
    <w:rsid w:val="009218EB"/>
    <w:rsid w:val="00A66D37"/>
    <w:rsid w:val="00AA59A6"/>
    <w:rsid w:val="00AB2110"/>
    <w:rsid w:val="00B22051"/>
    <w:rsid w:val="00B25813"/>
    <w:rsid w:val="00BB44CB"/>
    <w:rsid w:val="00BB5760"/>
    <w:rsid w:val="00C23D1F"/>
    <w:rsid w:val="00C3141C"/>
    <w:rsid w:val="00C962C5"/>
    <w:rsid w:val="00CB2228"/>
    <w:rsid w:val="00CD4362"/>
    <w:rsid w:val="00D14893"/>
    <w:rsid w:val="00DA2235"/>
    <w:rsid w:val="00DE563D"/>
    <w:rsid w:val="00DF646B"/>
    <w:rsid w:val="00ED3185"/>
    <w:rsid w:val="00EF4D30"/>
    <w:rsid w:val="00F30487"/>
    <w:rsid w:val="00F44FD7"/>
    <w:rsid w:val="00F65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409BE"/>
  <w15:chartTrackingRefBased/>
  <w15:docId w15:val="{5DC47B5D-F3F4-4AA0-8F65-85C1CDC0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50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65080"/>
    <w:rPr>
      <w:sz w:val="18"/>
      <w:szCs w:val="18"/>
    </w:rPr>
  </w:style>
  <w:style w:type="paragraph" w:styleId="a5">
    <w:name w:val="footer"/>
    <w:basedOn w:val="a"/>
    <w:link w:val="a6"/>
    <w:uiPriority w:val="99"/>
    <w:unhideWhenUsed/>
    <w:rsid w:val="00765080"/>
    <w:pPr>
      <w:tabs>
        <w:tab w:val="center" w:pos="4153"/>
        <w:tab w:val="right" w:pos="8306"/>
      </w:tabs>
      <w:snapToGrid w:val="0"/>
      <w:jc w:val="left"/>
    </w:pPr>
    <w:rPr>
      <w:sz w:val="18"/>
      <w:szCs w:val="18"/>
    </w:rPr>
  </w:style>
  <w:style w:type="character" w:customStyle="1" w:styleId="a6">
    <w:name w:val="页脚 字符"/>
    <w:basedOn w:val="a0"/>
    <w:link w:val="a5"/>
    <w:uiPriority w:val="99"/>
    <w:rsid w:val="007650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13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4</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玲</dc:creator>
  <cp:keywords/>
  <dc:description/>
  <cp:lastModifiedBy>李 玲</cp:lastModifiedBy>
  <cp:revision>176</cp:revision>
  <dcterms:created xsi:type="dcterms:W3CDTF">2022-03-23T08:37:00Z</dcterms:created>
  <dcterms:modified xsi:type="dcterms:W3CDTF">2022-08-08T13:04:00Z</dcterms:modified>
</cp:coreProperties>
</file>