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323D7" w:rsidRDefault="00F323D7" w:rsidP="00F323D7">
      <w:pPr>
        <w:jc w:val="both"/>
        <w:rPr>
          <w:rFonts w:ascii="Calibri" w:hAnsi="Calibri"/>
          <w:b/>
          <w:sz w:val="22"/>
          <w:szCs w:val="22"/>
        </w:rPr>
      </w:pPr>
      <w:r>
        <w:rPr>
          <w:rFonts w:ascii="Calibri" w:hAnsi="Calibri"/>
          <w:b/>
          <w:sz w:val="22"/>
          <w:szCs w:val="22"/>
        </w:rPr>
        <w:t>Supplementary Methods</w:t>
      </w:r>
    </w:p>
    <w:p w:rsidR="00F323D7" w:rsidRPr="00F323D7" w:rsidRDefault="00F323D7" w:rsidP="00F323D7">
      <w:pPr>
        <w:jc w:val="both"/>
        <w:rPr>
          <w:rFonts w:ascii="Calibri" w:hAnsi="Calibri"/>
          <w:b/>
          <w:sz w:val="22"/>
          <w:szCs w:val="22"/>
        </w:rPr>
      </w:pPr>
      <w:r w:rsidRPr="00F323D7">
        <w:rPr>
          <w:rFonts w:ascii="Calibri" w:hAnsi="Calibri"/>
          <w:b/>
          <w:sz w:val="22"/>
          <w:szCs w:val="22"/>
        </w:rPr>
        <w:t>Bleeding assay</w:t>
      </w:r>
    </w:p>
    <w:p w:rsidR="00F323D7" w:rsidRDefault="00F323D7" w:rsidP="00F323D7">
      <w:pPr>
        <w:jc w:val="both"/>
        <w:rPr>
          <w:rFonts w:ascii="Calibri" w:hAnsi="Calibri"/>
          <w:sz w:val="22"/>
          <w:szCs w:val="22"/>
        </w:rPr>
      </w:pPr>
      <w:r w:rsidRPr="00AD4F13">
        <w:rPr>
          <w:rFonts w:ascii="Calibri" w:hAnsi="Calibri"/>
          <w:sz w:val="22"/>
          <w:szCs w:val="22"/>
        </w:rPr>
        <w:t xml:space="preserve">Mice were anesthetized with Ketamine-Xylazine and weighed on a precision balance. The tail was then cut with a scalpel 2mm from the end and placed in a 50mL Falcon tube with warm (37°C) PBS. Once the tail was in PBS, the timer was immediately started. Bleeding time was measured as the time from when the tail was placed in the tube until no more blood flowed from the wound to the tail. Bleeding was stopped after 20min if the bleeding did not stop spontaneously. Mice were then </w:t>
      </w:r>
      <w:r>
        <w:rPr>
          <w:rFonts w:ascii="Calibri" w:hAnsi="Calibri"/>
          <w:sz w:val="22"/>
          <w:szCs w:val="22"/>
        </w:rPr>
        <w:t>weighed</w:t>
      </w:r>
      <w:r w:rsidRPr="00AD4F13">
        <w:rPr>
          <w:rFonts w:ascii="Calibri" w:hAnsi="Calibri"/>
          <w:sz w:val="22"/>
          <w:szCs w:val="22"/>
        </w:rPr>
        <w:t xml:space="preserve"> again on the precision balance with the tail piece removed</w:t>
      </w:r>
      <w:r>
        <w:rPr>
          <w:rFonts w:ascii="Calibri" w:hAnsi="Calibri"/>
          <w:sz w:val="22"/>
          <w:szCs w:val="22"/>
        </w:rPr>
        <w:t>,</w:t>
      </w:r>
      <w:r w:rsidRPr="00AD4F13">
        <w:rPr>
          <w:rFonts w:ascii="Calibri" w:hAnsi="Calibri"/>
          <w:sz w:val="22"/>
          <w:szCs w:val="22"/>
        </w:rPr>
        <w:t xml:space="preserve"> and the weight of blood lost was calculated as the initial weight minus the weight after bleeding.</w:t>
      </w:r>
    </w:p>
    <w:p w:rsidR="00F323D7" w:rsidRDefault="00F323D7" w:rsidP="00F323D7">
      <w:pPr>
        <w:jc w:val="both"/>
        <w:rPr>
          <w:rFonts w:ascii="Calibri" w:hAnsi="Calibri"/>
          <w:sz w:val="22"/>
          <w:szCs w:val="22"/>
        </w:rPr>
      </w:pPr>
      <w:bookmarkStart w:id="0" w:name="_GoBack"/>
      <w:bookmarkEnd w:id="0"/>
    </w:p>
    <w:p w:rsidR="00F323D7" w:rsidRPr="00F323D7" w:rsidRDefault="00F323D7" w:rsidP="00F323D7">
      <w:pPr>
        <w:rPr>
          <w:rFonts w:ascii="Calibri" w:hAnsi="Calibri"/>
          <w:b/>
          <w:sz w:val="22"/>
          <w:szCs w:val="22"/>
          <w:lang w:val="en-US"/>
        </w:rPr>
      </w:pPr>
      <w:r w:rsidRPr="00F323D7">
        <w:rPr>
          <w:rFonts w:ascii="Calibri" w:hAnsi="Calibri"/>
          <w:b/>
          <w:sz w:val="22"/>
          <w:szCs w:val="22"/>
          <w:lang w:val="en-US"/>
        </w:rPr>
        <w:t>Retinas immunofluorescence staining:</w:t>
      </w:r>
    </w:p>
    <w:p w:rsidR="008042E6" w:rsidRDefault="00F323D7" w:rsidP="00F323D7">
      <w:pPr>
        <w:rPr>
          <w:rFonts w:ascii="Calibri" w:hAnsi="Calibri"/>
          <w:sz w:val="22"/>
          <w:szCs w:val="22"/>
          <w:lang w:val="en-US"/>
        </w:rPr>
      </w:pPr>
      <w:r w:rsidRPr="00035D74">
        <w:rPr>
          <w:rFonts w:ascii="Calibri" w:hAnsi="Calibri"/>
          <w:sz w:val="22"/>
          <w:szCs w:val="22"/>
          <w:lang w:val="en-US"/>
        </w:rPr>
        <w:t>Retinas were isolated from Atg5</w:t>
      </w:r>
      <w:r w:rsidRPr="00035D74">
        <w:rPr>
          <w:rFonts w:ascii="Calibri" w:hAnsi="Calibri"/>
          <w:sz w:val="22"/>
          <w:szCs w:val="22"/>
          <w:vertAlign w:val="superscript"/>
          <w:lang w:val="en-US"/>
        </w:rPr>
        <w:t>lox/lox</w:t>
      </w:r>
      <w:r w:rsidRPr="00035D74">
        <w:rPr>
          <w:rFonts w:ascii="Calibri" w:hAnsi="Calibri"/>
          <w:sz w:val="22"/>
          <w:szCs w:val="22"/>
          <w:lang w:val="en-US"/>
        </w:rPr>
        <w:t xml:space="preserve"> and Cdh5.Cre Atg5</w:t>
      </w:r>
      <w:r w:rsidRPr="00035D74">
        <w:rPr>
          <w:rFonts w:ascii="Calibri" w:hAnsi="Calibri"/>
          <w:sz w:val="22"/>
          <w:szCs w:val="22"/>
          <w:vertAlign w:val="superscript"/>
          <w:lang w:val="en-US"/>
        </w:rPr>
        <w:t>lox/lox</w:t>
      </w:r>
      <w:r>
        <w:rPr>
          <w:rFonts w:ascii="Calibri" w:hAnsi="Calibri"/>
          <w:sz w:val="22"/>
          <w:szCs w:val="22"/>
          <w:lang w:val="en-US"/>
        </w:rPr>
        <w:t xml:space="preserve"> </w:t>
      </w:r>
      <w:r w:rsidRPr="00035D74">
        <w:rPr>
          <w:rFonts w:ascii="Calibri" w:hAnsi="Calibri"/>
          <w:sz w:val="22"/>
          <w:szCs w:val="22"/>
          <w:lang w:val="en-US"/>
        </w:rPr>
        <w:t>mice following intracardial injection of 2% PFA prepared in 1x PBS</w:t>
      </w:r>
      <w:r w:rsidRPr="00035D74">
        <w:rPr>
          <w:rFonts w:ascii="Calibri" w:hAnsi="Calibri"/>
          <w:sz w:val="22"/>
          <w:szCs w:val="22"/>
          <w:vertAlign w:val="superscript"/>
          <w:lang w:val="en-US"/>
        </w:rPr>
        <w:t>Ca2+Mg2+</w:t>
      </w:r>
      <w:r w:rsidRPr="00035D74">
        <w:rPr>
          <w:rFonts w:ascii="Calibri" w:hAnsi="Calibri"/>
          <w:sz w:val="22"/>
          <w:szCs w:val="22"/>
          <w:lang w:val="en-US"/>
        </w:rPr>
        <w:t xml:space="preserve">. Retinas were stained with FITC-coupled </w:t>
      </w:r>
      <w:proofErr w:type="spellStart"/>
      <w:r w:rsidRPr="00035D74">
        <w:rPr>
          <w:rFonts w:ascii="Calibri" w:hAnsi="Calibri"/>
          <w:sz w:val="22"/>
          <w:szCs w:val="22"/>
          <w:lang w:val="en-US"/>
        </w:rPr>
        <w:t>isolectin</w:t>
      </w:r>
      <w:proofErr w:type="spellEnd"/>
      <w:r w:rsidRPr="00035D74">
        <w:rPr>
          <w:rFonts w:ascii="Calibri" w:hAnsi="Calibri"/>
          <w:sz w:val="22"/>
          <w:szCs w:val="22"/>
          <w:lang w:val="en-US"/>
        </w:rPr>
        <w:t xml:space="preserve"> B4 overnight at 4°C. Tissues were washed and mounted on slides in fluorescent mounting medium (</w:t>
      </w:r>
      <w:proofErr w:type="spellStart"/>
      <w:r w:rsidRPr="00035D74">
        <w:rPr>
          <w:rFonts w:ascii="Calibri" w:hAnsi="Calibri"/>
          <w:sz w:val="22"/>
          <w:szCs w:val="22"/>
          <w:lang w:val="en-US"/>
        </w:rPr>
        <w:t>Dako</w:t>
      </w:r>
      <w:proofErr w:type="spellEnd"/>
      <w:r w:rsidRPr="00035D74">
        <w:rPr>
          <w:rFonts w:ascii="Calibri" w:hAnsi="Calibri"/>
          <w:sz w:val="22"/>
          <w:szCs w:val="22"/>
          <w:lang w:val="en-US"/>
        </w:rPr>
        <w:t>). Images were acquired using a Leica TCS SP8 confocal microscope.</w:t>
      </w:r>
    </w:p>
    <w:p w:rsidR="00F323D7" w:rsidRDefault="00F323D7" w:rsidP="00F323D7"/>
    <w:p w:rsidR="00F323D7" w:rsidRPr="00CB79C3" w:rsidRDefault="00F323D7" w:rsidP="00F323D7">
      <w:pPr>
        <w:jc w:val="both"/>
        <w:rPr>
          <w:rFonts w:ascii="Calibri" w:hAnsi="Calibri" w:cs="Arial"/>
          <w:b/>
          <w:i/>
          <w:sz w:val="22"/>
          <w:szCs w:val="22"/>
          <w:lang w:val="en-US"/>
        </w:rPr>
      </w:pPr>
      <w:proofErr w:type="spellStart"/>
      <w:r w:rsidRPr="00CB79C3">
        <w:rPr>
          <w:rFonts w:ascii="Calibri" w:hAnsi="Calibri" w:cs="Arial"/>
          <w:b/>
          <w:i/>
          <w:sz w:val="22"/>
          <w:szCs w:val="22"/>
          <w:lang w:val="en-US"/>
        </w:rPr>
        <w:t>Angio</w:t>
      </w:r>
      <w:proofErr w:type="spellEnd"/>
      <w:r w:rsidRPr="00CB79C3">
        <w:rPr>
          <w:rFonts w:ascii="Calibri" w:hAnsi="Calibri" w:cs="Arial"/>
          <w:b/>
          <w:i/>
          <w:sz w:val="22"/>
          <w:szCs w:val="22"/>
          <w:lang w:val="en-US"/>
        </w:rPr>
        <w:t xml:space="preserve"> </w:t>
      </w:r>
      <w:proofErr w:type="spellStart"/>
      <w:r w:rsidRPr="00CB79C3">
        <w:rPr>
          <w:rFonts w:ascii="Calibri" w:hAnsi="Calibri" w:cs="Arial"/>
          <w:b/>
          <w:i/>
          <w:sz w:val="22"/>
          <w:szCs w:val="22"/>
          <w:lang w:val="en-US"/>
        </w:rPr>
        <w:t>microscanner</w:t>
      </w:r>
      <w:proofErr w:type="spellEnd"/>
    </w:p>
    <w:p w:rsidR="00F323D7" w:rsidRPr="00CB79C3" w:rsidRDefault="00F323D7" w:rsidP="00F323D7">
      <w:pPr>
        <w:pStyle w:val="Standard"/>
        <w:spacing w:after="0"/>
        <w:rPr>
          <w:rFonts w:ascii="Calibri" w:hAnsi="Calibri"/>
          <w:color w:val="000000" w:themeColor="text1"/>
          <w:sz w:val="22"/>
        </w:rPr>
      </w:pPr>
      <w:r w:rsidRPr="00CB79C3">
        <w:rPr>
          <w:rFonts w:ascii="Calibri" w:hAnsi="Calibri"/>
          <w:color w:val="000000" w:themeColor="text1"/>
          <w:sz w:val="22"/>
        </w:rPr>
        <w:t xml:space="preserve">Each mouse received an intraperitoneal injection of an anticoagulant solution (heparin </w:t>
      </w:r>
      <w:proofErr w:type="spellStart"/>
      <w:r w:rsidRPr="00CB79C3">
        <w:rPr>
          <w:rFonts w:ascii="Calibri" w:hAnsi="Calibri"/>
          <w:color w:val="000000" w:themeColor="text1"/>
          <w:sz w:val="22"/>
        </w:rPr>
        <w:t>Choay</w:t>
      </w:r>
      <w:proofErr w:type="spellEnd"/>
      <w:r w:rsidRPr="00CB79C3">
        <w:rPr>
          <w:rFonts w:ascii="Calibri" w:hAnsi="Calibri"/>
          <w:color w:val="000000" w:themeColor="text1"/>
          <w:sz w:val="22"/>
        </w:rPr>
        <w:t>®), 300 IU/kg), and, 2 hours later</w:t>
      </w:r>
      <w:r>
        <w:rPr>
          <w:rFonts w:ascii="Calibri" w:hAnsi="Calibri"/>
          <w:color w:val="000000" w:themeColor="text1"/>
          <w:sz w:val="22"/>
        </w:rPr>
        <w:t>,</w:t>
      </w:r>
      <w:r w:rsidRPr="00CB79C3">
        <w:rPr>
          <w:rFonts w:ascii="Calibri" w:hAnsi="Calibri"/>
          <w:color w:val="000000" w:themeColor="text1"/>
          <w:sz w:val="22"/>
        </w:rPr>
        <w:t xml:space="preserve"> received an </w:t>
      </w:r>
      <w:r>
        <w:rPr>
          <w:rFonts w:ascii="Calibri" w:hAnsi="Calibri"/>
          <w:color w:val="000000" w:themeColor="text1"/>
          <w:sz w:val="22"/>
        </w:rPr>
        <w:t>infusion</w:t>
      </w:r>
      <w:r w:rsidRPr="00CB79C3">
        <w:rPr>
          <w:rFonts w:ascii="Calibri" w:hAnsi="Calibri"/>
          <w:color w:val="000000" w:themeColor="text1"/>
          <w:sz w:val="22"/>
        </w:rPr>
        <w:t xml:space="preserve"> of isosorbide dinitrate (</w:t>
      </w:r>
      <w:proofErr w:type="spellStart"/>
      <w:r w:rsidRPr="00CB79C3">
        <w:rPr>
          <w:rFonts w:ascii="Calibri" w:hAnsi="Calibri"/>
          <w:color w:val="000000" w:themeColor="text1"/>
          <w:sz w:val="22"/>
        </w:rPr>
        <w:t>Risordan</w:t>
      </w:r>
      <w:proofErr w:type="spellEnd"/>
      <w:r w:rsidRPr="00CB79C3">
        <w:rPr>
          <w:rFonts w:ascii="Calibri" w:hAnsi="Calibri"/>
          <w:color w:val="000000" w:themeColor="text1"/>
          <w:sz w:val="22"/>
        </w:rPr>
        <w:t xml:space="preserve">®, </w:t>
      </w:r>
      <w:proofErr w:type="spellStart"/>
      <w:r w:rsidRPr="00CB79C3">
        <w:rPr>
          <w:rFonts w:ascii="Calibri" w:hAnsi="Calibri"/>
          <w:color w:val="000000" w:themeColor="text1"/>
          <w:sz w:val="22"/>
        </w:rPr>
        <w:t>Medisol</w:t>
      </w:r>
      <w:proofErr w:type="spellEnd"/>
      <w:r w:rsidRPr="00CB79C3">
        <w:rPr>
          <w:rFonts w:ascii="Calibri" w:hAnsi="Calibri"/>
          <w:color w:val="000000" w:themeColor="text1"/>
          <w:sz w:val="22"/>
        </w:rPr>
        <w:t>) to induce vasodilation. The mouse was then euthanized by sodium pentobarbital (</w:t>
      </w:r>
      <w:proofErr w:type="spellStart"/>
      <w:r w:rsidRPr="00CB79C3">
        <w:rPr>
          <w:rFonts w:ascii="Calibri" w:hAnsi="Calibri"/>
          <w:color w:val="000000" w:themeColor="text1"/>
          <w:sz w:val="22"/>
        </w:rPr>
        <w:t>Exagon</w:t>
      </w:r>
      <w:proofErr w:type="spellEnd"/>
      <w:r w:rsidRPr="00CB79C3">
        <w:rPr>
          <w:rFonts w:ascii="Calibri" w:hAnsi="Calibri"/>
          <w:color w:val="000000" w:themeColor="text1"/>
          <w:sz w:val="22"/>
        </w:rPr>
        <w:t xml:space="preserve">®, </w:t>
      </w:r>
      <w:proofErr w:type="spellStart"/>
      <w:r w:rsidRPr="00CB79C3">
        <w:rPr>
          <w:rFonts w:ascii="Calibri" w:hAnsi="Calibri"/>
          <w:color w:val="000000" w:themeColor="text1"/>
          <w:sz w:val="22"/>
        </w:rPr>
        <w:t>Axience</w:t>
      </w:r>
      <w:proofErr w:type="spellEnd"/>
      <w:r w:rsidRPr="00CB79C3">
        <w:rPr>
          <w:rFonts w:ascii="Calibri" w:hAnsi="Calibri"/>
          <w:color w:val="000000" w:themeColor="text1"/>
          <w:sz w:val="22"/>
        </w:rPr>
        <w:t xml:space="preserve">). A median sternotomy was performed and the trunk of the brachiocephalic artery was cannulated under binocular control. Once a right draining atriotomy had been done, the vasculature was washed out under a pressure of 80 mmHg with an isotonic </w:t>
      </w:r>
      <w:proofErr w:type="spellStart"/>
      <w:r w:rsidRPr="00CB79C3">
        <w:rPr>
          <w:rFonts w:ascii="Calibri" w:hAnsi="Calibri"/>
          <w:color w:val="000000" w:themeColor="text1"/>
          <w:sz w:val="22"/>
        </w:rPr>
        <w:t>NaCl</w:t>
      </w:r>
      <w:proofErr w:type="spellEnd"/>
      <w:r w:rsidRPr="00CB79C3">
        <w:rPr>
          <w:rFonts w:ascii="Calibri" w:hAnsi="Calibri"/>
          <w:color w:val="000000" w:themeColor="text1"/>
          <w:sz w:val="22"/>
        </w:rPr>
        <w:t xml:space="preserve"> solution containing heparin and isosorbide dinitrate. When the washing solution became clear, a second infusion, at the same pressure, with 4% formaldehyde (neutral buffered formalin 10%, </w:t>
      </w:r>
      <w:proofErr w:type="spellStart"/>
      <w:r w:rsidRPr="00CB79C3">
        <w:rPr>
          <w:rFonts w:ascii="Calibri" w:hAnsi="Calibri"/>
          <w:color w:val="000000" w:themeColor="text1"/>
          <w:sz w:val="22"/>
        </w:rPr>
        <w:t>DiaPath</w:t>
      </w:r>
      <w:proofErr w:type="spellEnd"/>
      <w:r w:rsidRPr="00CB79C3">
        <w:rPr>
          <w:rFonts w:ascii="Calibri" w:hAnsi="Calibri"/>
          <w:color w:val="000000" w:themeColor="text1"/>
          <w:sz w:val="22"/>
        </w:rPr>
        <w:t xml:space="preserve">), was made to fix the tissues. A mixture of 80% Neoprene Latex (Neoprene Latex Dispersion 671 A, Dupont, France) and barium </w:t>
      </w:r>
      <w:proofErr w:type="spellStart"/>
      <w:r w:rsidRPr="00CB79C3">
        <w:rPr>
          <w:rFonts w:ascii="Calibri" w:hAnsi="Calibri"/>
          <w:color w:val="000000" w:themeColor="text1"/>
          <w:sz w:val="22"/>
        </w:rPr>
        <w:t>sulphate</w:t>
      </w:r>
      <w:proofErr w:type="spellEnd"/>
      <w:r w:rsidRPr="00CB79C3">
        <w:rPr>
          <w:rFonts w:ascii="Calibri" w:hAnsi="Calibri"/>
          <w:color w:val="000000" w:themeColor="text1"/>
          <w:sz w:val="22"/>
        </w:rPr>
        <w:t xml:space="preserve"> powdered to </w:t>
      </w:r>
      <w:r w:rsidRPr="00CB79C3">
        <w:rPr>
          <w:rFonts w:ascii="Calibri" w:hAnsi="Calibri"/>
          <w:color w:val="000000" w:themeColor="text1"/>
          <w:sz w:val="22"/>
        </w:rPr>
        <w:lastRenderedPageBreak/>
        <w:t xml:space="preserve">1 </w:t>
      </w:r>
      <w:proofErr w:type="spellStart"/>
      <w:r w:rsidRPr="00CB79C3">
        <w:rPr>
          <w:rFonts w:ascii="Calibri" w:hAnsi="Calibri"/>
          <w:color w:val="000000" w:themeColor="text1"/>
          <w:sz w:val="22"/>
        </w:rPr>
        <w:t>μm</w:t>
      </w:r>
      <w:proofErr w:type="spellEnd"/>
      <w:r w:rsidRPr="00CB79C3">
        <w:rPr>
          <w:rFonts w:ascii="Calibri" w:hAnsi="Calibri"/>
          <w:color w:val="000000" w:themeColor="text1"/>
          <w:sz w:val="22"/>
        </w:rPr>
        <w:t xml:space="preserve"> (3 g/mL, </w:t>
      </w:r>
      <w:proofErr w:type="spellStart"/>
      <w:r w:rsidRPr="00CB79C3">
        <w:rPr>
          <w:rFonts w:ascii="Calibri" w:hAnsi="Calibri"/>
          <w:color w:val="000000" w:themeColor="text1"/>
          <w:sz w:val="22"/>
        </w:rPr>
        <w:t>MicrOpaque</w:t>
      </w:r>
      <w:proofErr w:type="spellEnd"/>
      <w:r w:rsidRPr="00CB79C3">
        <w:rPr>
          <w:rFonts w:ascii="Calibri" w:hAnsi="Calibri"/>
          <w:color w:val="000000" w:themeColor="text1"/>
          <w:sz w:val="22"/>
        </w:rPr>
        <w:t xml:space="preserve">® oral solution, </w:t>
      </w:r>
      <w:proofErr w:type="spellStart"/>
      <w:r w:rsidRPr="00CB79C3">
        <w:rPr>
          <w:rFonts w:ascii="Calibri" w:hAnsi="Calibri"/>
          <w:color w:val="000000" w:themeColor="text1"/>
          <w:sz w:val="22"/>
        </w:rPr>
        <w:t>Guerbet</w:t>
      </w:r>
      <w:proofErr w:type="spellEnd"/>
      <w:r w:rsidRPr="00CB79C3">
        <w:rPr>
          <w:rFonts w:ascii="Calibri" w:hAnsi="Calibri"/>
          <w:color w:val="000000" w:themeColor="text1"/>
          <w:sz w:val="22"/>
        </w:rPr>
        <w:t xml:space="preserve">, France) in distilled water was then injected gradually under the same pressure, ensuring perfusion of arteries and arterioles down to a diameter of 20 µm. The animal was then put into formic acid for the latex to polymerize, and, after dissection, the kidneys were fixed overnight in 4% paraformaldehyde at 4°C. </w:t>
      </w:r>
    </w:p>
    <w:p w:rsidR="00F323D7" w:rsidRPr="00CB79C3" w:rsidRDefault="00F323D7" w:rsidP="00F323D7">
      <w:pPr>
        <w:pStyle w:val="Standard"/>
        <w:spacing w:after="0"/>
        <w:rPr>
          <w:rFonts w:ascii="Calibri" w:hAnsi="Calibri"/>
          <w:b/>
          <w:color w:val="000000" w:themeColor="text1"/>
          <w:sz w:val="22"/>
        </w:rPr>
      </w:pPr>
      <w:r w:rsidRPr="00CB79C3">
        <w:rPr>
          <w:rFonts w:ascii="Calibri" w:hAnsi="Calibri"/>
          <w:color w:val="000000" w:themeColor="text1"/>
          <w:sz w:val="22"/>
        </w:rPr>
        <w:t>The kidneys were scanned with a high-resolution micro-CT imaging system (</w:t>
      </w:r>
      <w:proofErr w:type="spellStart"/>
      <w:r w:rsidRPr="00CB79C3">
        <w:rPr>
          <w:rFonts w:ascii="Calibri" w:hAnsi="Calibri"/>
          <w:color w:val="000000" w:themeColor="text1"/>
          <w:sz w:val="22"/>
        </w:rPr>
        <w:t>Skyscan</w:t>
      </w:r>
      <w:proofErr w:type="spellEnd"/>
      <w:r w:rsidRPr="00CB79C3">
        <w:rPr>
          <w:rFonts w:ascii="Calibri" w:hAnsi="Calibri"/>
          <w:color w:val="000000" w:themeColor="text1"/>
          <w:sz w:val="22"/>
        </w:rPr>
        <w:t xml:space="preserve">® 1174, Brucker). The </w:t>
      </w:r>
      <w:proofErr w:type="spellStart"/>
      <w:r w:rsidRPr="00CB79C3">
        <w:rPr>
          <w:rFonts w:ascii="Calibri" w:hAnsi="Calibri"/>
          <w:color w:val="000000" w:themeColor="text1"/>
          <w:sz w:val="22"/>
        </w:rPr>
        <w:t>microscanner</w:t>
      </w:r>
      <w:proofErr w:type="spellEnd"/>
      <w:r w:rsidRPr="00CB79C3">
        <w:rPr>
          <w:rFonts w:ascii="Calibri" w:hAnsi="Calibri"/>
          <w:color w:val="000000" w:themeColor="text1"/>
          <w:sz w:val="22"/>
        </w:rPr>
        <w:t xml:space="preserve"> consists of an X-ray source (50 KV, 800 µA) and a 1.3 million-pixel CCD camera coupled to a P43 scintillator for detection. The acquisition protocol consisted of 360 views (180° rotation with 0.5°step) with a voxel volume of 14.4x14.4x14.4 μm</w:t>
      </w:r>
      <w:r w:rsidRPr="00CB79C3">
        <w:rPr>
          <w:rFonts w:ascii="Calibri" w:hAnsi="Calibri"/>
          <w:color w:val="000000" w:themeColor="text1"/>
          <w:sz w:val="22"/>
          <w:vertAlign w:val="superscript"/>
        </w:rPr>
        <w:t>3</w:t>
      </w:r>
      <w:r w:rsidRPr="00CB79C3">
        <w:rPr>
          <w:rFonts w:ascii="Calibri" w:hAnsi="Calibri"/>
          <w:color w:val="000000" w:themeColor="text1"/>
          <w:sz w:val="22"/>
        </w:rPr>
        <w:t xml:space="preserve">. At each step, 9 images are acquired and averaged to obtain a single image with minimal noise. The 2D radiographs were then processed using the </w:t>
      </w:r>
      <w:proofErr w:type="spellStart"/>
      <w:r w:rsidRPr="00CB79C3">
        <w:rPr>
          <w:rFonts w:ascii="Calibri" w:hAnsi="Calibri"/>
          <w:color w:val="000000" w:themeColor="text1"/>
          <w:sz w:val="22"/>
        </w:rPr>
        <w:t>NRecon</w:t>
      </w:r>
      <w:proofErr w:type="spellEnd"/>
      <w:r w:rsidRPr="00CB79C3">
        <w:rPr>
          <w:rFonts w:ascii="Calibri" w:hAnsi="Calibri"/>
          <w:color w:val="000000" w:themeColor="text1"/>
          <w:sz w:val="22"/>
        </w:rPr>
        <w:t xml:space="preserve">® software (Brucker) for 256 gray level 3D image reconstruction. For extraction of the 2 structures of interest (whole kidney and kidney arterial vasculature), a segmentation technique based on 2 grayscale-defined thresholds was applied. For each kidney, the threshold values were determined by statistical analysis of the frequency distribution of the pixel grayscale values and Gaussian non-linear regression of the pixel population corresponding to non-perfused renal tissues, using Prism® software (GraphPad). In the image of the arterial network obtained after segmentation, a median filter, set at 3 pixels, was applied to remove isolated pixels due to background digital noise, and then the </w:t>
      </w:r>
      <w:proofErr w:type="spellStart"/>
      <w:r w:rsidRPr="00CB79C3">
        <w:rPr>
          <w:rFonts w:ascii="Calibri" w:eastAsiaTheme="minorEastAsia" w:hAnsi="Calibri"/>
          <w:color w:val="000000" w:themeColor="text1"/>
          <w:sz w:val="22"/>
        </w:rPr>
        <w:t>skeletonization</w:t>
      </w:r>
      <w:proofErr w:type="spellEnd"/>
      <w:r w:rsidRPr="00CB79C3">
        <w:rPr>
          <w:rFonts w:ascii="Calibri" w:eastAsiaTheme="minorEastAsia" w:hAnsi="Calibri"/>
          <w:color w:val="000000" w:themeColor="text1"/>
          <w:sz w:val="22"/>
        </w:rPr>
        <w:t xml:space="preserve"> of the vascular network image was performed, using FIJI® software. The image of the skeleton was then fused with the image of the vascular network, associating each segment of the skeleton, identified by its orthonormal coordinates, with its 3D image. Distance mapping, allowing determining the mean radius of each segment, was then combined with skeleton analysis to obtain, for each segment, its length</w:t>
      </w:r>
      <w:r>
        <w:rPr>
          <w:rFonts w:ascii="Calibri" w:eastAsiaTheme="minorEastAsia" w:hAnsi="Calibri"/>
          <w:color w:val="000000" w:themeColor="text1"/>
          <w:sz w:val="22"/>
        </w:rPr>
        <w:t>,</w:t>
      </w:r>
      <w:r w:rsidRPr="00CB79C3">
        <w:rPr>
          <w:rFonts w:ascii="Calibri" w:eastAsiaTheme="minorEastAsia" w:hAnsi="Calibri"/>
          <w:color w:val="000000" w:themeColor="text1"/>
          <w:sz w:val="22"/>
        </w:rPr>
        <w:t xml:space="preserve"> and diameter.</w:t>
      </w:r>
    </w:p>
    <w:p w:rsidR="00F323D7" w:rsidRPr="00CB79C3" w:rsidRDefault="00F323D7" w:rsidP="00F323D7">
      <w:pPr>
        <w:jc w:val="both"/>
        <w:rPr>
          <w:rFonts w:ascii="Calibri" w:hAnsi="Calibri" w:cs="Arial"/>
          <w:color w:val="000000" w:themeColor="text1"/>
          <w:sz w:val="22"/>
          <w:szCs w:val="22"/>
          <w:lang w:val="en-US"/>
        </w:rPr>
      </w:pPr>
      <w:r w:rsidRPr="00CB79C3">
        <w:rPr>
          <w:rFonts w:ascii="Calibri" w:eastAsiaTheme="minorEastAsia" w:hAnsi="Calibri" w:cs="Arial"/>
          <w:color w:val="000000" w:themeColor="text1"/>
          <w:sz w:val="22"/>
          <w:szCs w:val="22"/>
          <w:lang w:val="en-US"/>
        </w:rPr>
        <w:t xml:space="preserve">The density of the vascular network, expressed in %, was defined as the ratio of the volume of the arterial network on the volume of the whole kidney. Both volumes were calculated using </w:t>
      </w:r>
      <w:proofErr w:type="spellStart"/>
      <w:r w:rsidRPr="00CB79C3">
        <w:rPr>
          <w:rFonts w:ascii="Calibri" w:eastAsiaTheme="minorEastAsia" w:hAnsi="Calibri" w:cs="Arial"/>
          <w:color w:val="000000" w:themeColor="text1"/>
          <w:sz w:val="22"/>
          <w:szCs w:val="22"/>
          <w:lang w:val="en-US"/>
        </w:rPr>
        <w:t>Imaris</w:t>
      </w:r>
      <w:proofErr w:type="spellEnd"/>
      <w:r w:rsidRPr="00CB79C3">
        <w:rPr>
          <w:rFonts w:ascii="Calibri" w:eastAsiaTheme="minorEastAsia" w:hAnsi="Calibri" w:cs="Arial"/>
          <w:color w:val="000000" w:themeColor="text1"/>
          <w:sz w:val="22"/>
          <w:szCs w:val="22"/>
          <w:lang w:val="en-US"/>
        </w:rPr>
        <w:t>® software on the images obtained after segmentation and filtering. The fractal dimension of the arterial network was obtained from the skeletonized image of each kidney vasculature by the “</w:t>
      </w:r>
      <w:r>
        <w:rPr>
          <w:rFonts w:ascii="Calibri" w:eastAsiaTheme="minorEastAsia" w:hAnsi="Calibri" w:cs="Arial"/>
          <w:color w:val="000000" w:themeColor="text1"/>
          <w:sz w:val="22"/>
          <w:szCs w:val="22"/>
          <w:lang w:val="en-US"/>
        </w:rPr>
        <w:t>box-counting</w:t>
      </w:r>
      <w:r w:rsidRPr="00CB79C3">
        <w:rPr>
          <w:rFonts w:ascii="Calibri" w:eastAsiaTheme="minorEastAsia" w:hAnsi="Calibri" w:cs="Arial"/>
          <w:color w:val="000000" w:themeColor="text1"/>
          <w:sz w:val="22"/>
          <w:szCs w:val="22"/>
          <w:lang w:val="en-US"/>
        </w:rPr>
        <w:t xml:space="preserve">” </w:t>
      </w:r>
      <w:proofErr w:type="spellStart"/>
      <w:r w:rsidRPr="00CB79C3">
        <w:rPr>
          <w:rFonts w:ascii="Calibri" w:eastAsiaTheme="minorEastAsia" w:hAnsi="Calibri" w:cs="Arial"/>
          <w:color w:val="000000" w:themeColor="text1"/>
          <w:sz w:val="22"/>
          <w:szCs w:val="22"/>
          <w:lang w:val="en-US"/>
        </w:rPr>
        <w:t>Minkowski-Bouligand</w:t>
      </w:r>
      <w:proofErr w:type="spellEnd"/>
      <w:r w:rsidRPr="00CB79C3">
        <w:rPr>
          <w:rFonts w:ascii="Calibri" w:eastAsiaTheme="minorEastAsia" w:hAnsi="Calibri" w:cs="Arial"/>
          <w:color w:val="000000" w:themeColor="text1"/>
          <w:sz w:val="22"/>
          <w:szCs w:val="22"/>
          <w:lang w:val="en-US"/>
        </w:rPr>
        <w:t xml:space="preserve"> method using FIJI® software. Total vessel length was calculated by summing the </w:t>
      </w:r>
      <w:r w:rsidRPr="00CB79C3">
        <w:rPr>
          <w:rFonts w:ascii="Calibri" w:eastAsiaTheme="minorEastAsia" w:hAnsi="Calibri" w:cs="Arial"/>
          <w:color w:val="000000" w:themeColor="text1"/>
          <w:sz w:val="22"/>
          <w:szCs w:val="22"/>
          <w:lang w:val="en-US"/>
        </w:rPr>
        <w:lastRenderedPageBreak/>
        <w:t>lengths of the segments. Vascular density, fractal dimension and total vessel length were compared between the 2 samples using Mann-Whitney statistical test (</w:t>
      </w:r>
      <w:r w:rsidRPr="00CB79C3">
        <w:rPr>
          <w:rFonts w:ascii="Calibri" w:hAnsi="Calibri" w:cs="Arial"/>
          <w:color w:val="000000" w:themeColor="text1"/>
          <w:sz w:val="22"/>
          <w:szCs w:val="22"/>
          <w:lang w:val="en-US"/>
        </w:rPr>
        <w:t>Prism® software).</w:t>
      </w:r>
      <w:r w:rsidRPr="00CB79C3">
        <w:rPr>
          <w:rFonts w:ascii="Calibri" w:eastAsiaTheme="minorEastAsia" w:hAnsi="Calibri" w:cs="Arial"/>
          <w:color w:val="000000" w:themeColor="text1"/>
          <w:sz w:val="22"/>
          <w:szCs w:val="22"/>
          <w:lang w:val="en-US"/>
        </w:rPr>
        <w:t xml:space="preserve"> Lengths and diameters of the vascular segments of each kidney were analyzed by nonlinear regression of their frequency distribution. For this, frequency classes were defined</w:t>
      </w:r>
      <w:r>
        <w:rPr>
          <w:rFonts w:ascii="Calibri" w:eastAsiaTheme="minorEastAsia" w:hAnsi="Calibri" w:cs="Arial"/>
          <w:color w:val="000000" w:themeColor="text1"/>
          <w:sz w:val="22"/>
          <w:szCs w:val="22"/>
          <w:lang w:val="en-US"/>
        </w:rPr>
        <w:t>,</w:t>
      </w:r>
      <w:r w:rsidRPr="00CB79C3">
        <w:rPr>
          <w:rFonts w:ascii="Calibri" w:eastAsiaTheme="minorEastAsia" w:hAnsi="Calibri" w:cs="Arial"/>
          <w:color w:val="000000" w:themeColor="text1"/>
          <w:sz w:val="22"/>
          <w:szCs w:val="22"/>
          <w:lang w:val="en-US"/>
        </w:rPr>
        <w:t xml:space="preserve"> and the percentage of branches belonging to each class </w:t>
      </w:r>
      <w:r>
        <w:rPr>
          <w:rFonts w:ascii="Calibri" w:eastAsiaTheme="minorEastAsia" w:hAnsi="Calibri" w:cs="Arial"/>
          <w:color w:val="000000" w:themeColor="text1"/>
          <w:sz w:val="22"/>
          <w:szCs w:val="22"/>
          <w:lang w:val="en-US"/>
        </w:rPr>
        <w:t xml:space="preserve">was </w:t>
      </w:r>
      <w:r w:rsidRPr="00CB79C3">
        <w:rPr>
          <w:rFonts w:ascii="Calibri" w:eastAsiaTheme="minorEastAsia" w:hAnsi="Calibri" w:cs="Arial"/>
          <w:color w:val="000000" w:themeColor="text1"/>
          <w:sz w:val="22"/>
          <w:szCs w:val="22"/>
          <w:lang w:val="en-US"/>
        </w:rPr>
        <w:t xml:space="preserve">calculated. The frequency distribution thus obtained was adjusted by nonlinear regression with a decreasing first-order exponential equation for segment lengths and a log Gaussian equation for diameters and then compared between samples by non-linear regression analysis and </w:t>
      </w:r>
      <w:r>
        <w:rPr>
          <w:rFonts w:ascii="Calibri" w:eastAsiaTheme="minorEastAsia" w:hAnsi="Calibri" w:cs="Arial"/>
          <w:color w:val="000000" w:themeColor="text1"/>
          <w:sz w:val="22"/>
          <w:szCs w:val="22"/>
          <w:lang w:val="en-US"/>
        </w:rPr>
        <w:t>Fisher’s</w:t>
      </w:r>
      <w:r w:rsidRPr="00CB79C3">
        <w:rPr>
          <w:rFonts w:ascii="Calibri" w:eastAsiaTheme="minorEastAsia" w:hAnsi="Calibri" w:cs="Arial"/>
          <w:color w:val="000000" w:themeColor="text1"/>
          <w:sz w:val="22"/>
          <w:szCs w:val="22"/>
          <w:lang w:val="en-US"/>
        </w:rPr>
        <w:t xml:space="preserve"> </w:t>
      </w:r>
      <w:r>
        <w:rPr>
          <w:rFonts w:ascii="Calibri" w:eastAsiaTheme="minorEastAsia" w:hAnsi="Calibri" w:cs="Arial"/>
          <w:color w:val="000000" w:themeColor="text1"/>
          <w:sz w:val="22"/>
          <w:szCs w:val="22"/>
          <w:lang w:val="en-US"/>
        </w:rPr>
        <w:t xml:space="preserve">F </w:t>
      </w:r>
      <w:r w:rsidRPr="00CB79C3">
        <w:rPr>
          <w:rFonts w:ascii="Calibri" w:eastAsiaTheme="minorEastAsia" w:hAnsi="Calibri" w:cs="Arial"/>
          <w:color w:val="000000" w:themeColor="text1"/>
          <w:sz w:val="22"/>
          <w:szCs w:val="22"/>
          <w:lang w:val="en-US"/>
        </w:rPr>
        <w:t>test (</w:t>
      </w:r>
      <w:r w:rsidRPr="00CB79C3">
        <w:rPr>
          <w:rFonts w:ascii="Calibri" w:hAnsi="Calibri" w:cs="Arial"/>
          <w:color w:val="000000" w:themeColor="text1"/>
          <w:sz w:val="22"/>
          <w:szCs w:val="22"/>
          <w:lang w:val="en-US"/>
        </w:rPr>
        <w:t>Prism® software).</w:t>
      </w:r>
    </w:p>
    <w:p w:rsidR="00F323D7" w:rsidRDefault="00F323D7" w:rsidP="00F323D7">
      <w:pPr>
        <w:rPr>
          <w:lang w:val="en-US"/>
        </w:rPr>
      </w:pPr>
    </w:p>
    <w:p w:rsidR="00F323D7" w:rsidRPr="00F323D7" w:rsidRDefault="00F323D7" w:rsidP="00F323D7">
      <w:pPr>
        <w:pStyle w:val="Titre2"/>
        <w:spacing w:before="0" w:after="120" w:line="480" w:lineRule="auto"/>
        <w:ind w:left="576" w:hanging="576"/>
        <w:jc w:val="both"/>
        <w:rPr>
          <w:rFonts w:ascii="Calibri" w:hAnsi="Calibri"/>
          <w:i w:val="0"/>
          <w:sz w:val="22"/>
          <w:szCs w:val="22"/>
        </w:rPr>
      </w:pPr>
      <w:r w:rsidRPr="00F323D7">
        <w:rPr>
          <w:rFonts w:ascii="Calibri" w:hAnsi="Calibri"/>
          <w:i w:val="0"/>
          <w:sz w:val="22"/>
          <w:szCs w:val="22"/>
        </w:rPr>
        <w:t xml:space="preserve">Femoral Artery Injury </w:t>
      </w:r>
    </w:p>
    <w:p w:rsidR="00F323D7" w:rsidRPr="00365A7B" w:rsidRDefault="00F323D7" w:rsidP="00F323D7">
      <w:pPr>
        <w:spacing w:after="120"/>
        <w:jc w:val="both"/>
        <w:rPr>
          <w:rFonts w:ascii="Calibri" w:hAnsi="Calibri"/>
          <w:sz w:val="22"/>
          <w:szCs w:val="22"/>
        </w:rPr>
      </w:pPr>
      <w:r w:rsidRPr="00365A7B">
        <w:rPr>
          <w:rFonts w:ascii="Calibri" w:hAnsi="Calibri"/>
          <w:sz w:val="22"/>
          <w:szCs w:val="22"/>
        </w:rPr>
        <w:t xml:space="preserve">Intra-luminal wire injury of the left femoral artery was performed as </w:t>
      </w:r>
      <w:r w:rsidRPr="00850191">
        <w:rPr>
          <w:rFonts w:ascii="Calibri" w:hAnsi="Calibri"/>
          <w:sz w:val="22"/>
          <w:szCs w:val="22"/>
        </w:rPr>
        <w:t xml:space="preserve">described </w:t>
      </w:r>
      <w:r>
        <w:rPr>
          <w:rFonts w:ascii="Calibri" w:hAnsi="Calibri"/>
          <w:sz w:val="22"/>
          <w:szCs w:val="22"/>
        </w:rPr>
        <w:fldChar w:fldCharType="begin">
          <w:fldData xml:space="preserve">PEVuZE5vdGU+PENpdGU+PEF1dGhvcj5TYXRhPC9BdXRob3I+PFllYXI+MjAwMDwvWWVhcj48UmVj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</w:fldData>
        </w:fldChar>
      </w:r>
      <w:r w:rsidR="00C85B23">
        <w:rPr>
          <w:rFonts w:ascii="Calibri" w:hAnsi="Calibri"/>
          <w:sz w:val="22"/>
          <w:szCs w:val="22"/>
        </w:rPr>
        <w:instrText xml:space="preserve"> ADDIN EN.CITE </w:instrText>
      </w:r>
      <w:r w:rsidR="00C85B23">
        <w:rPr>
          <w:rFonts w:ascii="Calibri" w:hAnsi="Calibri"/>
          <w:sz w:val="22"/>
          <w:szCs w:val="22"/>
        </w:rPr>
        <w:fldChar w:fldCharType="begin">
          <w:fldData xml:space="preserve">PEVuZE5vdGU+PENpdGU+PEF1dGhvcj5TYXRhPC9BdXRob3I+PFllYXI+MjAwMDwvWWVhcj48UmVj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</w:fldData>
        </w:fldChar>
      </w:r>
      <w:r w:rsidR="00C85B23">
        <w:rPr>
          <w:rFonts w:ascii="Calibri" w:hAnsi="Calibri"/>
          <w:sz w:val="22"/>
          <w:szCs w:val="22"/>
        </w:rPr>
        <w:instrText xml:space="preserve"> ADDIN EN.CITE.DATA </w:instrText>
      </w:r>
      <w:r w:rsidR="00C85B23">
        <w:rPr>
          <w:rFonts w:ascii="Calibri" w:hAnsi="Calibri"/>
          <w:sz w:val="22"/>
          <w:szCs w:val="22"/>
        </w:rPr>
      </w:r>
      <w:r w:rsidR="00C85B23">
        <w:rPr>
          <w:rFonts w:ascii="Calibri" w:hAnsi="Calibri"/>
          <w:sz w:val="22"/>
          <w:szCs w:val="22"/>
        </w:rPr>
        <w:fldChar w:fldCharType="end"/>
      </w:r>
      <w:r>
        <w:rPr>
          <w:rFonts w:ascii="Calibri" w:hAnsi="Calibri"/>
          <w:sz w:val="22"/>
          <w:szCs w:val="22"/>
        </w:rPr>
        <w:fldChar w:fldCharType="separate"/>
      </w:r>
      <w:r w:rsidR="00C85B23" w:rsidRPr="00C85B23">
        <w:rPr>
          <w:rFonts w:ascii="Calibri" w:hAnsi="Calibri"/>
          <w:noProof/>
          <w:sz w:val="22"/>
          <w:szCs w:val="22"/>
          <w:vertAlign w:val="superscript"/>
        </w:rPr>
        <w:t>1</w:t>
      </w:r>
      <w:r>
        <w:rPr>
          <w:rFonts w:ascii="Calibri" w:hAnsi="Calibri"/>
          <w:sz w:val="22"/>
          <w:szCs w:val="22"/>
        </w:rPr>
        <w:fldChar w:fldCharType="end"/>
      </w:r>
      <w:r w:rsidRPr="00857704">
        <w:rPr>
          <w:rFonts w:ascii="Calibri" w:hAnsi="Calibri"/>
          <w:sz w:val="22"/>
          <w:szCs w:val="22"/>
        </w:rPr>
        <w:t>.</w:t>
      </w:r>
      <w:r w:rsidRPr="00365A7B">
        <w:rPr>
          <w:rFonts w:ascii="Calibri" w:hAnsi="Calibri"/>
          <w:sz w:val="22"/>
          <w:szCs w:val="22"/>
        </w:rPr>
        <w:t xml:space="preserve"> Briefly, mice were </w:t>
      </w:r>
      <w:r>
        <w:rPr>
          <w:rFonts w:ascii="Calibri" w:hAnsi="Calibri"/>
          <w:sz w:val="22"/>
          <w:szCs w:val="22"/>
        </w:rPr>
        <w:t>anesthetized</w:t>
      </w:r>
      <w:r w:rsidRPr="00365A7B">
        <w:rPr>
          <w:rFonts w:ascii="Calibri" w:hAnsi="Calibri"/>
          <w:sz w:val="22"/>
          <w:szCs w:val="22"/>
        </w:rPr>
        <w:t xml:space="preserve"> using </w:t>
      </w:r>
      <w:r>
        <w:rPr>
          <w:rFonts w:ascii="Calibri" w:hAnsi="Calibri"/>
          <w:sz w:val="22"/>
          <w:szCs w:val="22"/>
        </w:rPr>
        <w:t>isoflurane inhalation</w:t>
      </w:r>
      <w:r w:rsidRPr="00365A7B">
        <w:rPr>
          <w:rFonts w:ascii="Calibri" w:hAnsi="Calibri"/>
          <w:sz w:val="22"/>
          <w:szCs w:val="22"/>
        </w:rPr>
        <w:t xml:space="preserve">, with buprenorphine administered to ensure </w:t>
      </w:r>
      <w:r>
        <w:rPr>
          <w:rFonts w:ascii="Calibri" w:hAnsi="Calibri"/>
          <w:sz w:val="22"/>
          <w:szCs w:val="22"/>
        </w:rPr>
        <w:t>postoperative</w:t>
      </w:r>
      <w:r w:rsidRPr="00365A7B">
        <w:rPr>
          <w:rFonts w:ascii="Calibri" w:hAnsi="Calibri"/>
          <w:sz w:val="22"/>
          <w:szCs w:val="22"/>
        </w:rPr>
        <w:t xml:space="preserve"> analgesia. A straight-sprung angioplasty guidewire (0.014” diameter) was advanced ~1.5cm into the femoral artery via the popliteal branch. After 30 seconds</w:t>
      </w:r>
      <w:r>
        <w:rPr>
          <w:rFonts w:ascii="Calibri" w:hAnsi="Calibri"/>
          <w:sz w:val="22"/>
          <w:szCs w:val="22"/>
        </w:rPr>
        <w:t>,</w:t>
      </w:r>
      <w:r w:rsidRPr="00365A7B">
        <w:rPr>
          <w:rFonts w:ascii="Calibri" w:hAnsi="Calibri"/>
          <w:sz w:val="22"/>
          <w:szCs w:val="22"/>
        </w:rPr>
        <w:t xml:space="preserve"> the guidewire was withdrawn and the popliteal branch ligated to allow </w:t>
      </w:r>
      <w:r>
        <w:rPr>
          <w:rFonts w:ascii="Calibri" w:hAnsi="Calibri"/>
          <w:sz w:val="22"/>
          <w:szCs w:val="22"/>
        </w:rPr>
        <w:t>reperfusion</w:t>
      </w:r>
      <w:r w:rsidRPr="00365A7B">
        <w:rPr>
          <w:rFonts w:ascii="Calibri" w:hAnsi="Calibri"/>
          <w:sz w:val="22"/>
          <w:szCs w:val="22"/>
        </w:rPr>
        <w:t xml:space="preserve"> of the injured femoral artery. Mice were allowed to recover for 21 days before trans-cardiac perfusion fixation under terminal </w:t>
      </w:r>
      <w:proofErr w:type="spellStart"/>
      <w:r w:rsidRPr="00365A7B">
        <w:rPr>
          <w:rFonts w:ascii="Calibri" w:hAnsi="Calibri"/>
          <w:sz w:val="22"/>
          <w:szCs w:val="22"/>
        </w:rPr>
        <w:t>anesthesia</w:t>
      </w:r>
      <w:proofErr w:type="spellEnd"/>
      <w:r w:rsidRPr="00365A7B">
        <w:rPr>
          <w:rFonts w:ascii="Calibri" w:hAnsi="Calibri"/>
          <w:sz w:val="22"/>
          <w:szCs w:val="22"/>
        </w:rPr>
        <w:t xml:space="preserve"> (pentobarbital). The left femoral arteries were then isolated for analysis.</w:t>
      </w:r>
    </w:p>
    <w:p w:rsidR="00F323D7" w:rsidRPr="00365A7B" w:rsidRDefault="00F323D7" w:rsidP="00F323D7">
      <w:pPr>
        <w:jc w:val="both"/>
        <w:rPr>
          <w:rFonts w:ascii="Calibri" w:hAnsi="Calibri"/>
          <w:sz w:val="22"/>
          <w:szCs w:val="22"/>
        </w:rPr>
      </w:pPr>
      <w:r w:rsidRPr="00365A7B">
        <w:rPr>
          <w:rFonts w:ascii="Calibri" w:hAnsi="Calibri"/>
          <w:sz w:val="22"/>
          <w:szCs w:val="22"/>
        </w:rPr>
        <w:t xml:space="preserve">Femoral arteries were processed for OPT, as described </w:t>
      </w:r>
      <w:r>
        <w:rPr>
          <w:rFonts w:ascii="Calibri" w:hAnsi="Calibri"/>
          <w:sz w:val="22"/>
          <w:szCs w:val="22"/>
        </w:rPr>
        <w:fldChar w:fldCharType="begin">
          <w:fldData xml:space="preserve">PEVuZE5vdGU+PENpdGU+PEF1dGhvcj5LaXJrYnk8L0F1dGhvcj48WWVhcj4yMDExPC9ZZWFyPjxS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</w:fldData>
        </w:fldChar>
      </w:r>
      <w:r w:rsidR="00C85B23">
        <w:rPr>
          <w:rFonts w:ascii="Calibri" w:hAnsi="Calibri"/>
          <w:sz w:val="22"/>
          <w:szCs w:val="22"/>
        </w:rPr>
        <w:instrText xml:space="preserve"> ADDIN EN.CITE </w:instrText>
      </w:r>
      <w:r w:rsidR="00C85B23">
        <w:rPr>
          <w:rFonts w:ascii="Calibri" w:hAnsi="Calibri"/>
          <w:sz w:val="22"/>
          <w:szCs w:val="22"/>
        </w:rPr>
        <w:fldChar w:fldCharType="begin">
          <w:fldData xml:space="preserve">PEVuZE5vdGU+PENpdGU+PEF1dGhvcj5LaXJrYnk8L0F1dGhvcj48WWVhcj4yMDExPC9ZZWFyPjxS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</w:fldData>
        </w:fldChar>
      </w:r>
      <w:r w:rsidR="00C85B23">
        <w:rPr>
          <w:rFonts w:ascii="Calibri" w:hAnsi="Calibri"/>
          <w:sz w:val="22"/>
          <w:szCs w:val="22"/>
        </w:rPr>
        <w:instrText xml:space="preserve"> ADDIN EN.CITE.DATA </w:instrText>
      </w:r>
      <w:r w:rsidR="00C85B23">
        <w:rPr>
          <w:rFonts w:ascii="Calibri" w:hAnsi="Calibri"/>
          <w:sz w:val="22"/>
          <w:szCs w:val="22"/>
        </w:rPr>
      </w:r>
      <w:r w:rsidR="00C85B23">
        <w:rPr>
          <w:rFonts w:ascii="Calibri" w:hAnsi="Calibri"/>
          <w:sz w:val="22"/>
          <w:szCs w:val="22"/>
        </w:rPr>
        <w:fldChar w:fldCharType="end"/>
      </w:r>
      <w:r>
        <w:rPr>
          <w:rFonts w:ascii="Calibri" w:hAnsi="Calibri"/>
          <w:sz w:val="22"/>
          <w:szCs w:val="22"/>
        </w:rPr>
        <w:fldChar w:fldCharType="separate"/>
      </w:r>
      <w:r w:rsidR="00C85B23" w:rsidRPr="00C85B23">
        <w:rPr>
          <w:rFonts w:ascii="Calibri" w:hAnsi="Calibri"/>
          <w:noProof/>
          <w:sz w:val="22"/>
          <w:szCs w:val="22"/>
          <w:vertAlign w:val="superscript"/>
        </w:rPr>
        <w:t>2</w:t>
      </w:r>
      <w:r>
        <w:rPr>
          <w:rFonts w:ascii="Calibri" w:hAnsi="Calibri"/>
          <w:sz w:val="22"/>
          <w:szCs w:val="22"/>
        </w:rPr>
        <w:fldChar w:fldCharType="end"/>
      </w:r>
      <w:r w:rsidRPr="00850191">
        <w:rPr>
          <w:rFonts w:ascii="Calibri" w:hAnsi="Calibri"/>
          <w:sz w:val="22"/>
          <w:szCs w:val="22"/>
        </w:rPr>
        <w:t>.</w:t>
      </w:r>
      <w:r w:rsidRPr="00365A7B">
        <w:rPr>
          <w:rFonts w:ascii="Calibri" w:hAnsi="Calibri"/>
          <w:sz w:val="22"/>
          <w:szCs w:val="22"/>
        </w:rPr>
        <w:t xml:space="preserve"> Each artery segment was briefly washed in </w:t>
      </w:r>
      <w:r>
        <w:rPr>
          <w:rFonts w:ascii="Calibri" w:hAnsi="Calibri"/>
          <w:sz w:val="22"/>
          <w:szCs w:val="22"/>
        </w:rPr>
        <w:t>phosphate-buffered</w:t>
      </w:r>
      <w:r w:rsidRPr="00365A7B">
        <w:rPr>
          <w:rFonts w:ascii="Calibri" w:hAnsi="Calibri"/>
          <w:sz w:val="22"/>
          <w:szCs w:val="22"/>
        </w:rPr>
        <w:t xml:space="preserve"> saline and embedded in an agarose gel column (1.5% agarose in H</w:t>
      </w:r>
      <w:r w:rsidRPr="00365A7B">
        <w:rPr>
          <w:rFonts w:ascii="Calibri" w:hAnsi="Calibri"/>
          <w:sz w:val="22"/>
          <w:szCs w:val="22"/>
          <w:vertAlign w:val="subscript"/>
        </w:rPr>
        <w:t>2</w:t>
      </w:r>
      <w:r w:rsidRPr="00365A7B">
        <w:rPr>
          <w:rFonts w:ascii="Calibri" w:hAnsi="Calibri"/>
          <w:sz w:val="22"/>
          <w:szCs w:val="22"/>
        </w:rPr>
        <w:t xml:space="preserve">O). The samples were dehydrated in methanol, optically cleared with BABB (Benzyl benzoate: Benzyl alcohol, 2:1), and scanned using </w:t>
      </w:r>
      <w:proofErr w:type="spellStart"/>
      <w:r w:rsidRPr="00365A7B">
        <w:rPr>
          <w:rFonts w:ascii="Calibri" w:hAnsi="Calibri"/>
          <w:sz w:val="22"/>
          <w:szCs w:val="22"/>
        </w:rPr>
        <w:t>Bioptonics</w:t>
      </w:r>
      <w:proofErr w:type="spellEnd"/>
      <w:r w:rsidRPr="00365A7B">
        <w:rPr>
          <w:rFonts w:ascii="Calibri" w:hAnsi="Calibri"/>
          <w:sz w:val="22"/>
          <w:szCs w:val="22"/>
        </w:rPr>
        <w:t xml:space="preserve"> 3001 OPT </w:t>
      </w:r>
      <w:proofErr w:type="spellStart"/>
      <w:r w:rsidRPr="00365A7B">
        <w:rPr>
          <w:rFonts w:ascii="Calibri" w:hAnsi="Calibri"/>
          <w:sz w:val="22"/>
          <w:szCs w:val="22"/>
        </w:rPr>
        <w:t>tomograph</w:t>
      </w:r>
      <w:proofErr w:type="spellEnd"/>
      <w:r w:rsidRPr="00365A7B">
        <w:rPr>
          <w:rFonts w:ascii="Calibri" w:hAnsi="Calibri"/>
          <w:sz w:val="22"/>
          <w:szCs w:val="22"/>
        </w:rPr>
        <w:t xml:space="preserve"> (</w:t>
      </w:r>
      <w:proofErr w:type="spellStart"/>
      <w:r w:rsidRPr="00365A7B">
        <w:rPr>
          <w:rFonts w:ascii="Calibri" w:hAnsi="Calibri"/>
          <w:sz w:val="22"/>
          <w:szCs w:val="22"/>
        </w:rPr>
        <w:t>Skyscan</w:t>
      </w:r>
      <w:proofErr w:type="spellEnd"/>
      <w:r w:rsidRPr="00365A7B">
        <w:rPr>
          <w:rFonts w:ascii="Calibri" w:hAnsi="Calibri"/>
          <w:sz w:val="22"/>
          <w:szCs w:val="22"/>
        </w:rPr>
        <w:t xml:space="preserve">, Belgium). To describe the overall neointima formation, longitudinal lesion distribution and total neointimal volume in the first 1.2mm segment of the artery were </w:t>
      </w:r>
      <w:proofErr w:type="spellStart"/>
      <w:r>
        <w:rPr>
          <w:rFonts w:ascii="Calibri" w:hAnsi="Calibri"/>
          <w:sz w:val="22"/>
          <w:szCs w:val="22"/>
        </w:rPr>
        <w:t>analyzed</w:t>
      </w:r>
      <w:proofErr w:type="spellEnd"/>
      <w:r w:rsidRPr="00365A7B">
        <w:rPr>
          <w:rFonts w:ascii="Calibri" w:hAnsi="Calibri"/>
          <w:sz w:val="22"/>
          <w:szCs w:val="22"/>
        </w:rPr>
        <w:t xml:space="preserve"> using </w:t>
      </w:r>
      <w:proofErr w:type="spellStart"/>
      <w:r w:rsidRPr="00365A7B">
        <w:rPr>
          <w:rFonts w:ascii="Calibri" w:hAnsi="Calibri"/>
          <w:sz w:val="22"/>
          <w:szCs w:val="22"/>
        </w:rPr>
        <w:t>CTAn</w:t>
      </w:r>
      <w:proofErr w:type="spellEnd"/>
      <w:r w:rsidRPr="00365A7B">
        <w:rPr>
          <w:rFonts w:ascii="Calibri" w:hAnsi="Calibri"/>
          <w:sz w:val="22"/>
          <w:szCs w:val="22"/>
        </w:rPr>
        <w:t xml:space="preserve"> software (</w:t>
      </w:r>
      <w:proofErr w:type="spellStart"/>
      <w:r w:rsidRPr="00365A7B">
        <w:rPr>
          <w:rFonts w:ascii="Calibri" w:hAnsi="Calibri"/>
          <w:sz w:val="22"/>
          <w:szCs w:val="22"/>
        </w:rPr>
        <w:t>Skyscan</w:t>
      </w:r>
      <w:proofErr w:type="spellEnd"/>
      <w:r w:rsidRPr="00365A7B">
        <w:rPr>
          <w:rFonts w:ascii="Calibri" w:hAnsi="Calibri"/>
          <w:sz w:val="22"/>
          <w:szCs w:val="22"/>
        </w:rPr>
        <w:t xml:space="preserve">, Belgium). Following OPT, the arteries were processed to paraffin for histology, sectioned and stained using the United States trichrome as described </w:t>
      </w:r>
      <w:r>
        <w:rPr>
          <w:rFonts w:ascii="Calibri" w:hAnsi="Calibri"/>
          <w:sz w:val="22"/>
          <w:szCs w:val="22"/>
        </w:rPr>
        <w:fldChar w:fldCharType="begin"/>
      </w:r>
      <w:r w:rsidR="00C85B23">
        <w:rPr>
          <w:rFonts w:ascii="Calibri" w:hAnsi="Calibri"/>
          <w:sz w:val="22"/>
          <w:szCs w:val="22"/>
        </w:rPr>
        <w:instrText xml:space="preserve"> ADDIN EN.CITE &lt;EndNote&gt;&lt;Cite&gt;&lt;Author&gt;Hadoke&lt;/Author&gt;&lt;Year&gt;1995&lt;/Year&gt;&lt;RecNum&gt;3741&lt;/RecNum&gt;&lt;DisplayText&gt;&lt;style face="superscript"&gt;3&lt;/style&gt;&lt;/DisplayText&gt;&lt;record&gt;&lt;rec-number&gt;3741&lt;/rec-number&gt;&lt;foreign-keys&gt;&lt;key app="EN" db-id="zreas5zagfa0zoewdwvvd922rvr5epfzvzt5" timestamp="1667397057"&gt;3741&lt;/key&gt;&lt;/foreign-keys&gt;&lt;ref-type name="Journal Article"&gt;17&lt;/ref-type&gt;&lt;contributors&gt;&lt;authors&gt;&lt;author&gt;Hadoke, P.&lt;/author&gt;&lt;author&gt;Wainwright, C. L.&lt;/author&gt;&lt;author&gt;Wadsworth, R. M.&lt;/author&gt;&lt;author&gt;Butler, K.&lt;/author&gt;&lt;author&gt;Giddings, M. J.&lt;/author&gt;&lt;/authors&gt;&lt;/contributors&gt;&lt;auth-address&gt;Department of Physiology &amp;amp; Pharmacology, University of Strathclyde, Glasgow, Scotland.&lt;/auth-address&gt;&lt;titles&gt;&lt;title&gt;Characterization of the morphological and functional alterations in rabbit subclavian artery subjected to balloon angioplasty&lt;/title&gt;&lt;secondary-title&gt;Coron Artery Dis&lt;/secondary-title&gt;&lt;/titles&gt;&lt;periodical&gt;&lt;full-title&gt;Coron Artery Dis&lt;/full-title&gt;&lt;/periodical&gt;&lt;pages&gt;403-15&lt;/pages&gt;&lt;volume&gt;6&lt;/volume&gt;&lt;number&gt;5&lt;/number&gt;&lt;edition&gt;1995/05/01&lt;/edition&gt;&lt;keywords&gt;&lt;keyword&gt;Angioplasty, Balloon/*adverse effects&lt;/keyword&gt;&lt;keyword&gt;Animals&lt;/keyword&gt;&lt;keyword&gt;Arteriosclerosis/pathology/physiopathology/*therapy&lt;/keyword&gt;&lt;keyword&gt;Cholesterol, Dietary/administration &amp;amp; dosage&lt;/keyword&gt;&lt;keyword&gt;Endothelium, Vascular/pathology/*physiology&lt;/keyword&gt;&lt;keyword&gt;Hypercholesterolemia/etiology/pathology/physiopathology&lt;/keyword&gt;&lt;keyword&gt;Male&lt;/keyword&gt;&lt;keyword&gt;Rabbits&lt;/keyword&gt;&lt;keyword&gt;Subclavian Artery/*injuries/pathology/physiopathology&lt;/keyword&gt;&lt;keyword&gt;Tunica Intima/injuries&lt;/keyword&gt;&lt;/keywords&gt;&lt;dates&gt;&lt;year&gt;1995&lt;/year&gt;&lt;pub-dates&gt;&lt;date&gt;May&lt;/date&gt;&lt;/pub-dates&gt;&lt;/dates&gt;&lt;isbn&gt;0954-6928 (Print)&amp;#xD;0954-6928 (Linking)&lt;/isbn&gt;&lt;accession-num&gt;7655728&lt;/accession-num&gt;&lt;urls&gt;&lt;related-urls&gt;&lt;url&gt;https://www.ncbi.nlm.nih.gov/pubmed/7655728&lt;/url&gt;&lt;/related-urls&gt;&lt;/urls&gt;&lt;electronic-resource-num&gt;10.1097/00019501-199505000-00008&lt;/electronic-resource-num&gt;&lt;/record&gt;&lt;/Cite&gt;&lt;/EndNote&gt;</w:instrText>
      </w:r>
      <w:r>
        <w:rPr>
          <w:rFonts w:ascii="Calibri" w:hAnsi="Calibri"/>
          <w:sz w:val="22"/>
          <w:szCs w:val="22"/>
        </w:rPr>
        <w:fldChar w:fldCharType="separate"/>
      </w:r>
      <w:r w:rsidR="00C85B23" w:rsidRPr="00C85B23">
        <w:rPr>
          <w:rFonts w:ascii="Calibri" w:hAnsi="Calibri"/>
          <w:noProof/>
          <w:sz w:val="22"/>
          <w:szCs w:val="22"/>
          <w:vertAlign w:val="superscript"/>
        </w:rPr>
        <w:t>3</w:t>
      </w:r>
      <w:r>
        <w:rPr>
          <w:rFonts w:ascii="Calibri" w:hAnsi="Calibri"/>
          <w:sz w:val="22"/>
          <w:szCs w:val="22"/>
        </w:rPr>
        <w:fldChar w:fldCharType="end"/>
      </w:r>
      <w:r>
        <w:rPr>
          <w:rFonts w:ascii="Calibri" w:hAnsi="Calibri"/>
          <w:sz w:val="22"/>
          <w:szCs w:val="22"/>
        </w:rPr>
        <w:t>.</w:t>
      </w:r>
    </w:p>
    <w:p w:rsidR="00C85B23" w:rsidRDefault="00C85B23" w:rsidP="00F323D7"/>
    <w:p w:rsidR="00C85B23" w:rsidRDefault="00C85B23" w:rsidP="00F323D7"/>
    <w:p w:rsidR="00C85B23" w:rsidRPr="00C85B23" w:rsidRDefault="00C85B23" w:rsidP="00C85B23">
      <w:pPr>
        <w:pStyle w:val="EndNoteBibliography"/>
        <w:ind w:left="720" w:hanging="720"/>
        <w:rPr>
          <w:noProof/>
        </w:rPr>
      </w:pPr>
      <w:r>
        <w:fldChar w:fldCharType="begin"/>
      </w:r>
      <w:r>
        <w:instrText xml:space="preserve"> ADDIN EN.REFLIST </w:instrText>
      </w:r>
      <w:r>
        <w:fldChar w:fldCharType="separate"/>
      </w:r>
      <w:r w:rsidRPr="00C85B23">
        <w:rPr>
          <w:noProof/>
        </w:rPr>
        <w:t>1.</w:t>
      </w:r>
      <w:r w:rsidRPr="00C85B23">
        <w:rPr>
          <w:noProof/>
        </w:rPr>
        <w:tab/>
        <w:t>Sata, M.</w:t>
      </w:r>
      <w:r w:rsidRPr="00C85B23">
        <w:rPr>
          <w:i/>
          <w:noProof/>
        </w:rPr>
        <w:t xml:space="preserve"> et al.</w:t>
      </w:r>
      <w:r w:rsidRPr="00C85B23">
        <w:rPr>
          <w:noProof/>
        </w:rPr>
        <w:t xml:space="preserve"> A mouse model of vascular injury that induces rapid onset of medial cell apoptosis followed by reproducible neointimal hyperplasia. </w:t>
      </w:r>
      <w:r w:rsidRPr="00C85B23">
        <w:rPr>
          <w:i/>
          <w:noProof/>
        </w:rPr>
        <w:t>J Mol Cell Cardiol</w:t>
      </w:r>
      <w:r w:rsidRPr="00C85B23">
        <w:rPr>
          <w:noProof/>
        </w:rPr>
        <w:t xml:space="preserve"> </w:t>
      </w:r>
      <w:r w:rsidRPr="00C85B23">
        <w:rPr>
          <w:b/>
          <w:noProof/>
        </w:rPr>
        <w:t>32</w:t>
      </w:r>
      <w:r w:rsidRPr="00C85B23">
        <w:rPr>
          <w:noProof/>
        </w:rPr>
        <w:t>, 2097-2104 (2000).</w:t>
      </w:r>
    </w:p>
    <w:p w:rsidR="00C85B23" w:rsidRPr="00C85B23" w:rsidRDefault="00C85B23" w:rsidP="00C85B23">
      <w:pPr>
        <w:pStyle w:val="EndNoteBibliography"/>
        <w:ind w:left="720" w:hanging="720"/>
        <w:rPr>
          <w:noProof/>
        </w:rPr>
      </w:pPr>
      <w:r w:rsidRPr="00C85B23">
        <w:rPr>
          <w:noProof/>
        </w:rPr>
        <w:t>2.</w:t>
      </w:r>
      <w:r w:rsidRPr="00C85B23">
        <w:rPr>
          <w:noProof/>
        </w:rPr>
        <w:tab/>
        <w:t>Kirkby, N.S.</w:t>
      </w:r>
      <w:r w:rsidRPr="00C85B23">
        <w:rPr>
          <w:i/>
          <w:noProof/>
        </w:rPr>
        <w:t xml:space="preserve"> et al.</w:t>
      </w:r>
      <w:r w:rsidRPr="00C85B23">
        <w:rPr>
          <w:noProof/>
        </w:rPr>
        <w:t xml:space="preserve"> Quantitative 3-dimensional imaging of murine neointimal and atherosclerotic lesions by optical projection tomography. </w:t>
      </w:r>
      <w:r w:rsidRPr="00C85B23">
        <w:rPr>
          <w:i/>
          <w:noProof/>
        </w:rPr>
        <w:t>PLoS One</w:t>
      </w:r>
      <w:r w:rsidRPr="00C85B23">
        <w:rPr>
          <w:noProof/>
        </w:rPr>
        <w:t xml:space="preserve"> </w:t>
      </w:r>
      <w:r w:rsidRPr="00C85B23">
        <w:rPr>
          <w:b/>
          <w:noProof/>
        </w:rPr>
        <w:t>6</w:t>
      </w:r>
      <w:r w:rsidRPr="00C85B23">
        <w:rPr>
          <w:noProof/>
        </w:rPr>
        <w:t>, e16906 (2011).</w:t>
      </w:r>
    </w:p>
    <w:p w:rsidR="00C85B23" w:rsidRPr="00C85B23" w:rsidRDefault="00C85B23" w:rsidP="00C85B23">
      <w:pPr>
        <w:pStyle w:val="EndNoteBibliography"/>
        <w:ind w:left="720" w:hanging="720"/>
        <w:rPr>
          <w:noProof/>
        </w:rPr>
      </w:pPr>
      <w:r w:rsidRPr="00C85B23">
        <w:rPr>
          <w:noProof/>
        </w:rPr>
        <w:t>3.</w:t>
      </w:r>
      <w:r w:rsidRPr="00C85B23">
        <w:rPr>
          <w:noProof/>
        </w:rPr>
        <w:tab/>
        <w:t xml:space="preserve">Hadoke, P., Wainwright, C.L., Wadsworth, R.M., Butler, K. &amp; Giddings, M.J. Characterization of the morphological and functional alterations in rabbit subclavian artery subjected to balloon angioplasty. </w:t>
      </w:r>
      <w:r w:rsidRPr="00C85B23">
        <w:rPr>
          <w:i/>
          <w:noProof/>
        </w:rPr>
        <w:t>Coron Artery Dis</w:t>
      </w:r>
      <w:r w:rsidRPr="00C85B23">
        <w:rPr>
          <w:noProof/>
        </w:rPr>
        <w:t xml:space="preserve"> </w:t>
      </w:r>
      <w:r w:rsidRPr="00C85B23">
        <w:rPr>
          <w:b/>
          <w:noProof/>
        </w:rPr>
        <w:t>6</w:t>
      </w:r>
      <w:r w:rsidRPr="00C85B23">
        <w:rPr>
          <w:noProof/>
        </w:rPr>
        <w:t>, 403-415 (1995).</w:t>
      </w:r>
    </w:p>
    <w:p w:rsidR="00F323D7" w:rsidRPr="00F323D7" w:rsidRDefault="00C85B23" w:rsidP="00F323D7">
      <w:r>
        <w:fldChar w:fldCharType="end"/>
      </w:r>
    </w:p>
    <w:sectPr w:rsidR="00F323D7" w:rsidRPr="00F323D7" w:rsidSect="0091175C">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0000500000000020000"/>
    <w:charset w:val="00"/>
    <w:family w:val="auto"/>
    <w:pitch w:val="variable"/>
    <w:sig w:usb0="E00002FF" w:usb1="5000205A"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5D0C07"/>
    <w:multiLevelType w:val="hybridMultilevel"/>
    <w:tmpl w:val="4CA02766"/>
    <w:lvl w:ilvl="0" w:tplc="79367BA0">
      <w:start w:val="1"/>
      <w:numFmt w:val="decimal"/>
      <w:pStyle w:val="Numberedlist"/>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BD96BF8"/>
    <w:multiLevelType w:val="hybridMultilevel"/>
    <w:tmpl w:val="76D2C65A"/>
    <w:lvl w:ilvl="0" w:tplc="0456C424">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NotTrackMove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ature Cell Biolog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reas5zagfa0zoewdwvvd922rvr5epfzvzt5&quot;&gt;My EndNote Library&lt;record-ids&gt;&lt;item&gt;2620&lt;/item&gt;&lt;item&gt;2621&lt;/item&gt;&lt;item&gt;3741&lt;/item&gt;&lt;/record-ids&gt;&lt;/item&gt;&lt;/Libraries&gt;"/>
  </w:docVars>
  <w:rsids>
    <w:rsidRoot w:val="00F323D7"/>
    <w:rsid w:val="00021F57"/>
    <w:rsid w:val="00030D68"/>
    <w:rsid w:val="00032DFD"/>
    <w:rsid w:val="000409A1"/>
    <w:rsid w:val="00041C32"/>
    <w:rsid w:val="00046E2E"/>
    <w:rsid w:val="00053DEB"/>
    <w:rsid w:val="000558AD"/>
    <w:rsid w:val="00071634"/>
    <w:rsid w:val="00074665"/>
    <w:rsid w:val="000762C2"/>
    <w:rsid w:val="00077EC4"/>
    <w:rsid w:val="00087F9A"/>
    <w:rsid w:val="00092B9A"/>
    <w:rsid w:val="000A5917"/>
    <w:rsid w:val="000A661F"/>
    <w:rsid w:val="000B19FF"/>
    <w:rsid w:val="000B22E0"/>
    <w:rsid w:val="000B4258"/>
    <w:rsid w:val="000C163B"/>
    <w:rsid w:val="000C187D"/>
    <w:rsid w:val="000C1893"/>
    <w:rsid w:val="000C1EB8"/>
    <w:rsid w:val="000D2425"/>
    <w:rsid w:val="000D56C1"/>
    <w:rsid w:val="000D7344"/>
    <w:rsid w:val="000E546A"/>
    <w:rsid w:val="000F0B5E"/>
    <w:rsid w:val="000F3AE8"/>
    <w:rsid w:val="00104747"/>
    <w:rsid w:val="00105B4A"/>
    <w:rsid w:val="0011355E"/>
    <w:rsid w:val="00114B02"/>
    <w:rsid w:val="00117597"/>
    <w:rsid w:val="00136AB0"/>
    <w:rsid w:val="001454BC"/>
    <w:rsid w:val="00145C3F"/>
    <w:rsid w:val="001525D6"/>
    <w:rsid w:val="00176707"/>
    <w:rsid w:val="0018419A"/>
    <w:rsid w:val="001972DC"/>
    <w:rsid w:val="001B0826"/>
    <w:rsid w:val="001C5446"/>
    <w:rsid w:val="001D31C1"/>
    <w:rsid w:val="001E084E"/>
    <w:rsid w:val="001E1A85"/>
    <w:rsid w:val="001E211B"/>
    <w:rsid w:val="001E3588"/>
    <w:rsid w:val="001E7138"/>
    <w:rsid w:val="001F2E6E"/>
    <w:rsid w:val="001F5F4F"/>
    <w:rsid w:val="001F66ED"/>
    <w:rsid w:val="00201C9A"/>
    <w:rsid w:val="00206644"/>
    <w:rsid w:val="002101ED"/>
    <w:rsid w:val="00210F9B"/>
    <w:rsid w:val="00215792"/>
    <w:rsid w:val="002248F2"/>
    <w:rsid w:val="00226088"/>
    <w:rsid w:val="00226E9E"/>
    <w:rsid w:val="00226EC0"/>
    <w:rsid w:val="00235065"/>
    <w:rsid w:val="0024118E"/>
    <w:rsid w:val="002475EC"/>
    <w:rsid w:val="002624F1"/>
    <w:rsid w:val="00265FCB"/>
    <w:rsid w:val="0027109F"/>
    <w:rsid w:val="00271314"/>
    <w:rsid w:val="002769A2"/>
    <w:rsid w:val="00283E93"/>
    <w:rsid w:val="00284E04"/>
    <w:rsid w:val="00293E54"/>
    <w:rsid w:val="00296A85"/>
    <w:rsid w:val="002A77CD"/>
    <w:rsid w:val="002A7EB4"/>
    <w:rsid w:val="002C3104"/>
    <w:rsid w:val="002C608D"/>
    <w:rsid w:val="002C63BB"/>
    <w:rsid w:val="002C67A1"/>
    <w:rsid w:val="002C6DAA"/>
    <w:rsid w:val="002D1013"/>
    <w:rsid w:val="002D1E19"/>
    <w:rsid w:val="002D5212"/>
    <w:rsid w:val="002D744E"/>
    <w:rsid w:val="002E2B9B"/>
    <w:rsid w:val="002E4B4A"/>
    <w:rsid w:val="002E61AC"/>
    <w:rsid w:val="002E71C4"/>
    <w:rsid w:val="002F10E1"/>
    <w:rsid w:val="002F4057"/>
    <w:rsid w:val="002F45BC"/>
    <w:rsid w:val="002F4B89"/>
    <w:rsid w:val="00306D7A"/>
    <w:rsid w:val="003117E3"/>
    <w:rsid w:val="003121F4"/>
    <w:rsid w:val="00313323"/>
    <w:rsid w:val="00315C3A"/>
    <w:rsid w:val="00325567"/>
    <w:rsid w:val="00326216"/>
    <w:rsid w:val="00342C69"/>
    <w:rsid w:val="003437BF"/>
    <w:rsid w:val="00353E0D"/>
    <w:rsid w:val="00356A8D"/>
    <w:rsid w:val="0037345A"/>
    <w:rsid w:val="0038038C"/>
    <w:rsid w:val="00387413"/>
    <w:rsid w:val="003909A9"/>
    <w:rsid w:val="00392115"/>
    <w:rsid w:val="0039316C"/>
    <w:rsid w:val="00394425"/>
    <w:rsid w:val="00397E2A"/>
    <w:rsid w:val="003A2821"/>
    <w:rsid w:val="003A2C41"/>
    <w:rsid w:val="003A424F"/>
    <w:rsid w:val="003A7F1A"/>
    <w:rsid w:val="003B2F69"/>
    <w:rsid w:val="003C4570"/>
    <w:rsid w:val="003D189F"/>
    <w:rsid w:val="003D3B82"/>
    <w:rsid w:val="003D48FF"/>
    <w:rsid w:val="003E1177"/>
    <w:rsid w:val="003E260F"/>
    <w:rsid w:val="003E3D72"/>
    <w:rsid w:val="003E41D2"/>
    <w:rsid w:val="003E47BD"/>
    <w:rsid w:val="003F1386"/>
    <w:rsid w:val="003F163E"/>
    <w:rsid w:val="003F761D"/>
    <w:rsid w:val="00401727"/>
    <w:rsid w:val="00414BF5"/>
    <w:rsid w:val="0041510B"/>
    <w:rsid w:val="00417426"/>
    <w:rsid w:val="00422073"/>
    <w:rsid w:val="0042697F"/>
    <w:rsid w:val="00426CAB"/>
    <w:rsid w:val="00430E47"/>
    <w:rsid w:val="00433522"/>
    <w:rsid w:val="00436732"/>
    <w:rsid w:val="004411D1"/>
    <w:rsid w:val="00445D36"/>
    <w:rsid w:val="00447B39"/>
    <w:rsid w:val="00451643"/>
    <w:rsid w:val="00456DA4"/>
    <w:rsid w:val="00460548"/>
    <w:rsid w:val="00460C5C"/>
    <w:rsid w:val="00466D7C"/>
    <w:rsid w:val="004726C3"/>
    <w:rsid w:val="00477313"/>
    <w:rsid w:val="00481D72"/>
    <w:rsid w:val="00484C84"/>
    <w:rsid w:val="0049750A"/>
    <w:rsid w:val="004A2676"/>
    <w:rsid w:val="004B06A9"/>
    <w:rsid w:val="004B0761"/>
    <w:rsid w:val="004B0F63"/>
    <w:rsid w:val="004B4699"/>
    <w:rsid w:val="004B4D1B"/>
    <w:rsid w:val="004B505F"/>
    <w:rsid w:val="004C19B0"/>
    <w:rsid w:val="004C4026"/>
    <w:rsid w:val="004C4204"/>
    <w:rsid w:val="004D4CF7"/>
    <w:rsid w:val="004D5F24"/>
    <w:rsid w:val="004E0981"/>
    <w:rsid w:val="004E13FA"/>
    <w:rsid w:val="004F3DBC"/>
    <w:rsid w:val="00503987"/>
    <w:rsid w:val="00514CEB"/>
    <w:rsid w:val="00520E13"/>
    <w:rsid w:val="005226B4"/>
    <w:rsid w:val="00523D8B"/>
    <w:rsid w:val="00525856"/>
    <w:rsid w:val="00525970"/>
    <w:rsid w:val="00530526"/>
    <w:rsid w:val="0053371E"/>
    <w:rsid w:val="005365A6"/>
    <w:rsid w:val="00542967"/>
    <w:rsid w:val="00554794"/>
    <w:rsid w:val="00555C7E"/>
    <w:rsid w:val="00556A8B"/>
    <w:rsid w:val="00557ACE"/>
    <w:rsid w:val="005616C8"/>
    <w:rsid w:val="00564148"/>
    <w:rsid w:val="00564196"/>
    <w:rsid w:val="005734D9"/>
    <w:rsid w:val="00574063"/>
    <w:rsid w:val="00575DCC"/>
    <w:rsid w:val="0057643A"/>
    <w:rsid w:val="00582A05"/>
    <w:rsid w:val="00583C6B"/>
    <w:rsid w:val="005925BC"/>
    <w:rsid w:val="005941D9"/>
    <w:rsid w:val="005A2756"/>
    <w:rsid w:val="005A5BC8"/>
    <w:rsid w:val="005A6FC1"/>
    <w:rsid w:val="005D5C6F"/>
    <w:rsid w:val="005E1380"/>
    <w:rsid w:val="005E2526"/>
    <w:rsid w:val="005F264A"/>
    <w:rsid w:val="00610F2A"/>
    <w:rsid w:val="00617FBA"/>
    <w:rsid w:val="0062489E"/>
    <w:rsid w:val="00627736"/>
    <w:rsid w:val="00631E29"/>
    <w:rsid w:val="006408ED"/>
    <w:rsid w:val="006419EC"/>
    <w:rsid w:val="00654961"/>
    <w:rsid w:val="006615C3"/>
    <w:rsid w:val="00671609"/>
    <w:rsid w:val="00671DAC"/>
    <w:rsid w:val="00680C43"/>
    <w:rsid w:val="00685EE1"/>
    <w:rsid w:val="006906DE"/>
    <w:rsid w:val="0069368D"/>
    <w:rsid w:val="006A0658"/>
    <w:rsid w:val="006A06ED"/>
    <w:rsid w:val="006A4610"/>
    <w:rsid w:val="006A4897"/>
    <w:rsid w:val="006A4AB0"/>
    <w:rsid w:val="006A5918"/>
    <w:rsid w:val="006C431C"/>
    <w:rsid w:val="006C48C8"/>
    <w:rsid w:val="006C4AAB"/>
    <w:rsid w:val="006C4D3C"/>
    <w:rsid w:val="006D4479"/>
    <w:rsid w:val="006D53E3"/>
    <w:rsid w:val="006D67FB"/>
    <w:rsid w:val="006D7014"/>
    <w:rsid w:val="006D7F7C"/>
    <w:rsid w:val="006E7D82"/>
    <w:rsid w:val="006F49E7"/>
    <w:rsid w:val="006F4D8F"/>
    <w:rsid w:val="00711CFA"/>
    <w:rsid w:val="00714CBB"/>
    <w:rsid w:val="00723A3A"/>
    <w:rsid w:val="00730F39"/>
    <w:rsid w:val="007339B2"/>
    <w:rsid w:val="00737A62"/>
    <w:rsid w:val="00743771"/>
    <w:rsid w:val="007478BC"/>
    <w:rsid w:val="007500E3"/>
    <w:rsid w:val="00752E91"/>
    <w:rsid w:val="007607AB"/>
    <w:rsid w:val="00775252"/>
    <w:rsid w:val="00776C55"/>
    <w:rsid w:val="007814C6"/>
    <w:rsid w:val="00781CA8"/>
    <w:rsid w:val="00782343"/>
    <w:rsid w:val="00785A6C"/>
    <w:rsid w:val="007918AE"/>
    <w:rsid w:val="007952BB"/>
    <w:rsid w:val="007975A8"/>
    <w:rsid w:val="007B0F64"/>
    <w:rsid w:val="007C30AE"/>
    <w:rsid w:val="007D4968"/>
    <w:rsid w:val="007D5205"/>
    <w:rsid w:val="007F1931"/>
    <w:rsid w:val="007F534A"/>
    <w:rsid w:val="00800892"/>
    <w:rsid w:val="008056ED"/>
    <w:rsid w:val="00807732"/>
    <w:rsid w:val="008117F4"/>
    <w:rsid w:val="00811874"/>
    <w:rsid w:val="0081415D"/>
    <w:rsid w:val="00814CBF"/>
    <w:rsid w:val="008155AE"/>
    <w:rsid w:val="00816E76"/>
    <w:rsid w:val="00820FD7"/>
    <w:rsid w:val="00821B26"/>
    <w:rsid w:val="00824C9E"/>
    <w:rsid w:val="00824F8C"/>
    <w:rsid w:val="00827FD6"/>
    <w:rsid w:val="00832E9D"/>
    <w:rsid w:val="00833AAC"/>
    <w:rsid w:val="00837455"/>
    <w:rsid w:val="00837A5C"/>
    <w:rsid w:val="008522D0"/>
    <w:rsid w:val="00871CBD"/>
    <w:rsid w:val="00883CE0"/>
    <w:rsid w:val="00890CAF"/>
    <w:rsid w:val="008A097D"/>
    <w:rsid w:val="008A57CB"/>
    <w:rsid w:val="008A7788"/>
    <w:rsid w:val="008B44D2"/>
    <w:rsid w:val="008C749D"/>
    <w:rsid w:val="008D02AE"/>
    <w:rsid w:val="008D11B3"/>
    <w:rsid w:val="008D1C7D"/>
    <w:rsid w:val="008D285F"/>
    <w:rsid w:val="008E0889"/>
    <w:rsid w:val="008E1BB7"/>
    <w:rsid w:val="008E3482"/>
    <w:rsid w:val="008E361F"/>
    <w:rsid w:val="008E5F83"/>
    <w:rsid w:val="008F4EA5"/>
    <w:rsid w:val="008F6F46"/>
    <w:rsid w:val="00903F8F"/>
    <w:rsid w:val="00907641"/>
    <w:rsid w:val="0091175C"/>
    <w:rsid w:val="00921B7C"/>
    <w:rsid w:val="00924AB1"/>
    <w:rsid w:val="00926E69"/>
    <w:rsid w:val="00932682"/>
    <w:rsid w:val="00940905"/>
    <w:rsid w:val="009457B3"/>
    <w:rsid w:val="00947E0C"/>
    <w:rsid w:val="00950516"/>
    <w:rsid w:val="00950901"/>
    <w:rsid w:val="0095240C"/>
    <w:rsid w:val="00953DD5"/>
    <w:rsid w:val="009602C8"/>
    <w:rsid w:val="00964A9D"/>
    <w:rsid w:val="00967781"/>
    <w:rsid w:val="00972F29"/>
    <w:rsid w:val="00980058"/>
    <w:rsid w:val="0098708B"/>
    <w:rsid w:val="0099055E"/>
    <w:rsid w:val="009912B1"/>
    <w:rsid w:val="009A09AA"/>
    <w:rsid w:val="009A705F"/>
    <w:rsid w:val="009B1252"/>
    <w:rsid w:val="009B6569"/>
    <w:rsid w:val="009C6FF4"/>
    <w:rsid w:val="009D0DBA"/>
    <w:rsid w:val="009D5538"/>
    <w:rsid w:val="009E3B78"/>
    <w:rsid w:val="009E4517"/>
    <w:rsid w:val="00A0213D"/>
    <w:rsid w:val="00A0579D"/>
    <w:rsid w:val="00A05FC9"/>
    <w:rsid w:val="00A06783"/>
    <w:rsid w:val="00A267C7"/>
    <w:rsid w:val="00A27822"/>
    <w:rsid w:val="00A3041B"/>
    <w:rsid w:val="00A30635"/>
    <w:rsid w:val="00A3099B"/>
    <w:rsid w:val="00A34DA2"/>
    <w:rsid w:val="00A37254"/>
    <w:rsid w:val="00A406EF"/>
    <w:rsid w:val="00A51A14"/>
    <w:rsid w:val="00A605ED"/>
    <w:rsid w:val="00A63D6E"/>
    <w:rsid w:val="00A82115"/>
    <w:rsid w:val="00AA149D"/>
    <w:rsid w:val="00AA15CB"/>
    <w:rsid w:val="00AA1F84"/>
    <w:rsid w:val="00AA7755"/>
    <w:rsid w:val="00AB21F2"/>
    <w:rsid w:val="00AB2A4F"/>
    <w:rsid w:val="00AC26CA"/>
    <w:rsid w:val="00AC2A5E"/>
    <w:rsid w:val="00AC2DC4"/>
    <w:rsid w:val="00AC47A8"/>
    <w:rsid w:val="00AC4D7D"/>
    <w:rsid w:val="00AD1BA3"/>
    <w:rsid w:val="00AD2DCA"/>
    <w:rsid w:val="00AD7E1E"/>
    <w:rsid w:val="00AE0CF9"/>
    <w:rsid w:val="00AE1A18"/>
    <w:rsid w:val="00AE1C6B"/>
    <w:rsid w:val="00AE548E"/>
    <w:rsid w:val="00AF2520"/>
    <w:rsid w:val="00AF4E30"/>
    <w:rsid w:val="00AF6D86"/>
    <w:rsid w:val="00AF74BC"/>
    <w:rsid w:val="00B03850"/>
    <w:rsid w:val="00B06E3A"/>
    <w:rsid w:val="00B1608D"/>
    <w:rsid w:val="00B31CCC"/>
    <w:rsid w:val="00B332B1"/>
    <w:rsid w:val="00B4183F"/>
    <w:rsid w:val="00B46623"/>
    <w:rsid w:val="00B70833"/>
    <w:rsid w:val="00B72390"/>
    <w:rsid w:val="00B81CA5"/>
    <w:rsid w:val="00B8560F"/>
    <w:rsid w:val="00B937F8"/>
    <w:rsid w:val="00B97455"/>
    <w:rsid w:val="00BA3619"/>
    <w:rsid w:val="00BB2DEF"/>
    <w:rsid w:val="00BB649B"/>
    <w:rsid w:val="00BB6EB4"/>
    <w:rsid w:val="00BC04F5"/>
    <w:rsid w:val="00BC33C4"/>
    <w:rsid w:val="00BD004E"/>
    <w:rsid w:val="00BD6ED5"/>
    <w:rsid w:val="00BE3B57"/>
    <w:rsid w:val="00BE6455"/>
    <w:rsid w:val="00BE65EA"/>
    <w:rsid w:val="00BE7C66"/>
    <w:rsid w:val="00BF1DBE"/>
    <w:rsid w:val="00C066DC"/>
    <w:rsid w:val="00C11EBF"/>
    <w:rsid w:val="00C15BFC"/>
    <w:rsid w:val="00C160FB"/>
    <w:rsid w:val="00C22811"/>
    <w:rsid w:val="00C26AA7"/>
    <w:rsid w:val="00C2738C"/>
    <w:rsid w:val="00C355ED"/>
    <w:rsid w:val="00C47B7E"/>
    <w:rsid w:val="00C54B31"/>
    <w:rsid w:val="00C54E03"/>
    <w:rsid w:val="00C564C2"/>
    <w:rsid w:val="00C65B9D"/>
    <w:rsid w:val="00C7047F"/>
    <w:rsid w:val="00C85B23"/>
    <w:rsid w:val="00C933A0"/>
    <w:rsid w:val="00CA00A7"/>
    <w:rsid w:val="00CA44E3"/>
    <w:rsid w:val="00CB1C39"/>
    <w:rsid w:val="00CB3DE7"/>
    <w:rsid w:val="00CC3E68"/>
    <w:rsid w:val="00CC5E9B"/>
    <w:rsid w:val="00CD38BF"/>
    <w:rsid w:val="00CF441A"/>
    <w:rsid w:val="00D0044B"/>
    <w:rsid w:val="00D0565B"/>
    <w:rsid w:val="00D06403"/>
    <w:rsid w:val="00D13266"/>
    <w:rsid w:val="00D152D9"/>
    <w:rsid w:val="00D16AF4"/>
    <w:rsid w:val="00D20B5F"/>
    <w:rsid w:val="00D25564"/>
    <w:rsid w:val="00D2594E"/>
    <w:rsid w:val="00D37DDC"/>
    <w:rsid w:val="00D37F44"/>
    <w:rsid w:val="00D40DE4"/>
    <w:rsid w:val="00D42EDF"/>
    <w:rsid w:val="00D53E3F"/>
    <w:rsid w:val="00D53F09"/>
    <w:rsid w:val="00D60AE8"/>
    <w:rsid w:val="00D63559"/>
    <w:rsid w:val="00D64531"/>
    <w:rsid w:val="00D679E0"/>
    <w:rsid w:val="00D7057F"/>
    <w:rsid w:val="00D7273D"/>
    <w:rsid w:val="00D75750"/>
    <w:rsid w:val="00D75F25"/>
    <w:rsid w:val="00D76388"/>
    <w:rsid w:val="00D8077F"/>
    <w:rsid w:val="00D912E3"/>
    <w:rsid w:val="00D917CE"/>
    <w:rsid w:val="00D91B65"/>
    <w:rsid w:val="00D95445"/>
    <w:rsid w:val="00DB20B3"/>
    <w:rsid w:val="00DB7CD9"/>
    <w:rsid w:val="00DC6C47"/>
    <w:rsid w:val="00DD2526"/>
    <w:rsid w:val="00DD7A92"/>
    <w:rsid w:val="00DE1005"/>
    <w:rsid w:val="00DE5EAC"/>
    <w:rsid w:val="00DF69D0"/>
    <w:rsid w:val="00E10BF1"/>
    <w:rsid w:val="00E11C83"/>
    <w:rsid w:val="00E15286"/>
    <w:rsid w:val="00E17A94"/>
    <w:rsid w:val="00E2304D"/>
    <w:rsid w:val="00E32ADD"/>
    <w:rsid w:val="00E3384B"/>
    <w:rsid w:val="00E34CCB"/>
    <w:rsid w:val="00E435D4"/>
    <w:rsid w:val="00E56579"/>
    <w:rsid w:val="00E602DA"/>
    <w:rsid w:val="00E60943"/>
    <w:rsid w:val="00E625DB"/>
    <w:rsid w:val="00E63897"/>
    <w:rsid w:val="00E64EB0"/>
    <w:rsid w:val="00E65B92"/>
    <w:rsid w:val="00E71D3F"/>
    <w:rsid w:val="00E7252E"/>
    <w:rsid w:val="00E76ECE"/>
    <w:rsid w:val="00E814E9"/>
    <w:rsid w:val="00E81EB3"/>
    <w:rsid w:val="00E8263E"/>
    <w:rsid w:val="00E86C72"/>
    <w:rsid w:val="00E96FB5"/>
    <w:rsid w:val="00EA1CE1"/>
    <w:rsid w:val="00EA4CA3"/>
    <w:rsid w:val="00EA6CAD"/>
    <w:rsid w:val="00EA6FA4"/>
    <w:rsid w:val="00EA7747"/>
    <w:rsid w:val="00EB55F4"/>
    <w:rsid w:val="00EB56AB"/>
    <w:rsid w:val="00EB6D0E"/>
    <w:rsid w:val="00EB7EC5"/>
    <w:rsid w:val="00EC5FC6"/>
    <w:rsid w:val="00ED27B0"/>
    <w:rsid w:val="00ED3BB0"/>
    <w:rsid w:val="00ED3E02"/>
    <w:rsid w:val="00EF03A4"/>
    <w:rsid w:val="00EF5D94"/>
    <w:rsid w:val="00EF7F4D"/>
    <w:rsid w:val="00F009AC"/>
    <w:rsid w:val="00F0391A"/>
    <w:rsid w:val="00F323D7"/>
    <w:rsid w:val="00F4732E"/>
    <w:rsid w:val="00F62344"/>
    <w:rsid w:val="00F6643B"/>
    <w:rsid w:val="00F831E2"/>
    <w:rsid w:val="00FA0268"/>
    <w:rsid w:val="00FA2D17"/>
    <w:rsid w:val="00FA416F"/>
    <w:rsid w:val="00FB1D3B"/>
    <w:rsid w:val="00FB2228"/>
    <w:rsid w:val="00FC4CE4"/>
    <w:rsid w:val="00FC4E9E"/>
    <w:rsid w:val="00FC5000"/>
    <w:rsid w:val="00FD1FD9"/>
    <w:rsid w:val="00FD7292"/>
    <w:rsid w:val="00FE0F65"/>
    <w:rsid w:val="00FE45F2"/>
    <w:rsid w:val="00FE79FE"/>
    <w:rsid w:val="00FF4D92"/>
    <w:rsid w:val="00FF66B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48347AC9"/>
  <w15:chartTrackingRefBased/>
  <w15:docId w15:val="{E96C0E56-56B2-574E-94CF-A60C77BF5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323D7"/>
    <w:pPr>
      <w:spacing w:line="480" w:lineRule="auto"/>
    </w:pPr>
    <w:rPr>
      <w:rFonts w:ascii="Times New Roman" w:hAnsi="Times New Roman" w:cs="Times New Roman"/>
      <w:lang w:val="en-GB" w:eastAsia="en-GB"/>
    </w:rPr>
  </w:style>
  <w:style w:type="paragraph" w:styleId="Titre1">
    <w:name w:val="heading 1"/>
    <w:basedOn w:val="Normal"/>
    <w:next w:val="Paragraph"/>
    <w:link w:val="Titre1Car"/>
    <w:qFormat/>
    <w:rsid w:val="002101ED"/>
    <w:pPr>
      <w:keepNext/>
      <w:spacing w:before="360" w:after="60" w:line="360" w:lineRule="auto"/>
      <w:ind w:right="567"/>
      <w:contextualSpacing/>
      <w:outlineLvl w:val="0"/>
    </w:pPr>
    <w:rPr>
      <w:rFonts w:cs="Arial"/>
      <w:b/>
      <w:bCs/>
      <w:kern w:val="32"/>
      <w:szCs w:val="32"/>
    </w:rPr>
  </w:style>
  <w:style w:type="paragraph" w:styleId="Titre2">
    <w:name w:val="heading 2"/>
    <w:basedOn w:val="Normal"/>
    <w:next w:val="Paragraph"/>
    <w:link w:val="Titre2Car"/>
    <w:qFormat/>
    <w:rsid w:val="002101ED"/>
    <w:pPr>
      <w:keepNext/>
      <w:spacing w:before="360" w:after="60" w:line="360" w:lineRule="auto"/>
      <w:ind w:right="567"/>
      <w:contextualSpacing/>
      <w:outlineLvl w:val="1"/>
    </w:pPr>
    <w:rPr>
      <w:rFonts w:cs="Arial"/>
      <w:b/>
      <w:bCs/>
      <w:i/>
      <w:iCs/>
      <w:szCs w:val="28"/>
    </w:rPr>
  </w:style>
  <w:style w:type="paragraph" w:styleId="Titre3">
    <w:name w:val="heading 3"/>
    <w:basedOn w:val="Normal"/>
    <w:next w:val="Paragraph"/>
    <w:link w:val="Titre3Car"/>
    <w:qFormat/>
    <w:rsid w:val="002101ED"/>
    <w:pPr>
      <w:keepNext/>
      <w:spacing w:before="360" w:after="60" w:line="360" w:lineRule="auto"/>
      <w:ind w:right="567"/>
      <w:contextualSpacing/>
      <w:outlineLvl w:val="2"/>
    </w:pPr>
    <w:rPr>
      <w:rFonts w:cs="Arial"/>
      <w:bCs/>
      <w:i/>
      <w:szCs w:val="26"/>
    </w:rPr>
  </w:style>
  <w:style w:type="paragraph" w:styleId="Titre4">
    <w:name w:val="heading 4"/>
    <w:basedOn w:val="Paragraph"/>
    <w:next w:val="Newparagraph"/>
    <w:link w:val="Titre4Car"/>
    <w:rsid w:val="002101ED"/>
    <w:pPr>
      <w:spacing w:before="360"/>
      <w:outlineLvl w:val="3"/>
    </w:pPr>
    <w:rPr>
      <w:bCs/>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Abstract">
    <w:name w:val="Abstract"/>
    <w:basedOn w:val="Normal"/>
    <w:next w:val="Normal"/>
    <w:qFormat/>
    <w:rsid w:val="002101ED"/>
    <w:pPr>
      <w:spacing w:before="360" w:after="300" w:line="360" w:lineRule="auto"/>
      <w:ind w:left="720" w:right="567"/>
    </w:pPr>
    <w:rPr>
      <w:sz w:val="22"/>
    </w:rPr>
  </w:style>
  <w:style w:type="paragraph" w:customStyle="1" w:styleId="Acknowledgements">
    <w:name w:val="Acknowledgements"/>
    <w:basedOn w:val="Normal"/>
    <w:next w:val="Normal"/>
    <w:qFormat/>
    <w:rsid w:val="002101ED"/>
    <w:pPr>
      <w:spacing w:before="120" w:line="360" w:lineRule="auto"/>
    </w:pPr>
    <w:rPr>
      <w:sz w:val="22"/>
    </w:rPr>
  </w:style>
  <w:style w:type="paragraph" w:customStyle="1" w:styleId="Affiliation">
    <w:name w:val="Affiliation"/>
    <w:basedOn w:val="Normal"/>
    <w:qFormat/>
    <w:rsid w:val="002101ED"/>
    <w:pPr>
      <w:spacing w:before="240" w:line="360" w:lineRule="auto"/>
    </w:pPr>
    <w:rPr>
      <w:i/>
    </w:rPr>
  </w:style>
  <w:style w:type="character" w:styleId="Appeldenotedefin">
    <w:name w:val="endnote reference"/>
    <w:basedOn w:val="Policepardfaut"/>
    <w:rsid w:val="002101ED"/>
    <w:rPr>
      <w:vertAlign w:val="superscript"/>
    </w:rPr>
  </w:style>
  <w:style w:type="character" w:styleId="Appelnotedebasdep">
    <w:name w:val="footnote reference"/>
    <w:basedOn w:val="Policepardfaut"/>
    <w:rsid w:val="002101ED"/>
    <w:rPr>
      <w:vertAlign w:val="superscript"/>
    </w:rPr>
  </w:style>
  <w:style w:type="paragraph" w:customStyle="1" w:styleId="Articletitle">
    <w:name w:val="Article title"/>
    <w:basedOn w:val="Normal"/>
    <w:next w:val="Normal"/>
    <w:qFormat/>
    <w:rsid w:val="002101ED"/>
    <w:pPr>
      <w:spacing w:after="120" w:line="360" w:lineRule="auto"/>
    </w:pPr>
    <w:rPr>
      <w:b/>
      <w:sz w:val="28"/>
    </w:rPr>
  </w:style>
  <w:style w:type="paragraph" w:customStyle="1" w:styleId="Authornames">
    <w:name w:val="Author names"/>
    <w:basedOn w:val="Normal"/>
    <w:next w:val="Normal"/>
    <w:qFormat/>
    <w:rsid w:val="002101ED"/>
    <w:pPr>
      <w:spacing w:before="240" w:line="360" w:lineRule="auto"/>
    </w:pPr>
    <w:rPr>
      <w:sz w:val="28"/>
    </w:rPr>
  </w:style>
  <w:style w:type="paragraph" w:customStyle="1" w:styleId="Paragraph">
    <w:name w:val="Paragraph"/>
    <w:basedOn w:val="Normal"/>
    <w:next w:val="Normal"/>
    <w:qFormat/>
    <w:rsid w:val="002101ED"/>
    <w:pPr>
      <w:widowControl w:val="0"/>
      <w:spacing w:before="240"/>
    </w:pPr>
  </w:style>
  <w:style w:type="paragraph" w:customStyle="1" w:styleId="Bulletedlist">
    <w:name w:val="Bulleted list"/>
    <w:basedOn w:val="Paragraph"/>
    <w:next w:val="Paragraph"/>
    <w:qFormat/>
    <w:rsid w:val="002101ED"/>
    <w:pPr>
      <w:widowControl/>
      <w:numPr>
        <w:numId w:val="1"/>
      </w:numPr>
      <w:spacing w:after="240"/>
      <w:contextualSpacing/>
    </w:pPr>
  </w:style>
  <w:style w:type="paragraph" w:customStyle="1" w:styleId="Correspondencedetails">
    <w:name w:val="Correspondence details"/>
    <w:basedOn w:val="Normal"/>
    <w:qFormat/>
    <w:rsid w:val="002101ED"/>
    <w:pPr>
      <w:spacing w:before="240" w:line="360" w:lineRule="auto"/>
    </w:pPr>
  </w:style>
  <w:style w:type="paragraph" w:customStyle="1" w:styleId="Displayedequation">
    <w:name w:val="Displayed equation"/>
    <w:basedOn w:val="Normal"/>
    <w:next w:val="Paragraph"/>
    <w:qFormat/>
    <w:rsid w:val="002101ED"/>
    <w:pPr>
      <w:tabs>
        <w:tab w:val="center" w:pos="4253"/>
        <w:tab w:val="right" w:pos="8222"/>
      </w:tabs>
      <w:spacing w:before="240" w:after="240"/>
      <w:jc w:val="center"/>
    </w:pPr>
  </w:style>
  <w:style w:type="paragraph" w:customStyle="1" w:styleId="Displayedquotation">
    <w:name w:val="Displayed quotation"/>
    <w:basedOn w:val="Normal"/>
    <w:qFormat/>
    <w:rsid w:val="002101ED"/>
    <w:pPr>
      <w:tabs>
        <w:tab w:val="left" w:pos="1077"/>
        <w:tab w:val="left" w:pos="1440"/>
        <w:tab w:val="left" w:pos="1797"/>
        <w:tab w:val="left" w:pos="2155"/>
        <w:tab w:val="left" w:pos="2512"/>
      </w:tabs>
      <w:spacing w:before="240" w:after="360" w:line="360" w:lineRule="auto"/>
      <w:ind w:left="709" w:right="425"/>
      <w:contextualSpacing/>
    </w:pPr>
    <w:rPr>
      <w:sz w:val="22"/>
    </w:rPr>
  </w:style>
  <w:style w:type="paragraph" w:styleId="En-tte">
    <w:name w:val="header"/>
    <w:basedOn w:val="Normal"/>
    <w:link w:val="En-tteCar"/>
    <w:rsid w:val="002101ED"/>
    <w:pPr>
      <w:tabs>
        <w:tab w:val="center" w:pos="4320"/>
        <w:tab w:val="right" w:pos="8640"/>
      </w:tabs>
      <w:spacing w:after="120" w:line="240" w:lineRule="auto"/>
      <w:contextualSpacing/>
    </w:pPr>
  </w:style>
  <w:style w:type="character" w:customStyle="1" w:styleId="En-tteCar">
    <w:name w:val="En-tête Car"/>
    <w:basedOn w:val="Policepardfaut"/>
    <w:link w:val="En-tte"/>
    <w:rsid w:val="002101ED"/>
    <w:rPr>
      <w:rFonts w:ascii="Times New Roman" w:eastAsia="Times New Roman" w:hAnsi="Times New Roman" w:cs="Times New Roman"/>
      <w:lang w:val="en-GB" w:eastAsia="en-GB"/>
    </w:rPr>
  </w:style>
  <w:style w:type="paragraph" w:customStyle="1" w:styleId="Figurecaption">
    <w:name w:val="Figure caption"/>
    <w:basedOn w:val="Normal"/>
    <w:next w:val="Normal"/>
    <w:qFormat/>
    <w:rsid w:val="002101ED"/>
    <w:pPr>
      <w:spacing w:before="240" w:line="360" w:lineRule="auto"/>
    </w:pPr>
  </w:style>
  <w:style w:type="paragraph" w:customStyle="1" w:styleId="Footnotes">
    <w:name w:val="Footnotes"/>
    <w:basedOn w:val="Normal"/>
    <w:qFormat/>
    <w:rsid w:val="002101ED"/>
    <w:pPr>
      <w:spacing w:before="120" w:line="360" w:lineRule="auto"/>
      <w:ind w:left="482" w:hanging="482"/>
      <w:contextualSpacing/>
    </w:pPr>
    <w:rPr>
      <w:sz w:val="22"/>
    </w:rPr>
  </w:style>
  <w:style w:type="paragraph" w:customStyle="1" w:styleId="Heading4Paragraph">
    <w:name w:val="Heading 4 + Paragraph"/>
    <w:basedOn w:val="Paragraph"/>
    <w:next w:val="Normal"/>
    <w:qFormat/>
    <w:rsid w:val="002101ED"/>
    <w:pPr>
      <w:widowControl/>
      <w:spacing w:before="360"/>
    </w:pPr>
  </w:style>
  <w:style w:type="paragraph" w:customStyle="1" w:styleId="Keywords">
    <w:name w:val="Keywords"/>
    <w:basedOn w:val="Normal"/>
    <w:next w:val="Paragraph"/>
    <w:qFormat/>
    <w:rsid w:val="002101ED"/>
    <w:pPr>
      <w:spacing w:before="240" w:after="240" w:line="360" w:lineRule="auto"/>
      <w:ind w:left="720" w:right="567"/>
    </w:pPr>
    <w:rPr>
      <w:sz w:val="22"/>
    </w:rPr>
  </w:style>
  <w:style w:type="paragraph" w:customStyle="1" w:styleId="Newparagraph">
    <w:name w:val="New paragraph"/>
    <w:basedOn w:val="Normal"/>
    <w:qFormat/>
    <w:rsid w:val="002101ED"/>
    <w:pPr>
      <w:ind w:firstLine="720"/>
    </w:pPr>
  </w:style>
  <w:style w:type="paragraph" w:customStyle="1" w:styleId="Normalparagraphstyle">
    <w:name w:val="Normal paragraph style"/>
    <w:basedOn w:val="Normal"/>
    <w:next w:val="Normal"/>
    <w:rsid w:val="002101ED"/>
  </w:style>
  <w:style w:type="paragraph" w:styleId="Notedebasdepage">
    <w:name w:val="footnote text"/>
    <w:basedOn w:val="Normal"/>
    <w:link w:val="NotedebasdepageCar"/>
    <w:autoRedefine/>
    <w:rsid w:val="002101ED"/>
    <w:pPr>
      <w:ind w:left="284" w:hanging="284"/>
    </w:pPr>
    <w:rPr>
      <w:sz w:val="22"/>
      <w:szCs w:val="20"/>
    </w:rPr>
  </w:style>
  <w:style w:type="character" w:customStyle="1" w:styleId="NotedebasdepageCar">
    <w:name w:val="Note de bas de page Car"/>
    <w:basedOn w:val="Policepardfaut"/>
    <w:link w:val="Notedebasdepage"/>
    <w:rsid w:val="002101ED"/>
    <w:rPr>
      <w:rFonts w:ascii="Times New Roman" w:eastAsia="Times New Roman" w:hAnsi="Times New Roman" w:cs="Times New Roman"/>
      <w:sz w:val="22"/>
      <w:szCs w:val="20"/>
      <w:lang w:val="en-GB" w:eastAsia="en-GB"/>
    </w:rPr>
  </w:style>
  <w:style w:type="paragraph" w:styleId="Notedefin">
    <w:name w:val="endnote text"/>
    <w:basedOn w:val="Normal"/>
    <w:link w:val="NotedefinCar"/>
    <w:autoRedefine/>
    <w:rsid w:val="002101ED"/>
    <w:pPr>
      <w:ind w:left="284" w:hanging="284"/>
    </w:pPr>
    <w:rPr>
      <w:sz w:val="22"/>
      <w:szCs w:val="20"/>
    </w:rPr>
  </w:style>
  <w:style w:type="character" w:customStyle="1" w:styleId="NotedefinCar">
    <w:name w:val="Note de fin Car"/>
    <w:basedOn w:val="Policepardfaut"/>
    <w:link w:val="Notedefin"/>
    <w:rsid w:val="002101ED"/>
    <w:rPr>
      <w:rFonts w:ascii="Times New Roman" w:eastAsia="Times New Roman" w:hAnsi="Times New Roman" w:cs="Times New Roman"/>
      <w:sz w:val="22"/>
      <w:szCs w:val="20"/>
      <w:lang w:val="en-GB" w:eastAsia="en-GB"/>
    </w:rPr>
  </w:style>
  <w:style w:type="paragraph" w:customStyle="1" w:styleId="Notesoncontributors">
    <w:name w:val="Notes on contributors"/>
    <w:basedOn w:val="Normal"/>
    <w:qFormat/>
    <w:rsid w:val="002101ED"/>
    <w:pPr>
      <w:spacing w:before="240" w:line="360" w:lineRule="auto"/>
    </w:pPr>
    <w:rPr>
      <w:sz w:val="22"/>
    </w:rPr>
  </w:style>
  <w:style w:type="paragraph" w:customStyle="1" w:styleId="Numberedlist">
    <w:name w:val="Numbered list"/>
    <w:basedOn w:val="Paragraph"/>
    <w:next w:val="Paragraph"/>
    <w:qFormat/>
    <w:rsid w:val="002101ED"/>
    <w:pPr>
      <w:widowControl/>
      <w:numPr>
        <w:numId w:val="2"/>
      </w:numPr>
      <w:spacing w:after="240"/>
      <w:contextualSpacing/>
    </w:pPr>
  </w:style>
  <w:style w:type="paragraph" w:styleId="Pieddepage">
    <w:name w:val="footer"/>
    <w:basedOn w:val="Normal"/>
    <w:link w:val="PieddepageCar"/>
    <w:rsid w:val="002101ED"/>
    <w:pPr>
      <w:tabs>
        <w:tab w:val="center" w:pos="4320"/>
        <w:tab w:val="right" w:pos="8640"/>
      </w:tabs>
      <w:spacing w:before="240" w:line="240" w:lineRule="auto"/>
      <w:contextualSpacing/>
    </w:pPr>
  </w:style>
  <w:style w:type="character" w:customStyle="1" w:styleId="PieddepageCar">
    <w:name w:val="Pied de page Car"/>
    <w:basedOn w:val="Policepardfaut"/>
    <w:link w:val="Pieddepage"/>
    <w:rsid w:val="002101ED"/>
    <w:rPr>
      <w:rFonts w:ascii="Times New Roman" w:eastAsia="Times New Roman" w:hAnsi="Times New Roman" w:cs="Times New Roman"/>
      <w:lang w:val="en-GB" w:eastAsia="en-GB"/>
    </w:rPr>
  </w:style>
  <w:style w:type="paragraph" w:customStyle="1" w:styleId="Receiveddates">
    <w:name w:val="Received dates"/>
    <w:basedOn w:val="Affiliation"/>
    <w:next w:val="Normal"/>
    <w:qFormat/>
    <w:rsid w:val="002101ED"/>
  </w:style>
  <w:style w:type="paragraph" w:customStyle="1" w:styleId="References">
    <w:name w:val="References"/>
    <w:basedOn w:val="Normal"/>
    <w:qFormat/>
    <w:rsid w:val="002101ED"/>
    <w:pPr>
      <w:spacing w:before="120" w:line="360" w:lineRule="auto"/>
      <w:ind w:left="720" w:hanging="720"/>
      <w:contextualSpacing/>
    </w:pPr>
  </w:style>
  <w:style w:type="paragraph" w:styleId="Retraitnormal">
    <w:name w:val="Normal Indent"/>
    <w:basedOn w:val="Normal"/>
    <w:rsid w:val="002101ED"/>
    <w:pPr>
      <w:ind w:left="720"/>
    </w:pPr>
  </w:style>
  <w:style w:type="paragraph" w:customStyle="1" w:styleId="Subjectcodes">
    <w:name w:val="Subject codes"/>
    <w:basedOn w:val="Keywords"/>
    <w:next w:val="Paragraph"/>
    <w:qFormat/>
    <w:rsid w:val="002101ED"/>
  </w:style>
  <w:style w:type="paragraph" w:customStyle="1" w:styleId="Tabletitle">
    <w:name w:val="Table title"/>
    <w:basedOn w:val="Normal"/>
    <w:next w:val="Normal"/>
    <w:qFormat/>
    <w:rsid w:val="002101ED"/>
    <w:pPr>
      <w:spacing w:before="240" w:line="360" w:lineRule="auto"/>
    </w:pPr>
  </w:style>
  <w:style w:type="character" w:customStyle="1" w:styleId="Titre1Car">
    <w:name w:val="Titre 1 Car"/>
    <w:basedOn w:val="Policepardfaut"/>
    <w:link w:val="Titre1"/>
    <w:rsid w:val="002101ED"/>
    <w:rPr>
      <w:rFonts w:ascii="Times New Roman" w:eastAsia="Times New Roman" w:hAnsi="Times New Roman" w:cs="Arial"/>
      <w:b/>
      <w:bCs/>
      <w:kern w:val="32"/>
      <w:szCs w:val="32"/>
      <w:lang w:val="en-GB" w:eastAsia="en-GB"/>
    </w:rPr>
  </w:style>
  <w:style w:type="character" w:customStyle="1" w:styleId="Titre2Car">
    <w:name w:val="Titre 2 Car"/>
    <w:basedOn w:val="Policepardfaut"/>
    <w:link w:val="Titre2"/>
    <w:rsid w:val="002101ED"/>
    <w:rPr>
      <w:rFonts w:ascii="Times New Roman" w:eastAsia="Times New Roman" w:hAnsi="Times New Roman" w:cs="Arial"/>
      <w:b/>
      <w:bCs/>
      <w:i/>
      <w:iCs/>
      <w:szCs w:val="28"/>
      <w:lang w:val="en-GB" w:eastAsia="en-GB"/>
    </w:rPr>
  </w:style>
  <w:style w:type="character" w:customStyle="1" w:styleId="Titre3Car">
    <w:name w:val="Titre 3 Car"/>
    <w:basedOn w:val="Policepardfaut"/>
    <w:link w:val="Titre3"/>
    <w:rsid w:val="002101ED"/>
    <w:rPr>
      <w:rFonts w:ascii="Times New Roman" w:eastAsia="Times New Roman" w:hAnsi="Times New Roman" w:cs="Arial"/>
      <w:bCs/>
      <w:i/>
      <w:szCs w:val="26"/>
      <w:lang w:val="en-GB" w:eastAsia="en-GB"/>
    </w:rPr>
  </w:style>
  <w:style w:type="character" w:customStyle="1" w:styleId="Titre4Car">
    <w:name w:val="Titre 4 Car"/>
    <w:basedOn w:val="Policepardfaut"/>
    <w:link w:val="Titre4"/>
    <w:rsid w:val="002101ED"/>
    <w:rPr>
      <w:rFonts w:ascii="Times New Roman" w:eastAsia="Times New Roman" w:hAnsi="Times New Roman" w:cs="Times New Roman"/>
      <w:bCs/>
      <w:szCs w:val="28"/>
      <w:lang w:val="en-GB" w:eastAsia="en-GB"/>
    </w:rPr>
  </w:style>
  <w:style w:type="paragraph" w:styleId="Textedebulles">
    <w:name w:val="Balloon Text"/>
    <w:basedOn w:val="Normal"/>
    <w:link w:val="TextedebullesCar"/>
    <w:uiPriority w:val="99"/>
    <w:semiHidden/>
    <w:unhideWhenUsed/>
    <w:rsid w:val="00503987"/>
    <w:pPr>
      <w:spacing w:line="240" w:lineRule="auto"/>
    </w:pPr>
    <w:rPr>
      <w:sz w:val="18"/>
      <w:szCs w:val="18"/>
    </w:rPr>
  </w:style>
  <w:style w:type="character" w:customStyle="1" w:styleId="TextedebullesCar">
    <w:name w:val="Texte de bulles Car"/>
    <w:basedOn w:val="Policepardfaut"/>
    <w:link w:val="Textedebulles"/>
    <w:uiPriority w:val="99"/>
    <w:semiHidden/>
    <w:rsid w:val="00503987"/>
    <w:rPr>
      <w:rFonts w:ascii="Times New Roman" w:hAnsi="Times New Roman" w:cs="Times New Roman"/>
      <w:sz w:val="18"/>
      <w:szCs w:val="18"/>
      <w:lang w:val="en-GB" w:eastAsia="en-GB"/>
    </w:rPr>
  </w:style>
  <w:style w:type="character" w:customStyle="1" w:styleId="articletext">
    <w:name w:val="articletext"/>
    <w:basedOn w:val="Policepardfaut"/>
    <w:uiPriority w:val="99"/>
    <w:rsid w:val="00F323D7"/>
    <w:rPr>
      <w:rFonts w:cs="Times New Roman"/>
    </w:rPr>
  </w:style>
  <w:style w:type="paragraph" w:customStyle="1" w:styleId="Standard">
    <w:name w:val="Standard"/>
    <w:rsid w:val="00F323D7"/>
    <w:pPr>
      <w:suppressAutoHyphens/>
      <w:autoSpaceDN w:val="0"/>
      <w:spacing w:after="160" w:line="480" w:lineRule="auto"/>
      <w:jc w:val="both"/>
      <w:textAlignment w:val="baseline"/>
    </w:pPr>
    <w:rPr>
      <w:rFonts w:ascii="Arial" w:eastAsia="Arial" w:hAnsi="Arial" w:cs="Arial"/>
      <w:kern w:val="3"/>
      <w:szCs w:val="22"/>
      <w:lang w:val="en-US"/>
    </w:rPr>
  </w:style>
  <w:style w:type="paragraph" w:customStyle="1" w:styleId="EndNoteBibliographyTitle">
    <w:name w:val="EndNote Bibliography Title"/>
    <w:basedOn w:val="Normal"/>
    <w:link w:val="EndNoteBibliographyTitleCar"/>
    <w:rsid w:val="00C85B23"/>
    <w:pPr>
      <w:jc w:val="center"/>
    </w:pPr>
  </w:style>
  <w:style w:type="character" w:customStyle="1" w:styleId="EndNoteBibliographyTitleCar">
    <w:name w:val="EndNote Bibliography Title Car"/>
    <w:basedOn w:val="Policepardfaut"/>
    <w:link w:val="EndNoteBibliographyTitle"/>
    <w:rsid w:val="00C85B23"/>
    <w:rPr>
      <w:rFonts w:ascii="Times New Roman" w:hAnsi="Times New Roman" w:cs="Times New Roman"/>
      <w:lang w:val="en-GB" w:eastAsia="en-GB"/>
    </w:rPr>
  </w:style>
  <w:style w:type="paragraph" w:customStyle="1" w:styleId="EndNoteBibliography">
    <w:name w:val="EndNote Bibliography"/>
    <w:basedOn w:val="Normal"/>
    <w:link w:val="EndNoteBibliographyCar"/>
    <w:rsid w:val="00C85B23"/>
    <w:pPr>
      <w:spacing w:line="240" w:lineRule="auto"/>
    </w:pPr>
  </w:style>
  <w:style w:type="character" w:customStyle="1" w:styleId="EndNoteBibliographyCar">
    <w:name w:val="EndNote Bibliography Car"/>
    <w:basedOn w:val="Policepardfaut"/>
    <w:link w:val="EndNoteBibliography"/>
    <w:rsid w:val="00C85B23"/>
    <w:rPr>
      <w:rFonts w:ascii="Times New Roman" w:hAnsi="Times New Roman" w:cs="Times New Roman"/>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1420</Words>
  <Characters>7813</Characters>
  <Application>Microsoft Office Word</Application>
  <DocSecurity>0</DocSecurity>
  <Lines>65</Lines>
  <Paragraphs>18</Paragraphs>
  <ScaleCrop>false</ScaleCrop>
  <Company/>
  <LinksUpToDate>false</LinksUpToDate>
  <CharactersWithSpaces>9215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Olivia Lenoir</dc:creator>
  <cp:keywords/>
  <dc:description/>
  <cp:lastModifiedBy>Olivia Lenoir</cp:lastModifiedBy>
  <cp:revision>2</cp:revision>
  <dcterms:created xsi:type="dcterms:W3CDTF">2022-11-16T10:47:00Z</dcterms:created>
  <dcterms:modified xsi:type="dcterms:W3CDTF">2022-11-16T10:51:00Z</dcterms:modified>
</cp:coreProperties>
</file>