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C15D" w14:textId="58AA5799" w:rsidR="008004EF" w:rsidRPr="000F245E" w:rsidRDefault="008004EF" w:rsidP="005D49A8">
      <w:pPr>
        <w:spacing w:line="360" w:lineRule="auto"/>
        <w:rPr>
          <w:rFonts w:cstheme="minorHAnsi"/>
          <w:b/>
          <w:bCs/>
          <w:sz w:val="24"/>
          <w:szCs w:val="24"/>
        </w:rPr>
      </w:pPr>
      <w:r w:rsidRPr="000F245E">
        <w:rPr>
          <w:rFonts w:cstheme="minorHAnsi"/>
          <w:b/>
          <w:bCs/>
          <w:sz w:val="24"/>
          <w:szCs w:val="24"/>
        </w:rPr>
        <w:t xml:space="preserve">Supplementary Materials and Methods </w:t>
      </w:r>
    </w:p>
    <w:p w14:paraId="1612F9A9" w14:textId="1F3DA654" w:rsidR="00B15178" w:rsidRPr="005D49A8" w:rsidRDefault="00B15178" w:rsidP="005D49A8">
      <w:pPr>
        <w:spacing w:line="360" w:lineRule="auto"/>
        <w:rPr>
          <w:rFonts w:cstheme="minorHAnsi"/>
          <w:b/>
          <w:bCs/>
          <w:sz w:val="24"/>
          <w:szCs w:val="24"/>
          <w:u w:val="single"/>
        </w:rPr>
      </w:pPr>
      <w:r w:rsidRPr="005D49A8">
        <w:rPr>
          <w:rFonts w:cstheme="minorHAnsi"/>
          <w:b/>
          <w:bCs/>
          <w:sz w:val="24"/>
          <w:szCs w:val="24"/>
          <w:u w:val="single"/>
        </w:rPr>
        <w:t>Inclusion and exclusion criteria for study Astro-001</w:t>
      </w:r>
    </w:p>
    <w:p w14:paraId="11C3F397" w14:textId="4570DE75" w:rsidR="00B15178" w:rsidRPr="005D49A8" w:rsidRDefault="00B15178" w:rsidP="005D49A8">
      <w:pPr>
        <w:spacing w:line="360" w:lineRule="auto"/>
        <w:rPr>
          <w:rFonts w:cstheme="minorHAnsi"/>
          <w:b/>
          <w:bCs/>
          <w:sz w:val="24"/>
          <w:szCs w:val="24"/>
        </w:rPr>
      </w:pPr>
      <w:r w:rsidRPr="005D49A8">
        <w:rPr>
          <w:rFonts w:cstheme="minorHAnsi"/>
          <w:b/>
          <w:bCs/>
          <w:sz w:val="24"/>
          <w:szCs w:val="24"/>
        </w:rPr>
        <w:t>Inclusion Criteria</w:t>
      </w:r>
    </w:p>
    <w:p w14:paraId="2564A6DF" w14:textId="3D91F4CA" w:rsidR="00B15178" w:rsidRPr="005D49A8" w:rsidRDefault="00B15178" w:rsidP="005D49A8">
      <w:pPr>
        <w:spacing w:line="360" w:lineRule="auto"/>
        <w:rPr>
          <w:rFonts w:cstheme="minorHAnsi"/>
          <w:sz w:val="24"/>
          <w:szCs w:val="24"/>
        </w:rPr>
      </w:pPr>
      <w:r w:rsidRPr="005D49A8">
        <w:rPr>
          <w:rFonts w:cstheme="minorHAnsi"/>
          <w:sz w:val="24"/>
          <w:szCs w:val="24"/>
        </w:rPr>
        <w:t>Prior to enrolment into this study, patients must meet ALL of the following inclusion criteria:</w:t>
      </w:r>
    </w:p>
    <w:p w14:paraId="216289A3"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1.</w:t>
      </w:r>
      <w:r w:rsidRPr="005D49A8">
        <w:rPr>
          <w:rFonts w:cstheme="minorHAnsi"/>
          <w:sz w:val="24"/>
          <w:szCs w:val="24"/>
        </w:rPr>
        <w:tab/>
        <w:t>Patient with sporadic or familial ALS diagnosed as probable or definite ALS patients according to the World Federation of Neurology El Escorial criteria (revised) (APPENDIX 2).</w:t>
      </w:r>
    </w:p>
    <w:p w14:paraId="5C46F6C6" w14:textId="77777777" w:rsidR="00B15178" w:rsidRPr="005D49A8" w:rsidRDefault="00B15178" w:rsidP="005D49A8">
      <w:pPr>
        <w:spacing w:line="360" w:lineRule="auto"/>
        <w:rPr>
          <w:rFonts w:cstheme="minorHAnsi"/>
          <w:sz w:val="24"/>
          <w:szCs w:val="24"/>
        </w:rPr>
      </w:pPr>
      <w:r w:rsidRPr="005D49A8">
        <w:rPr>
          <w:rFonts w:cstheme="minorHAnsi"/>
          <w:sz w:val="24"/>
          <w:szCs w:val="24"/>
        </w:rPr>
        <w:t>2.</w:t>
      </w:r>
      <w:r w:rsidRPr="005D49A8">
        <w:rPr>
          <w:rFonts w:cstheme="minorHAnsi"/>
          <w:sz w:val="24"/>
          <w:szCs w:val="24"/>
        </w:rPr>
        <w:tab/>
        <w:t>Males and females between 18 and 70 years of age.</w:t>
      </w:r>
    </w:p>
    <w:p w14:paraId="2975EB7D"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3.</w:t>
      </w:r>
      <w:r w:rsidRPr="005D49A8">
        <w:rPr>
          <w:rFonts w:cstheme="minorHAnsi"/>
          <w:sz w:val="24"/>
          <w:szCs w:val="24"/>
        </w:rPr>
        <w:tab/>
        <w:t xml:space="preserve">Patients with an ALS-FRS-R score of ≥30 at Screening Visit and with an ALS diagnosis of two years or less </w:t>
      </w:r>
    </w:p>
    <w:p w14:paraId="2BD7E0EB"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4.</w:t>
      </w:r>
      <w:r w:rsidRPr="005D49A8">
        <w:rPr>
          <w:rFonts w:cstheme="minorHAnsi"/>
          <w:sz w:val="24"/>
          <w:szCs w:val="24"/>
        </w:rPr>
        <w:tab/>
        <w:t>No history of active psychiatric disorder. Patients receiving antidepressants as a preventive treatment, with no history of active psychiatric disorder may be included.</w:t>
      </w:r>
    </w:p>
    <w:p w14:paraId="13DC6E4A"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5.</w:t>
      </w:r>
      <w:r w:rsidRPr="005D49A8">
        <w:rPr>
          <w:rFonts w:cstheme="minorHAnsi"/>
          <w:sz w:val="24"/>
          <w:szCs w:val="24"/>
        </w:rPr>
        <w:tab/>
        <w:t>Patient has a good understanding of the study and nature of the procedure and is expected to be able to comply with visit schedules and assessments without difficulty.</w:t>
      </w:r>
    </w:p>
    <w:p w14:paraId="0A7FDB56" w14:textId="77777777" w:rsidR="00B15178" w:rsidRPr="005D49A8" w:rsidRDefault="00B15178" w:rsidP="005D49A8">
      <w:pPr>
        <w:spacing w:line="360" w:lineRule="auto"/>
        <w:rPr>
          <w:rFonts w:cstheme="minorHAnsi"/>
          <w:sz w:val="24"/>
          <w:szCs w:val="24"/>
        </w:rPr>
      </w:pPr>
      <w:r w:rsidRPr="005D49A8">
        <w:rPr>
          <w:rFonts w:cstheme="minorHAnsi"/>
          <w:sz w:val="24"/>
          <w:szCs w:val="24"/>
        </w:rPr>
        <w:t>6.</w:t>
      </w:r>
      <w:r w:rsidRPr="005D49A8">
        <w:rPr>
          <w:rFonts w:cstheme="minorHAnsi"/>
          <w:sz w:val="24"/>
          <w:szCs w:val="24"/>
        </w:rPr>
        <w:tab/>
        <w:t xml:space="preserve">Patient provides written informed consent prior to any study procedure. </w:t>
      </w:r>
    </w:p>
    <w:p w14:paraId="660E2C89" w14:textId="7C73A55D"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7.</w:t>
      </w:r>
      <w:r w:rsidRPr="005D49A8">
        <w:rPr>
          <w:rFonts w:cstheme="minorHAnsi"/>
          <w:sz w:val="24"/>
          <w:szCs w:val="24"/>
        </w:rPr>
        <w:tab/>
        <w:t xml:space="preserve">Females of childbearing potential must have a negative serum pregnancy test and must use two medically acceptable methods of contraception during the course of the study, not including the rhythm method. Effective birth control measures include hormonal contraception, a barrier method such as a diaphragm, intrauterine device (IUD) and/or condom with spermicide or abstention from sexual intercourse. A female who is surgically sterile and/or postmenopausal (defined as at least 1 year without menses as demonstrated by medical history or patient report), is not considered to be of childbearing potential. </w:t>
      </w:r>
    </w:p>
    <w:p w14:paraId="48CF69BF"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8.</w:t>
      </w:r>
      <w:r w:rsidRPr="005D49A8">
        <w:rPr>
          <w:rFonts w:cstheme="minorHAnsi"/>
          <w:sz w:val="24"/>
          <w:szCs w:val="24"/>
        </w:rPr>
        <w:tab/>
        <w:t>Male patients must use an effective method of contraception during the course of the study. These include condom, having undergone a vasectomy or abstain from sexual intercourse.</w:t>
      </w:r>
    </w:p>
    <w:p w14:paraId="5818A664" w14:textId="6F551CDE"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lastRenderedPageBreak/>
        <w:t>9.</w:t>
      </w:r>
      <w:r w:rsidRPr="005D49A8">
        <w:rPr>
          <w:rFonts w:cstheme="minorHAnsi"/>
          <w:sz w:val="24"/>
          <w:szCs w:val="24"/>
        </w:rPr>
        <w:tab/>
        <w:t>Patient is medically able to undergo an intrathecal injection (IT) into the CSF as determined by the investigator, surgeon or anaesthesiologist</w:t>
      </w:r>
    </w:p>
    <w:p w14:paraId="44B43AA5"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10.</w:t>
      </w:r>
      <w:r w:rsidRPr="005D49A8">
        <w:rPr>
          <w:rFonts w:cstheme="minorHAnsi"/>
          <w:sz w:val="24"/>
          <w:szCs w:val="24"/>
        </w:rPr>
        <w:tab/>
        <w:t xml:space="preserve">Patient is up-to date with influenza vaccination if enrolled during the influenza seasonal vaccination program; if enrolled outside the influenza season, the patient must agree to be vaccinated at the beginning of the vaccination season. </w:t>
      </w:r>
    </w:p>
    <w:p w14:paraId="513AB07F"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11.</w:t>
      </w:r>
      <w:r w:rsidRPr="005D49A8">
        <w:rPr>
          <w:rFonts w:cstheme="minorHAnsi"/>
          <w:sz w:val="24"/>
          <w:szCs w:val="24"/>
        </w:rPr>
        <w:tab/>
        <w:t xml:space="preserve">Patients should either be on a stable dose of Riluzole and/or Edaravone) Radicava®) (if applicable) for at least 30 days, or not be treated with Riluzole and/or Edaravone (usually because of previous adverse effects or a decision by the patient). Patients not treated with Riluzole and/or Edaravone will not start Riluzole and/or Edaravone treatment during the study period. </w:t>
      </w:r>
    </w:p>
    <w:p w14:paraId="5391C8D5"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12.</w:t>
      </w:r>
      <w:r w:rsidRPr="005D49A8">
        <w:rPr>
          <w:rFonts w:cstheme="minorHAnsi"/>
          <w:sz w:val="24"/>
          <w:szCs w:val="24"/>
        </w:rPr>
        <w:tab/>
        <w:t>Patient is medically able to tolerate immunosuppression regimen consisting of Mycophenolate Mofetil at 1gr b.i.d. for 1 month, starting 2 days before transplantation as determined by the investigator</w:t>
      </w:r>
    </w:p>
    <w:p w14:paraId="1AD28546"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13.</w:t>
      </w:r>
      <w:r w:rsidRPr="005D49A8">
        <w:rPr>
          <w:rFonts w:cstheme="minorHAnsi"/>
          <w:sz w:val="24"/>
          <w:szCs w:val="24"/>
        </w:rPr>
        <w:tab/>
        <w:t>Presence of a willing and able caregiver who understands the need to attend all follow-up visits, even if mobility declines.</w:t>
      </w:r>
    </w:p>
    <w:p w14:paraId="194F8581" w14:textId="77777777" w:rsidR="00B15178" w:rsidRPr="005D49A8" w:rsidRDefault="00B15178" w:rsidP="005D49A8">
      <w:pPr>
        <w:spacing w:line="360" w:lineRule="auto"/>
        <w:rPr>
          <w:rFonts w:cstheme="minorHAnsi"/>
          <w:b/>
          <w:bCs/>
          <w:sz w:val="24"/>
          <w:szCs w:val="24"/>
        </w:rPr>
      </w:pPr>
      <w:r w:rsidRPr="005D49A8">
        <w:rPr>
          <w:rFonts w:cstheme="minorHAnsi"/>
          <w:b/>
          <w:bCs/>
          <w:sz w:val="24"/>
          <w:szCs w:val="24"/>
        </w:rPr>
        <w:t xml:space="preserve">Exclusion Criteria </w:t>
      </w:r>
    </w:p>
    <w:p w14:paraId="1AC16CBF" w14:textId="77777777" w:rsidR="00B15178" w:rsidRPr="005D49A8" w:rsidRDefault="00B15178" w:rsidP="005D49A8">
      <w:pPr>
        <w:spacing w:line="360" w:lineRule="auto"/>
        <w:rPr>
          <w:rFonts w:cstheme="minorHAnsi"/>
          <w:sz w:val="24"/>
          <w:szCs w:val="24"/>
        </w:rPr>
      </w:pPr>
      <w:r w:rsidRPr="005D49A8">
        <w:rPr>
          <w:rFonts w:cstheme="minorHAnsi"/>
          <w:sz w:val="24"/>
          <w:szCs w:val="24"/>
        </w:rPr>
        <w:t>Patients will be excluded from the study if ANY of the following conditions are present:</w:t>
      </w:r>
    </w:p>
    <w:p w14:paraId="0975AEC9" w14:textId="77777777" w:rsidR="00B15178" w:rsidRPr="005D49A8" w:rsidRDefault="00B15178" w:rsidP="005D49A8">
      <w:pPr>
        <w:spacing w:line="360" w:lineRule="auto"/>
        <w:rPr>
          <w:rFonts w:cstheme="minorHAnsi"/>
          <w:sz w:val="24"/>
          <w:szCs w:val="24"/>
        </w:rPr>
      </w:pPr>
      <w:r w:rsidRPr="005D49A8">
        <w:rPr>
          <w:rFonts w:cstheme="minorHAnsi"/>
          <w:sz w:val="24"/>
          <w:szCs w:val="24"/>
        </w:rPr>
        <w:t>1.</w:t>
      </w:r>
      <w:r w:rsidRPr="005D49A8">
        <w:rPr>
          <w:rFonts w:cstheme="minorHAnsi"/>
          <w:sz w:val="24"/>
          <w:szCs w:val="24"/>
        </w:rPr>
        <w:tab/>
        <w:t xml:space="preserve">Patient has a past infection or a positive test for HBV, HCV or HIV. </w:t>
      </w:r>
    </w:p>
    <w:p w14:paraId="02BF0EDE" w14:textId="77777777" w:rsidR="00B15178" w:rsidRPr="005D49A8" w:rsidRDefault="00B15178" w:rsidP="005D49A8">
      <w:pPr>
        <w:spacing w:line="360" w:lineRule="auto"/>
        <w:rPr>
          <w:rFonts w:cstheme="minorHAnsi"/>
          <w:sz w:val="24"/>
          <w:szCs w:val="24"/>
        </w:rPr>
      </w:pPr>
      <w:r w:rsidRPr="005D49A8">
        <w:rPr>
          <w:rFonts w:cstheme="minorHAnsi"/>
          <w:sz w:val="24"/>
          <w:szCs w:val="24"/>
        </w:rPr>
        <w:t>2.</w:t>
      </w:r>
      <w:r w:rsidRPr="005D49A8">
        <w:rPr>
          <w:rFonts w:cstheme="minorHAnsi"/>
          <w:sz w:val="24"/>
          <w:szCs w:val="24"/>
        </w:rPr>
        <w:tab/>
        <w:t xml:space="preserve">Patient is in need of respiratory support. </w:t>
      </w:r>
    </w:p>
    <w:p w14:paraId="76AA16D0"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3.</w:t>
      </w:r>
      <w:r w:rsidRPr="005D49A8">
        <w:rPr>
          <w:rFonts w:cstheme="minorHAnsi"/>
          <w:sz w:val="24"/>
          <w:szCs w:val="24"/>
        </w:rPr>
        <w:tab/>
        <w:t>Patient has a lower than 10/12 in ALS-FRS-R respiratory parameters or below 70% of predicted SVC.</w:t>
      </w:r>
    </w:p>
    <w:p w14:paraId="763A244B" w14:textId="77777777" w:rsidR="00B15178" w:rsidRPr="005D49A8" w:rsidRDefault="00B15178" w:rsidP="005D49A8">
      <w:pPr>
        <w:spacing w:line="360" w:lineRule="auto"/>
        <w:rPr>
          <w:rFonts w:cstheme="minorHAnsi"/>
          <w:sz w:val="24"/>
          <w:szCs w:val="24"/>
        </w:rPr>
      </w:pPr>
      <w:r w:rsidRPr="005D49A8">
        <w:rPr>
          <w:rFonts w:cstheme="minorHAnsi"/>
          <w:sz w:val="24"/>
          <w:szCs w:val="24"/>
        </w:rPr>
        <w:t>4.</w:t>
      </w:r>
      <w:r w:rsidRPr="005D49A8">
        <w:rPr>
          <w:rFonts w:cstheme="minorHAnsi"/>
          <w:sz w:val="24"/>
          <w:szCs w:val="24"/>
        </w:rPr>
        <w:tab/>
        <w:t>Patient has renal failure (eGFR &lt;30 mL/min according to Cockcroft formula).</w:t>
      </w:r>
    </w:p>
    <w:p w14:paraId="2F8F5665"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5.</w:t>
      </w:r>
      <w:r w:rsidRPr="005D49A8">
        <w:rPr>
          <w:rFonts w:cstheme="minorHAnsi"/>
          <w:sz w:val="24"/>
          <w:szCs w:val="24"/>
        </w:rPr>
        <w:tab/>
        <w:t>Patient has impaired hepatic function (Alanine Transaminase (ALT), Aspartate aminotransferase (AST) or Gamma-Glutamyl Transferase (GGT) 2-fold higher than normal upper limit).</w:t>
      </w:r>
    </w:p>
    <w:p w14:paraId="28F231FE" w14:textId="77777777" w:rsidR="00B15178" w:rsidRPr="005D49A8" w:rsidRDefault="00B15178" w:rsidP="005D49A8">
      <w:pPr>
        <w:spacing w:line="360" w:lineRule="auto"/>
        <w:rPr>
          <w:rFonts w:cstheme="minorHAnsi"/>
          <w:sz w:val="24"/>
          <w:szCs w:val="24"/>
        </w:rPr>
      </w:pPr>
      <w:r w:rsidRPr="005D49A8">
        <w:rPr>
          <w:rFonts w:cstheme="minorHAnsi"/>
          <w:sz w:val="24"/>
          <w:szCs w:val="24"/>
        </w:rPr>
        <w:t>6.</w:t>
      </w:r>
      <w:r w:rsidRPr="005D49A8">
        <w:rPr>
          <w:rFonts w:cstheme="minorHAnsi"/>
          <w:sz w:val="24"/>
          <w:szCs w:val="24"/>
        </w:rPr>
        <w:tab/>
        <w:t>Patient has a Body Mass Index (BMI) of &lt;18.5 or &gt; 30.</w:t>
      </w:r>
    </w:p>
    <w:p w14:paraId="6E7493D2"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lastRenderedPageBreak/>
        <w:t>7.</w:t>
      </w:r>
      <w:r w:rsidRPr="005D49A8">
        <w:rPr>
          <w:rFonts w:cstheme="minorHAnsi"/>
          <w:sz w:val="24"/>
          <w:szCs w:val="24"/>
        </w:rPr>
        <w:tab/>
        <w:t xml:space="preserve">Patient suffers from significant cardiac disease, diabetes, autoimmune diseases, chronic severe infection, malignant disease or any other disease or condition that may risk the patient or interfere with the ability to interpret the study results </w:t>
      </w:r>
    </w:p>
    <w:p w14:paraId="0957C220" w14:textId="77777777" w:rsidR="00B15178" w:rsidRPr="005D49A8" w:rsidRDefault="00B15178" w:rsidP="005D49A8">
      <w:pPr>
        <w:spacing w:line="360" w:lineRule="auto"/>
        <w:rPr>
          <w:rFonts w:cstheme="minorHAnsi"/>
          <w:sz w:val="24"/>
          <w:szCs w:val="24"/>
        </w:rPr>
      </w:pPr>
      <w:r w:rsidRPr="005D49A8">
        <w:rPr>
          <w:rFonts w:cstheme="minorHAnsi"/>
          <w:sz w:val="24"/>
          <w:szCs w:val="24"/>
        </w:rPr>
        <w:t>8.</w:t>
      </w:r>
      <w:r w:rsidRPr="005D49A8">
        <w:rPr>
          <w:rFonts w:cstheme="minorHAnsi"/>
          <w:sz w:val="24"/>
          <w:szCs w:val="24"/>
        </w:rPr>
        <w:tab/>
        <w:t>Patient has systemic inflammation or active infections.</w:t>
      </w:r>
    </w:p>
    <w:p w14:paraId="06BEE938" w14:textId="77777777" w:rsidR="00B15178" w:rsidRPr="005D49A8" w:rsidRDefault="00B15178" w:rsidP="005D49A8">
      <w:pPr>
        <w:spacing w:line="360" w:lineRule="auto"/>
        <w:rPr>
          <w:rFonts w:cstheme="minorHAnsi"/>
          <w:sz w:val="24"/>
          <w:szCs w:val="24"/>
        </w:rPr>
      </w:pPr>
      <w:r w:rsidRPr="005D49A8">
        <w:rPr>
          <w:rFonts w:cstheme="minorHAnsi"/>
          <w:sz w:val="24"/>
          <w:szCs w:val="24"/>
        </w:rPr>
        <w:t>9.</w:t>
      </w:r>
      <w:r w:rsidRPr="005D49A8">
        <w:rPr>
          <w:rFonts w:cstheme="minorHAnsi"/>
          <w:sz w:val="24"/>
          <w:szCs w:val="24"/>
        </w:rPr>
        <w:tab/>
        <w:t>Patient has been treated previously with any stem cell therapy.</w:t>
      </w:r>
    </w:p>
    <w:p w14:paraId="6505C788"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10.</w:t>
      </w:r>
      <w:r w:rsidRPr="005D49A8">
        <w:rPr>
          <w:rFonts w:cstheme="minorHAnsi"/>
          <w:sz w:val="24"/>
          <w:szCs w:val="24"/>
        </w:rPr>
        <w:tab/>
        <w:t>Current use of immunosuppressant medication or use of such medication within 6 weeks of Screening visit (Visit 0)</w:t>
      </w:r>
    </w:p>
    <w:p w14:paraId="29C4A378"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11.</w:t>
      </w:r>
      <w:r w:rsidRPr="005D49A8">
        <w:rPr>
          <w:rFonts w:cstheme="minorHAnsi"/>
          <w:sz w:val="24"/>
          <w:szCs w:val="24"/>
        </w:rPr>
        <w:tab/>
        <w:t xml:space="preserve">Patient has participated in another clinical treatment trial or received other experimental medications outside of a clinical trial within 1 month prior to start of this study. </w:t>
      </w:r>
    </w:p>
    <w:p w14:paraId="77BFFE1E" w14:textId="77777777" w:rsidR="00B15178" w:rsidRPr="005D49A8" w:rsidRDefault="00B15178" w:rsidP="005D49A8">
      <w:pPr>
        <w:spacing w:line="360" w:lineRule="auto"/>
        <w:rPr>
          <w:rFonts w:cstheme="minorHAnsi"/>
          <w:sz w:val="24"/>
          <w:szCs w:val="24"/>
        </w:rPr>
      </w:pPr>
      <w:r w:rsidRPr="005D49A8">
        <w:rPr>
          <w:rFonts w:cstheme="minorHAnsi"/>
          <w:sz w:val="24"/>
          <w:szCs w:val="24"/>
        </w:rPr>
        <w:t>12.</w:t>
      </w:r>
      <w:r w:rsidRPr="005D49A8">
        <w:rPr>
          <w:rFonts w:cstheme="minorHAnsi"/>
          <w:sz w:val="24"/>
          <w:szCs w:val="24"/>
        </w:rPr>
        <w:tab/>
        <w:t>Patient has any of the following:</w:t>
      </w:r>
    </w:p>
    <w:p w14:paraId="1B84C8B3" w14:textId="77777777" w:rsidR="00B15178" w:rsidRPr="005D49A8" w:rsidRDefault="00B15178" w:rsidP="005D49A8">
      <w:pPr>
        <w:spacing w:line="360" w:lineRule="auto"/>
        <w:rPr>
          <w:rFonts w:cstheme="minorHAnsi"/>
          <w:sz w:val="24"/>
          <w:szCs w:val="24"/>
        </w:rPr>
      </w:pPr>
      <w:r w:rsidRPr="005D49A8">
        <w:rPr>
          <w:rFonts w:cstheme="minorHAnsi"/>
          <w:sz w:val="24"/>
          <w:szCs w:val="24"/>
        </w:rPr>
        <w:t>a.</w:t>
      </w:r>
      <w:r w:rsidRPr="005D49A8">
        <w:rPr>
          <w:rFonts w:cstheme="minorHAnsi"/>
          <w:sz w:val="24"/>
          <w:szCs w:val="24"/>
        </w:rPr>
        <w:tab/>
        <w:t xml:space="preserve">Hemoglobin &lt; 10 g/dL (G%) </w:t>
      </w:r>
    </w:p>
    <w:p w14:paraId="501441FC" w14:textId="77777777" w:rsidR="00B15178" w:rsidRPr="005D49A8" w:rsidRDefault="00B15178" w:rsidP="005D49A8">
      <w:pPr>
        <w:spacing w:line="360" w:lineRule="auto"/>
        <w:rPr>
          <w:rFonts w:cstheme="minorHAnsi"/>
          <w:sz w:val="24"/>
          <w:szCs w:val="24"/>
        </w:rPr>
      </w:pPr>
      <w:r w:rsidRPr="005D49A8">
        <w:rPr>
          <w:rFonts w:cstheme="minorHAnsi"/>
          <w:sz w:val="24"/>
          <w:szCs w:val="24"/>
        </w:rPr>
        <w:t>b.</w:t>
      </w:r>
      <w:r w:rsidRPr="005D49A8">
        <w:rPr>
          <w:rFonts w:cstheme="minorHAnsi"/>
          <w:sz w:val="24"/>
          <w:szCs w:val="24"/>
        </w:rPr>
        <w:tab/>
        <w:t>Total WBC &lt; 4000 (4X103/µL)</w:t>
      </w:r>
    </w:p>
    <w:p w14:paraId="34343AE9" w14:textId="77777777" w:rsidR="00B15178" w:rsidRPr="005D49A8" w:rsidRDefault="00B15178" w:rsidP="005D49A8">
      <w:pPr>
        <w:spacing w:line="360" w:lineRule="auto"/>
        <w:rPr>
          <w:rFonts w:cstheme="minorHAnsi"/>
          <w:sz w:val="24"/>
          <w:szCs w:val="24"/>
        </w:rPr>
      </w:pPr>
      <w:r w:rsidRPr="005D49A8">
        <w:rPr>
          <w:rFonts w:cstheme="minorHAnsi"/>
          <w:sz w:val="24"/>
          <w:szCs w:val="24"/>
        </w:rPr>
        <w:t>c.</w:t>
      </w:r>
      <w:r w:rsidRPr="005D49A8">
        <w:rPr>
          <w:rFonts w:cstheme="minorHAnsi"/>
          <w:sz w:val="24"/>
          <w:szCs w:val="24"/>
        </w:rPr>
        <w:tab/>
        <w:t>Uncontrolled diabetes (defined as hemoglobin A1c &gt;8%)</w:t>
      </w:r>
    </w:p>
    <w:p w14:paraId="52C4D8BB" w14:textId="77777777" w:rsidR="00B15178" w:rsidRPr="005D49A8" w:rsidRDefault="00B15178" w:rsidP="005D49A8">
      <w:pPr>
        <w:spacing w:line="360" w:lineRule="auto"/>
        <w:rPr>
          <w:rFonts w:cstheme="minorHAnsi"/>
          <w:sz w:val="24"/>
          <w:szCs w:val="24"/>
        </w:rPr>
      </w:pPr>
      <w:r w:rsidRPr="005D49A8">
        <w:rPr>
          <w:rFonts w:cstheme="minorHAnsi"/>
          <w:sz w:val="24"/>
          <w:szCs w:val="24"/>
        </w:rPr>
        <w:t>d.</w:t>
      </w:r>
      <w:r w:rsidRPr="005D49A8">
        <w:rPr>
          <w:rFonts w:cstheme="minorHAnsi"/>
          <w:sz w:val="24"/>
          <w:szCs w:val="24"/>
        </w:rPr>
        <w:tab/>
        <w:t>Known active GI bleeding</w:t>
      </w:r>
    </w:p>
    <w:p w14:paraId="64BB60D6" w14:textId="77777777" w:rsidR="00B15178" w:rsidRPr="005D49A8" w:rsidRDefault="00B15178" w:rsidP="005D49A8">
      <w:pPr>
        <w:spacing w:line="360" w:lineRule="auto"/>
        <w:rPr>
          <w:rFonts w:cstheme="minorHAnsi"/>
          <w:sz w:val="24"/>
          <w:szCs w:val="24"/>
        </w:rPr>
      </w:pPr>
      <w:r w:rsidRPr="005D49A8">
        <w:rPr>
          <w:rFonts w:cstheme="minorHAnsi"/>
          <w:sz w:val="24"/>
          <w:szCs w:val="24"/>
        </w:rPr>
        <w:t>13.</w:t>
      </w:r>
      <w:r w:rsidRPr="005D49A8">
        <w:rPr>
          <w:rFonts w:cstheme="minorHAnsi"/>
          <w:sz w:val="24"/>
          <w:szCs w:val="24"/>
        </w:rPr>
        <w:tab/>
        <w:t xml:space="preserve">Any known immunodeficiency syndrome. </w:t>
      </w:r>
    </w:p>
    <w:p w14:paraId="037EE8F5" w14:textId="77777777" w:rsidR="00B15178" w:rsidRPr="005D49A8" w:rsidRDefault="00B15178" w:rsidP="005D49A8">
      <w:pPr>
        <w:spacing w:line="360" w:lineRule="auto"/>
        <w:rPr>
          <w:rFonts w:cstheme="minorHAnsi"/>
          <w:sz w:val="24"/>
          <w:szCs w:val="24"/>
        </w:rPr>
      </w:pPr>
      <w:r w:rsidRPr="005D49A8">
        <w:rPr>
          <w:rFonts w:cstheme="minorHAnsi"/>
          <w:sz w:val="24"/>
          <w:szCs w:val="24"/>
        </w:rPr>
        <w:t>14.</w:t>
      </w:r>
      <w:r w:rsidRPr="005D49A8">
        <w:rPr>
          <w:rFonts w:cstheme="minorHAnsi"/>
          <w:sz w:val="24"/>
          <w:szCs w:val="24"/>
        </w:rPr>
        <w:tab/>
        <w:t>Any concomitant disease or condition limiting patient safety to participate including:</w:t>
      </w:r>
    </w:p>
    <w:p w14:paraId="36BBB21B" w14:textId="77777777" w:rsidR="00B15178" w:rsidRPr="005D49A8" w:rsidRDefault="00B15178" w:rsidP="005D49A8">
      <w:pPr>
        <w:spacing w:line="360" w:lineRule="auto"/>
        <w:rPr>
          <w:rFonts w:cstheme="minorHAnsi"/>
          <w:sz w:val="24"/>
          <w:szCs w:val="24"/>
        </w:rPr>
      </w:pPr>
      <w:r w:rsidRPr="005D49A8">
        <w:rPr>
          <w:rFonts w:cstheme="minorHAnsi"/>
          <w:sz w:val="24"/>
          <w:szCs w:val="24"/>
        </w:rPr>
        <w:t>a)</w:t>
      </w:r>
      <w:r w:rsidRPr="005D49A8">
        <w:rPr>
          <w:rFonts w:cstheme="minorHAnsi"/>
          <w:sz w:val="24"/>
          <w:szCs w:val="24"/>
        </w:rPr>
        <w:tab/>
        <w:t>Coagulopathy</w:t>
      </w:r>
    </w:p>
    <w:p w14:paraId="59AC8B00" w14:textId="77777777" w:rsidR="00B15178" w:rsidRPr="005D49A8" w:rsidRDefault="00B15178" w:rsidP="005D49A8">
      <w:pPr>
        <w:spacing w:line="360" w:lineRule="auto"/>
        <w:rPr>
          <w:rFonts w:cstheme="minorHAnsi"/>
          <w:sz w:val="24"/>
          <w:szCs w:val="24"/>
        </w:rPr>
      </w:pPr>
      <w:r w:rsidRPr="005D49A8">
        <w:rPr>
          <w:rFonts w:cstheme="minorHAnsi"/>
          <w:sz w:val="24"/>
          <w:szCs w:val="24"/>
        </w:rPr>
        <w:t>b)</w:t>
      </w:r>
      <w:r w:rsidRPr="005D49A8">
        <w:rPr>
          <w:rFonts w:cstheme="minorHAnsi"/>
          <w:sz w:val="24"/>
          <w:szCs w:val="24"/>
        </w:rPr>
        <w:tab/>
        <w:t>Hypotension requiring vasopressor therapy</w:t>
      </w:r>
    </w:p>
    <w:p w14:paraId="4B5D6CFF" w14:textId="77777777" w:rsidR="00B15178" w:rsidRPr="005D49A8" w:rsidRDefault="00B15178" w:rsidP="005D49A8">
      <w:pPr>
        <w:spacing w:line="360" w:lineRule="auto"/>
        <w:rPr>
          <w:rFonts w:cstheme="minorHAnsi"/>
          <w:sz w:val="24"/>
          <w:szCs w:val="24"/>
        </w:rPr>
      </w:pPr>
      <w:r w:rsidRPr="005D49A8">
        <w:rPr>
          <w:rFonts w:cstheme="minorHAnsi"/>
          <w:sz w:val="24"/>
          <w:szCs w:val="24"/>
        </w:rPr>
        <w:t>c)</w:t>
      </w:r>
      <w:r w:rsidRPr="005D49A8">
        <w:rPr>
          <w:rFonts w:cstheme="minorHAnsi"/>
          <w:sz w:val="24"/>
          <w:szCs w:val="24"/>
        </w:rPr>
        <w:tab/>
        <w:t>Previous spinal surgery at the site of planned transplantation</w:t>
      </w:r>
    </w:p>
    <w:p w14:paraId="5A2B3EFD" w14:textId="77777777" w:rsidR="00B15178" w:rsidRPr="005D49A8" w:rsidRDefault="00B15178" w:rsidP="005D49A8">
      <w:pPr>
        <w:spacing w:line="360" w:lineRule="auto"/>
        <w:rPr>
          <w:rFonts w:cstheme="minorHAnsi"/>
          <w:sz w:val="24"/>
          <w:szCs w:val="24"/>
        </w:rPr>
      </w:pPr>
      <w:r w:rsidRPr="005D49A8">
        <w:rPr>
          <w:rFonts w:cstheme="minorHAnsi"/>
          <w:sz w:val="24"/>
          <w:szCs w:val="24"/>
        </w:rPr>
        <w:t>d)</w:t>
      </w:r>
      <w:r w:rsidRPr="005D49A8">
        <w:rPr>
          <w:rFonts w:cstheme="minorHAnsi"/>
          <w:sz w:val="24"/>
          <w:szCs w:val="24"/>
        </w:rPr>
        <w:tab/>
        <w:t>Skin breakdown over the site of LP</w:t>
      </w:r>
    </w:p>
    <w:p w14:paraId="481C4D45" w14:textId="77777777" w:rsidR="00B15178" w:rsidRPr="005D49A8" w:rsidRDefault="00B15178" w:rsidP="005D49A8">
      <w:pPr>
        <w:spacing w:line="360" w:lineRule="auto"/>
        <w:rPr>
          <w:rFonts w:cstheme="minorHAnsi"/>
          <w:sz w:val="24"/>
          <w:szCs w:val="24"/>
        </w:rPr>
      </w:pPr>
      <w:r w:rsidRPr="005D49A8">
        <w:rPr>
          <w:rFonts w:cstheme="minorHAnsi"/>
          <w:sz w:val="24"/>
          <w:szCs w:val="24"/>
        </w:rPr>
        <w:t>e)</w:t>
      </w:r>
      <w:r w:rsidRPr="005D49A8">
        <w:rPr>
          <w:rFonts w:cstheme="minorHAnsi"/>
          <w:sz w:val="24"/>
          <w:szCs w:val="24"/>
        </w:rPr>
        <w:tab/>
        <w:t>Active malignancy (except for non-melanoma skin cancer)</w:t>
      </w:r>
    </w:p>
    <w:p w14:paraId="00CD3659" w14:textId="77777777" w:rsidR="00B15178" w:rsidRPr="005D49A8" w:rsidRDefault="00B15178" w:rsidP="005D49A8">
      <w:pPr>
        <w:spacing w:line="360" w:lineRule="auto"/>
        <w:rPr>
          <w:rFonts w:cstheme="minorHAnsi"/>
          <w:sz w:val="24"/>
          <w:szCs w:val="24"/>
        </w:rPr>
      </w:pPr>
      <w:r w:rsidRPr="005D49A8">
        <w:rPr>
          <w:rFonts w:cstheme="minorHAnsi"/>
          <w:sz w:val="24"/>
          <w:szCs w:val="24"/>
        </w:rPr>
        <w:t>f)</w:t>
      </w:r>
      <w:r w:rsidRPr="005D49A8">
        <w:rPr>
          <w:rFonts w:cstheme="minorHAnsi"/>
          <w:sz w:val="24"/>
          <w:szCs w:val="24"/>
        </w:rPr>
        <w:tab/>
        <w:t>Spinal stenosis</w:t>
      </w:r>
    </w:p>
    <w:p w14:paraId="5BAAA57C" w14:textId="77777777" w:rsidR="00B15178" w:rsidRPr="005D49A8" w:rsidRDefault="00B15178" w:rsidP="005D49A8">
      <w:pPr>
        <w:spacing w:line="360" w:lineRule="auto"/>
        <w:rPr>
          <w:rFonts w:cstheme="minorHAnsi"/>
          <w:sz w:val="24"/>
          <w:szCs w:val="24"/>
        </w:rPr>
      </w:pPr>
      <w:r w:rsidRPr="005D49A8">
        <w:rPr>
          <w:rFonts w:cstheme="minorHAnsi"/>
          <w:sz w:val="24"/>
          <w:szCs w:val="24"/>
        </w:rPr>
        <w:t>g)</w:t>
      </w:r>
      <w:r w:rsidRPr="005D49A8">
        <w:rPr>
          <w:rFonts w:cstheme="minorHAnsi"/>
          <w:sz w:val="24"/>
          <w:szCs w:val="24"/>
        </w:rPr>
        <w:tab/>
        <w:t>Uncontrolled hypertension (defined as systolic &gt;180 or diastolic &gt;100)</w:t>
      </w:r>
    </w:p>
    <w:p w14:paraId="3C9B65E2" w14:textId="77777777" w:rsidR="00B15178" w:rsidRPr="005D49A8" w:rsidRDefault="00B15178" w:rsidP="005D49A8">
      <w:pPr>
        <w:spacing w:line="360" w:lineRule="auto"/>
        <w:rPr>
          <w:rFonts w:cstheme="minorHAnsi"/>
          <w:sz w:val="24"/>
          <w:szCs w:val="24"/>
        </w:rPr>
      </w:pPr>
      <w:r w:rsidRPr="005D49A8">
        <w:rPr>
          <w:rFonts w:cstheme="minorHAnsi"/>
          <w:sz w:val="24"/>
          <w:szCs w:val="24"/>
        </w:rPr>
        <w:t>h)</w:t>
      </w:r>
      <w:r w:rsidRPr="005D49A8">
        <w:rPr>
          <w:rFonts w:cstheme="minorHAnsi"/>
          <w:sz w:val="24"/>
          <w:szCs w:val="24"/>
        </w:rPr>
        <w:tab/>
        <w:t>Current drug abuse or alcoholism</w:t>
      </w:r>
    </w:p>
    <w:p w14:paraId="30A05A42" w14:textId="52199064" w:rsidR="00B15178" w:rsidRPr="005D49A8" w:rsidRDefault="00B15178" w:rsidP="005D49A8">
      <w:pPr>
        <w:spacing w:line="360" w:lineRule="auto"/>
        <w:rPr>
          <w:rFonts w:cstheme="minorHAnsi"/>
          <w:sz w:val="24"/>
          <w:szCs w:val="24"/>
        </w:rPr>
      </w:pPr>
      <w:r w:rsidRPr="005D49A8">
        <w:rPr>
          <w:rFonts w:cstheme="minorHAnsi"/>
          <w:sz w:val="24"/>
          <w:szCs w:val="24"/>
        </w:rPr>
        <w:lastRenderedPageBreak/>
        <w:t>i)</w:t>
      </w:r>
      <w:r w:rsidRPr="005D49A8">
        <w:rPr>
          <w:rFonts w:cstheme="minorHAnsi"/>
          <w:sz w:val="24"/>
          <w:szCs w:val="24"/>
        </w:rPr>
        <w:tab/>
        <w:t xml:space="preserve">Significant cognitive impairment, clinical </w:t>
      </w:r>
      <w:r w:rsidR="00BD41C6" w:rsidRPr="005D49A8">
        <w:rPr>
          <w:rFonts w:cstheme="minorHAnsi"/>
          <w:sz w:val="24"/>
          <w:szCs w:val="24"/>
        </w:rPr>
        <w:t>dementia,</w:t>
      </w:r>
      <w:r w:rsidRPr="005D49A8">
        <w:rPr>
          <w:rFonts w:cstheme="minorHAnsi"/>
          <w:sz w:val="24"/>
          <w:szCs w:val="24"/>
        </w:rPr>
        <w:t xml:space="preserve"> or psychiatric illness</w:t>
      </w:r>
    </w:p>
    <w:p w14:paraId="12B35093" w14:textId="77777777" w:rsidR="00B15178" w:rsidRPr="005D49A8" w:rsidRDefault="00B15178" w:rsidP="005D49A8">
      <w:pPr>
        <w:spacing w:line="360" w:lineRule="auto"/>
        <w:rPr>
          <w:rFonts w:cstheme="minorHAnsi"/>
          <w:sz w:val="24"/>
          <w:szCs w:val="24"/>
        </w:rPr>
      </w:pPr>
      <w:r w:rsidRPr="005D49A8">
        <w:rPr>
          <w:rFonts w:cstheme="minorHAnsi"/>
          <w:sz w:val="24"/>
          <w:szCs w:val="24"/>
        </w:rPr>
        <w:t>j)</w:t>
      </w:r>
      <w:r w:rsidRPr="005D49A8">
        <w:rPr>
          <w:rFonts w:cstheme="minorHAnsi"/>
          <w:sz w:val="24"/>
          <w:szCs w:val="24"/>
        </w:rPr>
        <w:tab/>
        <w:t>Neurodegenerative disease e.g. Parkinson’s disease, Alzheimer’s disease</w:t>
      </w:r>
    </w:p>
    <w:p w14:paraId="0426CC88" w14:textId="42F70B4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k)</w:t>
      </w:r>
      <w:r w:rsidRPr="005D49A8">
        <w:rPr>
          <w:rFonts w:cstheme="minorHAnsi"/>
          <w:sz w:val="24"/>
          <w:szCs w:val="24"/>
        </w:rPr>
        <w:tab/>
        <w:t xml:space="preserve">Suicidality rating (Columbia-Suicide Severity Rating Scale - C-SSRS) equal to levels 6-10) i.e., has exhibited any suicidal </w:t>
      </w:r>
      <w:r w:rsidR="00FA5982" w:rsidRPr="005D49A8">
        <w:rPr>
          <w:rFonts w:cstheme="minorHAnsi"/>
          <w:sz w:val="24"/>
          <w:szCs w:val="24"/>
        </w:rPr>
        <w:t>behaviours</w:t>
      </w:r>
      <w:r w:rsidRPr="005D49A8">
        <w:rPr>
          <w:rFonts w:cstheme="minorHAnsi"/>
          <w:sz w:val="24"/>
          <w:szCs w:val="24"/>
        </w:rPr>
        <w:t xml:space="preserve"> </w:t>
      </w:r>
    </w:p>
    <w:p w14:paraId="5F812890" w14:textId="77777777" w:rsidR="00B15178" w:rsidRPr="005D49A8" w:rsidRDefault="00B15178" w:rsidP="005D49A8">
      <w:pPr>
        <w:spacing w:line="360" w:lineRule="auto"/>
        <w:ind w:left="720" w:hanging="720"/>
        <w:rPr>
          <w:rFonts w:cstheme="minorHAnsi"/>
          <w:sz w:val="24"/>
          <w:szCs w:val="24"/>
        </w:rPr>
      </w:pPr>
      <w:r w:rsidRPr="005D49A8">
        <w:rPr>
          <w:rFonts w:cstheme="minorHAnsi"/>
          <w:sz w:val="24"/>
          <w:szCs w:val="24"/>
        </w:rPr>
        <w:t>l)</w:t>
      </w:r>
      <w:r w:rsidRPr="005D49A8">
        <w:rPr>
          <w:rFonts w:cstheme="minorHAnsi"/>
          <w:sz w:val="24"/>
          <w:szCs w:val="24"/>
        </w:rPr>
        <w:tab/>
        <w:t>Significant pulmonary disorder not attributed to ALS or requires treatment that might complicate the evaluation of ALS on respiratory function</w:t>
      </w:r>
    </w:p>
    <w:p w14:paraId="63FE7168" w14:textId="5D7DF93A" w:rsidR="003C7E74" w:rsidRPr="005D49A8" w:rsidRDefault="00B15178" w:rsidP="005D49A8">
      <w:pPr>
        <w:spacing w:line="360" w:lineRule="auto"/>
        <w:ind w:left="720" w:hanging="720"/>
        <w:rPr>
          <w:rFonts w:cstheme="minorHAnsi"/>
          <w:sz w:val="24"/>
          <w:szCs w:val="24"/>
        </w:rPr>
      </w:pPr>
      <w:r w:rsidRPr="005D49A8">
        <w:rPr>
          <w:rFonts w:cstheme="minorHAnsi"/>
          <w:sz w:val="24"/>
          <w:szCs w:val="24"/>
        </w:rPr>
        <w:t>m)</w:t>
      </w:r>
      <w:r w:rsidRPr="005D49A8">
        <w:rPr>
          <w:rFonts w:cstheme="minorHAnsi"/>
          <w:sz w:val="24"/>
          <w:szCs w:val="24"/>
        </w:rPr>
        <w:tab/>
        <w:t>Known hypersensitivity to mycophenolate mofetil such as suffering from phenylketonuria (PKU)</w:t>
      </w:r>
    </w:p>
    <w:p w14:paraId="6D5EA765" w14:textId="77777777" w:rsidR="006B4154" w:rsidRPr="000F245E" w:rsidRDefault="006B4154" w:rsidP="006B4154">
      <w:pPr>
        <w:spacing w:after="0" w:line="360" w:lineRule="auto"/>
        <w:rPr>
          <w:rFonts w:cstheme="minorHAnsi"/>
          <w:b/>
          <w:color w:val="000000" w:themeColor="text1"/>
          <w:sz w:val="24"/>
          <w:szCs w:val="24"/>
          <w:u w:val="single"/>
        </w:rPr>
      </w:pPr>
      <w:r w:rsidRPr="000F245E">
        <w:rPr>
          <w:rFonts w:cstheme="minorHAnsi"/>
          <w:b/>
          <w:color w:val="000000" w:themeColor="text1"/>
          <w:sz w:val="24"/>
          <w:szCs w:val="24"/>
          <w:u w:val="single"/>
        </w:rPr>
        <w:t>Serum neurofilament analysis</w:t>
      </w:r>
    </w:p>
    <w:p w14:paraId="6348AF52" w14:textId="77777777" w:rsidR="006B4154" w:rsidRPr="005D49A8" w:rsidRDefault="006B4154" w:rsidP="006B4154">
      <w:pPr>
        <w:spacing w:after="0" w:line="360" w:lineRule="auto"/>
        <w:rPr>
          <w:rFonts w:cstheme="minorHAnsi"/>
          <w:color w:val="000000" w:themeColor="text1"/>
          <w:sz w:val="24"/>
          <w:szCs w:val="24"/>
        </w:rPr>
      </w:pPr>
      <w:sdt>
        <w:sdtPr>
          <w:rPr>
            <w:rFonts w:cstheme="minorHAnsi"/>
            <w:color w:val="000000" w:themeColor="text1"/>
            <w:sz w:val="24"/>
            <w:szCs w:val="24"/>
          </w:rPr>
          <w:tag w:val="goog_rdk_146"/>
          <w:id w:val="-49537106"/>
        </w:sdtPr>
        <w:sdtContent/>
      </w:sdt>
      <w:sdt>
        <w:sdtPr>
          <w:rPr>
            <w:rFonts w:cstheme="minorHAnsi"/>
            <w:color w:val="000000" w:themeColor="text1"/>
            <w:sz w:val="24"/>
            <w:szCs w:val="24"/>
          </w:rPr>
          <w:tag w:val="goog_rdk_147"/>
          <w:id w:val="-1732997048"/>
        </w:sdtPr>
        <w:sdtContent/>
      </w:sdt>
      <w:r w:rsidRPr="005D49A8">
        <w:rPr>
          <w:rFonts w:cstheme="minorHAnsi"/>
          <w:color w:val="000000" w:themeColor="text1"/>
          <w:sz w:val="24"/>
          <w:szCs w:val="24"/>
        </w:rPr>
        <w:t xml:space="preserve">Serum samples for the analysis of </w:t>
      </w:r>
      <w:proofErr w:type="spellStart"/>
      <w:r w:rsidRPr="005D49A8">
        <w:rPr>
          <w:rFonts w:cstheme="minorHAnsi"/>
          <w:color w:val="000000" w:themeColor="text1"/>
          <w:sz w:val="24"/>
          <w:szCs w:val="24"/>
        </w:rPr>
        <w:t>Nfl</w:t>
      </w:r>
      <w:proofErr w:type="spellEnd"/>
      <w:r w:rsidRPr="005D49A8">
        <w:rPr>
          <w:rFonts w:cstheme="minorHAnsi"/>
          <w:color w:val="000000" w:themeColor="text1"/>
          <w:sz w:val="24"/>
          <w:szCs w:val="24"/>
        </w:rPr>
        <w:t xml:space="preserve"> as a biomarker for ALS progression were collected from patient in groups A and B. In study Astro-001-IL, samples were collected on Visit 2 (day -60), Visit 3 (day -30), Visit 4a (day -1), Visit 4d (day +1), Visit 5 (day +30), Visit 7 (day +90) and Visit EOS (day +180). In the extension study Astro-002-IL, samples were collected at the Screening Visit (day +180; </w:t>
      </w:r>
      <w:proofErr w:type="spellStart"/>
      <w:r w:rsidRPr="005D49A8">
        <w:rPr>
          <w:rFonts w:cstheme="minorHAnsi"/>
          <w:color w:val="000000" w:themeColor="text1"/>
          <w:sz w:val="24"/>
          <w:szCs w:val="24"/>
        </w:rPr>
        <w:t>EoS</w:t>
      </w:r>
      <w:proofErr w:type="spellEnd"/>
      <w:r w:rsidRPr="005D49A8">
        <w:rPr>
          <w:rFonts w:cstheme="minorHAnsi"/>
          <w:color w:val="000000" w:themeColor="text1"/>
          <w:sz w:val="24"/>
          <w:szCs w:val="24"/>
        </w:rPr>
        <w:t xml:space="preserve"> Visit in protocol Astro-001-IL), Visit 9M (day +270), and EOS Visit (day +365). The measurement of the concentration of the biomarker in serum was performed using the validated SIOMA (Single Molecule Array) method by </w:t>
      </w:r>
      <w:proofErr w:type="spellStart"/>
      <w:r w:rsidRPr="005D49A8">
        <w:rPr>
          <w:rFonts w:cstheme="minorHAnsi"/>
          <w:color w:val="000000" w:themeColor="text1"/>
          <w:sz w:val="24"/>
          <w:szCs w:val="24"/>
        </w:rPr>
        <w:t>Quanterix</w:t>
      </w:r>
      <w:proofErr w:type="spellEnd"/>
      <w:r w:rsidRPr="005D49A8">
        <w:rPr>
          <w:rFonts w:cstheme="minorHAnsi"/>
          <w:color w:val="000000" w:themeColor="text1"/>
          <w:sz w:val="24"/>
          <w:szCs w:val="24"/>
        </w:rPr>
        <w:t xml:space="preserve"> Ltd. (US).</w:t>
      </w:r>
    </w:p>
    <w:p w14:paraId="44CF1F01" w14:textId="58E549A5" w:rsidR="00996736" w:rsidRPr="005D49A8" w:rsidRDefault="00996736" w:rsidP="005D49A8">
      <w:pPr>
        <w:spacing w:line="360" w:lineRule="auto"/>
        <w:ind w:left="720" w:hanging="720"/>
        <w:rPr>
          <w:rFonts w:cstheme="minorHAnsi"/>
          <w:sz w:val="24"/>
          <w:szCs w:val="24"/>
        </w:rPr>
      </w:pPr>
    </w:p>
    <w:p w14:paraId="7531E409" w14:textId="3B65DC7F" w:rsidR="00996736" w:rsidRPr="000F245E" w:rsidRDefault="00996736" w:rsidP="005D49A8">
      <w:pPr>
        <w:pStyle w:val="ListParagraph"/>
        <w:spacing w:after="240" w:line="360" w:lineRule="auto"/>
        <w:ind w:left="0"/>
        <w:jc w:val="both"/>
        <w:rPr>
          <w:rFonts w:asciiTheme="minorHAnsi" w:hAnsiTheme="minorHAnsi" w:cstheme="minorHAnsi"/>
          <w:b/>
          <w:bCs/>
          <w:sz w:val="24"/>
          <w:szCs w:val="24"/>
          <w:u w:val="single"/>
        </w:rPr>
      </w:pPr>
      <w:r w:rsidRPr="000F245E">
        <w:rPr>
          <w:rFonts w:asciiTheme="minorHAnsi" w:hAnsiTheme="minorHAnsi" w:cstheme="minorHAnsi"/>
          <w:b/>
          <w:bCs/>
          <w:sz w:val="24"/>
          <w:szCs w:val="24"/>
          <w:u w:val="single"/>
        </w:rPr>
        <w:t xml:space="preserve">Calculation of HHD </w:t>
      </w:r>
      <w:proofErr w:type="spellStart"/>
      <w:r w:rsidRPr="000F245E">
        <w:rPr>
          <w:rFonts w:asciiTheme="minorHAnsi" w:hAnsiTheme="minorHAnsi" w:cstheme="minorHAnsi"/>
          <w:b/>
          <w:bCs/>
          <w:sz w:val="24"/>
          <w:szCs w:val="24"/>
          <w:u w:val="single"/>
        </w:rPr>
        <w:t>megascore</w:t>
      </w:r>
      <w:proofErr w:type="spellEnd"/>
    </w:p>
    <w:p w14:paraId="465DB81C" w14:textId="6069139D" w:rsidR="00996736" w:rsidRPr="005D49A8" w:rsidRDefault="00996736" w:rsidP="005D49A8">
      <w:pPr>
        <w:pStyle w:val="ListParagraph"/>
        <w:spacing w:after="240" w:line="360" w:lineRule="auto"/>
        <w:ind w:left="0"/>
        <w:jc w:val="both"/>
        <w:rPr>
          <w:rFonts w:asciiTheme="minorHAnsi" w:hAnsiTheme="minorHAnsi" w:cstheme="minorHAnsi"/>
          <w:sz w:val="24"/>
          <w:szCs w:val="24"/>
        </w:rPr>
      </w:pPr>
      <w:r w:rsidRPr="005D49A8">
        <w:rPr>
          <w:rFonts w:asciiTheme="minorHAnsi" w:hAnsiTheme="minorHAnsi" w:cstheme="minorHAnsi"/>
          <w:sz w:val="24"/>
          <w:szCs w:val="24"/>
        </w:rPr>
        <w:t xml:space="preserve">The limb strength measured by the Handheld Dynamometer (HHD) was measured in KG/F and for the following organs (left and right sides): </w:t>
      </w:r>
    </w:p>
    <w:p w14:paraId="2F9102FB"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shoulder flexion </w:t>
      </w:r>
    </w:p>
    <w:p w14:paraId="692C1CDD"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elbow flexion </w:t>
      </w:r>
    </w:p>
    <w:p w14:paraId="5C5C47A4"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elbow extension </w:t>
      </w:r>
    </w:p>
    <w:p w14:paraId="5B3533FF"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wrist extension </w:t>
      </w:r>
    </w:p>
    <w:p w14:paraId="23189A2D"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first dorsal interosseous </w:t>
      </w:r>
    </w:p>
    <w:p w14:paraId="01DF7057"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hip flexion </w:t>
      </w:r>
    </w:p>
    <w:p w14:paraId="73E571B9"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knee extension </w:t>
      </w:r>
    </w:p>
    <w:p w14:paraId="4448C849"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t xml:space="preserve">knee flexion </w:t>
      </w:r>
    </w:p>
    <w:p w14:paraId="37386FA9" w14:textId="77777777" w:rsidR="00996736" w:rsidRPr="005D49A8" w:rsidRDefault="00996736" w:rsidP="005D49A8">
      <w:pPr>
        <w:pStyle w:val="ListParagraph"/>
        <w:numPr>
          <w:ilvl w:val="0"/>
          <w:numId w:val="3"/>
        </w:numPr>
        <w:spacing w:after="0" w:line="360" w:lineRule="auto"/>
        <w:jc w:val="both"/>
        <w:rPr>
          <w:rFonts w:asciiTheme="minorHAnsi" w:hAnsiTheme="minorHAnsi" w:cstheme="minorHAnsi"/>
          <w:sz w:val="24"/>
          <w:szCs w:val="24"/>
        </w:rPr>
      </w:pPr>
      <w:r w:rsidRPr="005D49A8">
        <w:rPr>
          <w:rFonts w:asciiTheme="minorHAnsi" w:hAnsiTheme="minorHAnsi" w:cstheme="minorHAnsi"/>
          <w:sz w:val="24"/>
          <w:szCs w:val="24"/>
        </w:rPr>
        <w:lastRenderedPageBreak/>
        <w:t xml:space="preserve">ankle dorsiflexion </w:t>
      </w:r>
    </w:p>
    <w:p w14:paraId="0B2089C1" w14:textId="77777777" w:rsidR="00996736" w:rsidRPr="005D49A8" w:rsidRDefault="00996736" w:rsidP="005D49A8">
      <w:pPr>
        <w:pStyle w:val="ListParagraph"/>
        <w:spacing w:after="0" w:line="360" w:lineRule="auto"/>
        <w:ind w:left="0"/>
        <w:jc w:val="both"/>
        <w:rPr>
          <w:rFonts w:asciiTheme="minorHAnsi" w:hAnsiTheme="minorHAnsi" w:cstheme="minorHAnsi"/>
          <w:sz w:val="24"/>
          <w:szCs w:val="24"/>
        </w:rPr>
      </w:pPr>
    </w:p>
    <w:p w14:paraId="164E6687" w14:textId="74347BA1" w:rsidR="00996736" w:rsidRPr="005D49A8" w:rsidRDefault="00996736" w:rsidP="005D49A8">
      <w:pPr>
        <w:pStyle w:val="ListParagraph"/>
        <w:spacing w:after="0" w:line="360" w:lineRule="auto"/>
        <w:ind w:left="0"/>
        <w:jc w:val="both"/>
        <w:rPr>
          <w:rFonts w:asciiTheme="minorHAnsi" w:hAnsiTheme="minorHAnsi" w:cstheme="minorHAnsi"/>
          <w:sz w:val="24"/>
          <w:szCs w:val="24"/>
        </w:rPr>
      </w:pPr>
      <w:r w:rsidRPr="005D49A8">
        <w:rPr>
          <w:rFonts w:asciiTheme="minorHAnsi" w:hAnsiTheme="minorHAnsi" w:cstheme="minorHAnsi"/>
          <w:sz w:val="24"/>
          <w:szCs w:val="24"/>
        </w:rPr>
        <w:t xml:space="preserve">The HDD mega-score </w:t>
      </w:r>
      <w:r w:rsidR="005D49A8" w:rsidRPr="005D49A8">
        <w:rPr>
          <w:rFonts w:asciiTheme="minorHAnsi" w:hAnsiTheme="minorHAnsi" w:cstheme="minorHAnsi"/>
          <w:sz w:val="24"/>
          <w:szCs w:val="24"/>
        </w:rPr>
        <w:t>was</w:t>
      </w:r>
      <w:r w:rsidRPr="005D49A8">
        <w:rPr>
          <w:rFonts w:asciiTheme="minorHAnsi" w:hAnsiTheme="minorHAnsi" w:cstheme="minorHAnsi"/>
          <w:sz w:val="24"/>
          <w:szCs w:val="24"/>
        </w:rPr>
        <w:t xml:space="preserve"> calculated by averaging the standardized 18 organs scores (9 organs, left and right sides). </w:t>
      </w:r>
    </w:p>
    <w:p w14:paraId="41F3FF90" w14:textId="184A0361" w:rsidR="00996736" w:rsidRPr="005D49A8" w:rsidRDefault="00996736" w:rsidP="005D49A8">
      <w:pPr>
        <w:pStyle w:val="ListParagraph"/>
        <w:spacing w:after="0" w:line="360" w:lineRule="auto"/>
        <w:ind w:left="0"/>
        <w:jc w:val="both"/>
        <w:rPr>
          <w:rFonts w:asciiTheme="minorHAnsi" w:hAnsiTheme="minorHAnsi" w:cstheme="minorHAnsi"/>
          <w:sz w:val="24"/>
          <w:szCs w:val="24"/>
        </w:rPr>
      </w:pPr>
      <w:r w:rsidRPr="005D49A8">
        <w:rPr>
          <w:rFonts w:asciiTheme="minorHAnsi" w:hAnsiTheme="minorHAnsi" w:cstheme="minorHAnsi"/>
          <w:sz w:val="24"/>
          <w:szCs w:val="24"/>
        </w:rPr>
        <w:t xml:space="preserve">The standardized HDD </w:t>
      </w:r>
      <w:proofErr w:type="spellStart"/>
      <w:r w:rsidRPr="005D49A8">
        <w:rPr>
          <w:rFonts w:asciiTheme="minorHAnsi" w:hAnsiTheme="minorHAnsi" w:cstheme="minorHAnsi"/>
          <w:sz w:val="24"/>
          <w:szCs w:val="24"/>
        </w:rPr>
        <w:t>megascore</w:t>
      </w:r>
      <w:proofErr w:type="spellEnd"/>
      <w:r w:rsidR="005D49A8" w:rsidRPr="005D49A8">
        <w:rPr>
          <w:rFonts w:asciiTheme="minorHAnsi" w:hAnsiTheme="minorHAnsi" w:cstheme="minorHAnsi"/>
          <w:sz w:val="24"/>
          <w:szCs w:val="24"/>
        </w:rPr>
        <w:t xml:space="preserve"> was</w:t>
      </w:r>
      <w:r w:rsidRPr="005D49A8">
        <w:rPr>
          <w:rFonts w:asciiTheme="minorHAnsi" w:hAnsiTheme="minorHAnsi" w:cstheme="minorHAnsi"/>
          <w:sz w:val="24"/>
          <w:szCs w:val="24"/>
        </w:rPr>
        <w:t xml:space="preserve"> calculated according to the following formulae for each patient and visit:</w:t>
      </w:r>
    </w:p>
    <w:p w14:paraId="3EBF025A" w14:textId="77777777" w:rsidR="00996736" w:rsidRPr="005D49A8" w:rsidRDefault="00996736" w:rsidP="005D49A8">
      <w:pPr>
        <w:pStyle w:val="ListParagraph"/>
        <w:spacing w:after="0" w:line="360" w:lineRule="auto"/>
        <w:ind w:left="0"/>
        <w:jc w:val="both"/>
        <w:rPr>
          <w:rFonts w:asciiTheme="minorHAnsi" w:hAnsiTheme="minorHAnsi" w:cstheme="minorHAnsi"/>
          <w:sz w:val="24"/>
          <w:szCs w:val="24"/>
        </w:rPr>
      </w:pPr>
      <w:r w:rsidRPr="005D49A8">
        <w:rPr>
          <w:rFonts w:asciiTheme="minorHAnsi" w:hAnsiTheme="minorHAnsi" w:cstheme="minorHAnsi"/>
          <w:sz w:val="24"/>
          <w:szCs w:val="24"/>
        </w:rPr>
        <w:t>Standardized score = (Organ score – Mean)/SD;</w:t>
      </w:r>
    </w:p>
    <w:p w14:paraId="6E698072" w14:textId="59B5CEAE" w:rsidR="00996736" w:rsidRPr="005D49A8" w:rsidRDefault="00996736" w:rsidP="005D49A8">
      <w:pPr>
        <w:pStyle w:val="ListParagraph"/>
        <w:spacing w:after="0" w:line="360" w:lineRule="auto"/>
        <w:ind w:left="0"/>
        <w:jc w:val="both"/>
        <w:rPr>
          <w:rFonts w:asciiTheme="minorHAnsi" w:hAnsiTheme="minorHAnsi" w:cstheme="minorHAnsi"/>
          <w:sz w:val="24"/>
          <w:szCs w:val="24"/>
        </w:rPr>
      </w:pPr>
      <w:r w:rsidRPr="005D49A8">
        <w:rPr>
          <w:rFonts w:asciiTheme="minorHAnsi" w:hAnsiTheme="minorHAnsi" w:cstheme="minorHAnsi"/>
          <w:sz w:val="24"/>
          <w:szCs w:val="24"/>
        </w:rPr>
        <w:t xml:space="preserve">Where Mean and SD for each organ are derived from: Shefner JM, Liu D, Leitner ML, et al. Quantitative strength testing in ALS clinical trials. Neurology. 2016;87(6):617-624. </w:t>
      </w:r>
    </w:p>
    <w:p w14:paraId="2EC6D3D6" w14:textId="77777777" w:rsidR="005D49A8" w:rsidRPr="005D49A8" w:rsidRDefault="005D49A8" w:rsidP="005D49A8">
      <w:pPr>
        <w:pStyle w:val="ListParagraph"/>
        <w:spacing w:after="0" w:line="360" w:lineRule="auto"/>
        <w:ind w:left="0"/>
        <w:jc w:val="both"/>
        <w:rPr>
          <w:rFonts w:asciiTheme="minorHAnsi" w:hAnsiTheme="minorHAnsi" w:cstheme="minorHAnsi"/>
          <w:sz w:val="24"/>
          <w:szCs w:val="24"/>
        </w:rPr>
      </w:pPr>
    </w:p>
    <w:sectPr w:rsidR="005D49A8" w:rsidRPr="005D49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02426"/>
    <w:multiLevelType w:val="multilevel"/>
    <w:tmpl w:val="5912A17C"/>
    <w:lvl w:ilvl="0">
      <w:start w:val="1"/>
      <w:numFmt w:val="decimal"/>
      <w:lvlText w:val="%1"/>
      <w:lvlJc w:val="left"/>
      <w:pPr>
        <w:ind w:left="432" w:hanging="432"/>
      </w:pPr>
      <w:rPr>
        <w:rFonts w:hint="default"/>
        <w:i w:val="0"/>
        <w:iCs w:val="0"/>
      </w:rPr>
    </w:lvl>
    <w:lvl w:ilvl="1">
      <w:start w:val="1"/>
      <w:numFmt w:val="decimal"/>
      <w:lvlText w:val="%1.%2"/>
      <w:lvlJc w:val="left"/>
      <w:pPr>
        <w:ind w:left="1002" w:hanging="576"/>
      </w:pPr>
      <w:rPr>
        <w:rFonts w:hint="default"/>
      </w:rPr>
    </w:lvl>
    <w:lvl w:ilvl="2">
      <w:start w:val="1"/>
      <w:numFmt w:val="decimal"/>
      <w:pStyle w:val="Heading3"/>
      <w:lvlText w:val="%1.5.%3"/>
      <w:lvlJc w:val="left"/>
      <w:pPr>
        <w:ind w:left="720" w:hanging="720"/>
      </w:pPr>
    </w:lvl>
    <w:lvl w:ilvl="3">
      <w:start w:val="1"/>
      <w:numFmt w:val="decimal"/>
      <w:lvlText w:val="%1.%2.%3.%4"/>
      <w:lvlJc w:val="left"/>
      <w:pPr>
        <w:ind w:left="864" w:hanging="864"/>
      </w:pPr>
      <w:rPr>
        <w:rFonts w:hint="default"/>
        <w:b/>
        <w:bCs/>
        <w:strike w:val="0"/>
        <w:color w:val="auto"/>
      </w:rPr>
    </w:lvl>
    <w:lvl w:ilvl="4">
      <w:start w:val="1"/>
      <w:numFmt w:val="decimal"/>
      <w:lvlText w:val="%1.%2.%3.%4.%5"/>
      <w:lvlJc w:val="left"/>
      <w:pPr>
        <w:ind w:left="1292" w:hanging="1008"/>
      </w:pPr>
      <w:rPr>
        <w:rFonts w:hint="default"/>
        <w:b w:val="0"/>
        <w:bCs/>
        <w:strike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570067ED"/>
    <w:multiLevelType w:val="multilevel"/>
    <w:tmpl w:val="8822F9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DC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4B10C91"/>
    <w:multiLevelType w:val="hybridMultilevel"/>
    <w:tmpl w:val="8E945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799064">
    <w:abstractNumId w:val="0"/>
  </w:num>
  <w:num w:numId="2" w16cid:durableId="1356887565">
    <w:abstractNumId w:val="1"/>
  </w:num>
  <w:num w:numId="3" w16cid:durableId="2094933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E"/>
    <w:rsid w:val="000F245E"/>
    <w:rsid w:val="000F7F20"/>
    <w:rsid w:val="00125626"/>
    <w:rsid w:val="003C3FDE"/>
    <w:rsid w:val="003C7E74"/>
    <w:rsid w:val="00573407"/>
    <w:rsid w:val="005D49A8"/>
    <w:rsid w:val="005F6A1F"/>
    <w:rsid w:val="006044C3"/>
    <w:rsid w:val="006B4154"/>
    <w:rsid w:val="008004EF"/>
    <w:rsid w:val="009710D1"/>
    <w:rsid w:val="00972447"/>
    <w:rsid w:val="00996736"/>
    <w:rsid w:val="00B15178"/>
    <w:rsid w:val="00BC4CAB"/>
    <w:rsid w:val="00BD41C6"/>
    <w:rsid w:val="00FA59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3589"/>
  <w15:chartTrackingRefBased/>
  <w15:docId w15:val="{41F23E20-4EC9-44EE-B385-6B9FA2FE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5F6A1F"/>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3C3FD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3">
    <w:name w:val="DC 3"/>
    <w:basedOn w:val="Heading3"/>
    <w:link w:val="DC3Char"/>
    <w:qFormat/>
    <w:rsid w:val="005F6A1F"/>
    <w:pPr>
      <w:keepNext w:val="0"/>
      <w:keepLines w:val="0"/>
      <w:numPr>
        <w:numId w:val="2"/>
      </w:numPr>
      <w:spacing w:before="120" w:after="120" w:line="276" w:lineRule="auto"/>
    </w:pPr>
    <w:rPr>
      <w:rFonts w:ascii="Times New Roman" w:eastAsiaTheme="minorHAnsi" w:hAnsi="Times New Roman" w:cs="Times New Roman"/>
      <w:color w:val="auto"/>
    </w:rPr>
  </w:style>
  <w:style w:type="character" w:customStyle="1" w:styleId="DC3Char">
    <w:name w:val="DC 3 Char"/>
    <w:basedOn w:val="DefaultParagraphFont"/>
    <w:link w:val="DC3"/>
    <w:rsid w:val="005F6A1F"/>
    <w:rPr>
      <w:rFonts w:ascii="Times New Roman" w:hAnsi="Times New Roman" w:cs="Times New Roman"/>
      <w:sz w:val="24"/>
      <w:szCs w:val="24"/>
    </w:rPr>
  </w:style>
  <w:style w:type="character" w:customStyle="1" w:styleId="Heading3Char">
    <w:name w:val="Heading 3 Char"/>
    <w:basedOn w:val="DefaultParagraphFont"/>
    <w:link w:val="Heading3"/>
    <w:uiPriority w:val="9"/>
    <w:rsid w:val="005F6A1F"/>
    <w:rPr>
      <w:rFonts w:asciiTheme="majorHAnsi" w:eastAsiaTheme="majorEastAsia" w:hAnsiTheme="majorHAnsi" w:cstheme="majorBidi"/>
      <w:color w:val="1F3763" w:themeColor="accent1" w:themeShade="7F"/>
      <w:sz w:val="24"/>
      <w:szCs w:val="24"/>
    </w:rPr>
  </w:style>
  <w:style w:type="paragraph" w:customStyle="1" w:styleId="p">
    <w:name w:val="p"/>
    <w:basedOn w:val="Normal"/>
    <w:rsid w:val="003C3FD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C3FDE"/>
    <w:rPr>
      <w:i/>
      <w:iCs/>
    </w:rPr>
  </w:style>
  <w:style w:type="character" w:styleId="Hyperlink">
    <w:name w:val="Hyperlink"/>
    <w:basedOn w:val="DefaultParagraphFont"/>
    <w:uiPriority w:val="99"/>
    <w:semiHidden/>
    <w:unhideWhenUsed/>
    <w:rsid w:val="003C3FDE"/>
    <w:rPr>
      <w:color w:val="0000FF"/>
      <w:u w:val="single"/>
    </w:rPr>
  </w:style>
  <w:style w:type="paragraph" w:styleId="NormalWeb">
    <w:name w:val="Normal (Web)"/>
    <w:basedOn w:val="Normal"/>
    <w:uiPriority w:val="99"/>
    <w:semiHidden/>
    <w:unhideWhenUsed/>
    <w:rsid w:val="003C3F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C3FDE"/>
    <w:rPr>
      <w:rFonts w:ascii="Times New Roman" w:eastAsia="Times New Roman" w:hAnsi="Times New Roman" w:cs="Times New Roman"/>
      <w:b/>
      <w:bCs/>
      <w:sz w:val="24"/>
      <w:szCs w:val="24"/>
    </w:rPr>
  </w:style>
  <w:style w:type="paragraph" w:styleId="ListParagraph">
    <w:name w:val="List Paragraph"/>
    <w:basedOn w:val="Normal"/>
    <w:uiPriority w:val="34"/>
    <w:qFormat/>
    <w:rsid w:val="00996736"/>
    <w:pPr>
      <w:spacing w:after="200" w:line="276" w:lineRule="auto"/>
      <w:ind w:left="720"/>
      <w:contextualSpacing/>
    </w:pPr>
    <w:rPr>
      <w:rFonts w:ascii="Lucida Sans Unicode" w:eastAsia="Times New Roman" w:hAnsi="Lucida Sans Unicode" w:cs="Times New Roman"/>
      <w:lang w:val="en-GB" w:bidi="ar-SA"/>
    </w:rPr>
  </w:style>
  <w:style w:type="paragraph" w:customStyle="1" w:styleId="Default">
    <w:name w:val="Default"/>
    <w:rsid w:val="00996736"/>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759849">
      <w:bodyDiv w:val="1"/>
      <w:marLeft w:val="0"/>
      <w:marRight w:val="0"/>
      <w:marTop w:val="0"/>
      <w:marBottom w:val="0"/>
      <w:divBdr>
        <w:top w:val="none" w:sz="0" w:space="0" w:color="auto"/>
        <w:left w:val="none" w:sz="0" w:space="0" w:color="auto"/>
        <w:bottom w:val="none" w:sz="0" w:space="0" w:color="auto"/>
        <w:right w:val="none" w:sz="0" w:space="0" w:color="auto"/>
      </w:divBdr>
      <w:divsChild>
        <w:div w:id="389766978">
          <w:marLeft w:val="0"/>
          <w:marRight w:val="0"/>
          <w:marTop w:val="400"/>
          <w:marBottom w:val="400"/>
          <w:divBdr>
            <w:top w:val="none" w:sz="0" w:space="0" w:color="auto"/>
            <w:left w:val="none" w:sz="0" w:space="0" w:color="auto"/>
            <w:bottom w:val="none" w:sz="0" w:space="0" w:color="auto"/>
            <w:right w:val="none" w:sz="0" w:space="0" w:color="auto"/>
          </w:divBdr>
        </w:div>
        <w:div w:id="163277390">
          <w:marLeft w:val="0"/>
          <w:marRight w:val="0"/>
          <w:marTop w:val="400"/>
          <w:marBottom w:val="400"/>
          <w:divBdr>
            <w:top w:val="none" w:sz="0" w:space="0" w:color="auto"/>
            <w:left w:val="none" w:sz="0" w:space="0" w:color="auto"/>
            <w:bottom w:val="none" w:sz="0" w:space="0" w:color="auto"/>
            <w:right w:val="none" w:sz="0" w:space="0" w:color="auto"/>
          </w:divBdr>
        </w:div>
        <w:div w:id="184444762">
          <w:marLeft w:val="0"/>
          <w:marRight w:val="0"/>
          <w:marTop w:val="400"/>
          <w:marBottom w:val="400"/>
          <w:divBdr>
            <w:top w:val="none" w:sz="0" w:space="0" w:color="auto"/>
            <w:left w:val="none" w:sz="0" w:space="0" w:color="auto"/>
            <w:bottom w:val="none" w:sz="0" w:space="0" w:color="auto"/>
            <w:right w:val="none" w:sz="0" w:space="0" w:color="auto"/>
          </w:divBdr>
          <w:divsChild>
            <w:div w:id="1301963413">
              <w:marLeft w:val="0"/>
              <w:marRight w:val="0"/>
              <w:marTop w:val="400"/>
              <w:marBottom w:val="400"/>
              <w:divBdr>
                <w:top w:val="none" w:sz="0" w:space="0" w:color="auto"/>
                <w:left w:val="none" w:sz="0" w:space="0" w:color="auto"/>
                <w:bottom w:val="none" w:sz="0" w:space="0" w:color="auto"/>
                <w:right w:val="none" w:sz="0" w:space="0" w:color="auto"/>
              </w:divBdr>
            </w:div>
          </w:divsChild>
        </w:div>
        <w:div w:id="1410226125">
          <w:marLeft w:val="0"/>
          <w:marRight w:val="0"/>
          <w:marTop w:val="400"/>
          <w:marBottom w:val="400"/>
          <w:divBdr>
            <w:top w:val="none" w:sz="0" w:space="0" w:color="auto"/>
            <w:left w:val="none" w:sz="0" w:space="0" w:color="auto"/>
            <w:bottom w:val="none" w:sz="0" w:space="0" w:color="auto"/>
            <w:right w:val="none" w:sz="0" w:space="0" w:color="auto"/>
          </w:divBdr>
          <w:divsChild>
            <w:div w:id="258418716">
              <w:marLeft w:val="0"/>
              <w:marRight w:val="0"/>
              <w:marTop w:val="400"/>
              <w:marBottom w:val="400"/>
              <w:divBdr>
                <w:top w:val="none" w:sz="0" w:space="0" w:color="auto"/>
                <w:left w:val="none" w:sz="0" w:space="0" w:color="auto"/>
                <w:bottom w:val="none" w:sz="0" w:space="0" w:color="auto"/>
                <w:right w:val="none" w:sz="0" w:space="0" w:color="auto"/>
              </w:divBdr>
            </w:div>
          </w:divsChild>
        </w:div>
        <w:div w:id="35548761">
          <w:marLeft w:val="0"/>
          <w:marRight w:val="0"/>
          <w:marTop w:val="400"/>
          <w:marBottom w:val="400"/>
          <w:divBdr>
            <w:top w:val="none" w:sz="0" w:space="0" w:color="auto"/>
            <w:left w:val="none" w:sz="0" w:space="0" w:color="auto"/>
            <w:bottom w:val="none" w:sz="0" w:space="0" w:color="auto"/>
            <w:right w:val="none" w:sz="0" w:space="0" w:color="auto"/>
          </w:divBdr>
        </w:div>
        <w:div w:id="122815479">
          <w:marLeft w:val="0"/>
          <w:marRight w:val="0"/>
          <w:marTop w:val="400"/>
          <w:marBottom w:val="400"/>
          <w:divBdr>
            <w:top w:val="none" w:sz="0" w:space="0" w:color="auto"/>
            <w:left w:val="none" w:sz="0" w:space="0" w:color="auto"/>
            <w:bottom w:val="none" w:sz="0" w:space="0" w:color="auto"/>
            <w:right w:val="none" w:sz="0" w:space="0" w:color="auto"/>
          </w:divBdr>
        </w:div>
      </w:divsChild>
    </w:div>
    <w:div w:id="94608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1139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Slutsky</dc:creator>
  <cp:keywords/>
  <dc:description/>
  <cp:lastModifiedBy>Michal Izrael</cp:lastModifiedBy>
  <cp:revision>5</cp:revision>
  <dcterms:created xsi:type="dcterms:W3CDTF">2022-08-08T12:41:00Z</dcterms:created>
  <dcterms:modified xsi:type="dcterms:W3CDTF">2022-11-14T11:23:00Z</dcterms:modified>
</cp:coreProperties>
</file>