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6184265" cy="1744345"/>
            <wp:effectExtent l="0" t="0" r="3175" b="8255"/>
            <wp:docPr id="6" name="图片 6" descr="D:\Q2\Q2-FOM\图\S2.jpg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Q2\Q2-FOM\图\S2.jpgS2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174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 w:eastAsiaTheme="minorEastAsia"/>
          <w:sz w:val="20"/>
          <w:szCs w:val="20"/>
          <w:lang w:val="en-US" w:eastAsia="zh-CN"/>
        </w:rPr>
      </w:pPr>
      <w:bookmarkStart w:id="0" w:name="OLE_LINK8"/>
      <w:bookmarkStart w:id="1" w:name="OLE_LINK16"/>
      <w:r>
        <w:rPr>
          <w:rFonts w:hint="default" w:ascii="Times New Roman" w:hAnsi="Times New Roman" w:cs="Times New Roman"/>
          <w:sz w:val="20"/>
          <w:szCs w:val="20"/>
        </w:rPr>
        <w:t xml:space="preserve">Fig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S1</w:t>
      </w:r>
      <w:bookmarkEnd w:id="0"/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bookmarkEnd w:id="1"/>
      <w:r>
        <w:rPr>
          <w:rFonts w:hint="default" w:ascii="Times New Roman" w:hAnsi="Times New Roman" w:cs="Times New Roman"/>
          <w:sz w:val="20"/>
          <w:szCs w:val="20"/>
        </w:rPr>
        <w:t xml:space="preserve">Principal component analysis of soil microbial community structure </w:t>
      </w:r>
      <w:bookmarkStart w:id="2" w:name="OLE_LINK15"/>
      <w:r>
        <w:rPr>
          <w:rFonts w:hint="default" w:ascii="Times New Roman" w:hAnsi="Times New Roman" w:cs="Times New Roman"/>
          <w:sz w:val="20"/>
          <w:szCs w:val="20"/>
        </w:rPr>
        <w:t>(A)</w:t>
      </w:r>
      <w:bookmarkEnd w:id="2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RDA analysis 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sz w:val="20"/>
          <w:szCs w:val="20"/>
        </w:rPr>
        <w:t>)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and Actinomycetes </w:t>
      </w:r>
      <w:r>
        <w:rPr>
          <w:rFonts w:hint="default" w:ascii="Times New Roman" w:hAnsi="Times New Roman" w:cs="Times New Roman"/>
          <w:sz w:val="21"/>
          <w:szCs w:val="21"/>
        </w:rPr>
        <w:t>community composition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C</w:t>
      </w:r>
      <w:r>
        <w:rPr>
          <w:rFonts w:hint="default" w:ascii="Times New Roman" w:hAnsi="Times New Roman" w:cs="Times New Roman"/>
          <w:sz w:val="20"/>
          <w:szCs w:val="20"/>
        </w:rPr>
        <w:t>)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jc w:val="left"/>
        <w:rPr>
          <w:rFonts w:hint="default" w:ascii="Times New Roman" w:hAnsi="Times New Roman" w:cs="Times New Roman"/>
          <w:sz w:val="20"/>
          <w:szCs w:val="20"/>
        </w:rPr>
      </w:pPr>
    </w:p>
    <w:p>
      <w:pPr>
        <w:jc w:val="left"/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drawing>
          <wp:inline distT="0" distB="0" distL="114300" distR="114300">
            <wp:extent cx="6184900" cy="3804285"/>
            <wp:effectExtent l="0" t="0" r="2540" b="5715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380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</w:pPr>
      <w:bookmarkStart w:id="3" w:name="OLE_LINK26"/>
      <w:bookmarkStart w:id="4" w:name="OLE_LINK28"/>
      <w:bookmarkStart w:id="5" w:name="OLE_LINK17"/>
      <w:r>
        <w:rPr>
          <w:rFonts w:hint="default" w:ascii="Times New Roman" w:hAnsi="Times New Roman" w:cs="Times New Roman"/>
          <w:sz w:val="20"/>
          <w:szCs w:val="20"/>
        </w:rPr>
        <w:t xml:space="preserve">Fig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2</w:t>
      </w:r>
      <w:bookmarkEnd w:id="3"/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The</w:t>
      </w:r>
      <w:r>
        <w:rPr>
          <w:rFonts w:hint="default" w:ascii="Times New Roman" w:hAnsi="Times New Roman" w:cs="Times New Roman"/>
          <w:sz w:val="20"/>
          <w:szCs w:val="20"/>
        </w:rPr>
        <w:t xml:space="preserve"> species diversity and composition of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Bacillus</w:t>
      </w:r>
      <w:bookmarkStart w:id="6" w:name="OLE_LINK18"/>
      <w:r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  <w:t xml:space="preserve"> sp.</w:t>
      </w:r>
      <w:bookmarkEnd w:id="6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Trichoderma</w:t>
      </w:r>
      <w:r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  <w:t xml:space="preserve"> sp.,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and </w:t>
      </w:r>
      <w:r>
        <w:rPr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>Talaromyces</w:t>
      </w:r>
      <w:r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  <w:t xml:space="preserve"> sp.</w:t>
      </w:r>
      <w:bookmarkEnd w:id="4"/>
    </w:p>
    <w:p>
      <w:pPr>
        <w:jc w:val="center"/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  <w:drawing>
          <wp:inline distT="0" distB="0" distL="114300" distR="114300">
            <wp:extent cx="5889625" cy="5584190"/>
            <wp:effectExtent l="0" t="0" r="8255" b="8890"/>
            <wp:docPr id="13" name="图片 13" descr="D:\Q2\Q2-FOM\Responses of soil microbial communities to the invasion\图片\FigS3.jpg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Q2\Q2-FOM\Responses of soil microbial communities to the invasion\图片\FigS3.jpgFigS3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9625" cy="558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bookmarkStart w:id="7" w:name="OLE_LINK29"/>
      <w:bookmarkStart w:id="8" w:name="OLE_LINK25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bookmarkStart w:id="9" w:name="OLE_LINK27"/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S3</w:t>
      </w:r>
      <w:bookmarkEnd w:id="9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bookmarkStart w:id="10" w:name="OLE_LINK61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Co-occurrence networks</w:t>
      </w:r>
      <w:bookmarkEnd w:id="10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of soil communities constructed from Control and S-FOM based on correlation analysis</w:t>
      </w:r>
      <w:bookmarkEnd w:id="7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</w:p>
    <w:p>
      <w:pPr>
        <w:jc w:val="left"/>
        <w:rPr>
          <w:rFonts w:hint="default" w:ascii="Times New Roman" w:hAnsi="Times New Roman" w:cs="Times New Roman"/>
          <w:i/>
          <w:iCs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A: Networks analysis revealing the modular associations of soil microbes; B: Phylum-level composition of the network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</w:t>
      </w:r>
      <w:bookmarkEnd w:id="8"/>
      <w:bookmarkStart w:id="11" w:name="OLE_LINK37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C: Cumulative relative abundance of all bacteria and fungi of the main modules in co-occurrence networks; D: the microbial composition of the modules at phylum level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.</w:t>
      </w:r>
      <w:bookmarkEnd w:id="11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A connection stands for a strong (</w:t>
      </w:r>
      <w:bookmarkStart w:id="12" w:name="OLE_LINK71"/>
      <w:r>
        <w:rPr>
          <w:rFonts w:hint="default" w:ascii="Times New Roman" w:hAnsi="Times New Roman" w:cs="Times New Roman"/>
          <w:sz w:val="18"/>
          <w:szCs w:val="18"/>
        </w:rPr>
        <w:t xml:space="preserve">Spearman's </w:t>
      </w:r>
      <w:r>
        <w:rPr>
          <w:rFonts w:hint="default" w:ascii="Times New Roman" w:hAnsi="Times New Roman" w:cs="Times New Roman"/>
          <w:i/>
          <w:sz w:val="18"/>
          <w:szCs w:val="18"/>
        </w:rPr>
        <w:t>ρ</w:t>
      </w:r>
      <w:r>
        <w:rPr>
          <w:rFonts w:hint="default" w:ascii="Times New Roman" w:hAnsi="Times New Roman" w:cs="Times New Roman"/>
          <w:sz w:val="18"/>
          <w:szCs w:val="18"/>
        </w:rPr>
        <w:t>&gt;0.6</w:t>
      </w:r>
      <w:bookmarkEnd w:id="12"/>
      <w:r>
        <w:rPr>
          <w:rFonts w:hint="default" w:ascii="Times New Roman" w:hAnsi="Times New Roman" w:cs="Times New Roman"/>
          <w:sz w:val="18"/>
          <w:szCs w:val="18"/>
        </w:rPr>
        <w:t>) and significant (</w:t>
      </w:r>
      <w:r>
        <w:rPr>
          <w:rFonts w:hint="default" w:ascii="Times New Roman" w:hAnsi="Times New Roman" w:cs="Times New Roman"/>
          <w:i/>
          <w:sz w:val="18"/>
          <w:szCs w:val="18"/>
        </w:rPr>
        <w:t>P</w:t>
      </w:r>
      <w:r>
        <w:rPr>
          <w:rFonts w:hint="default" w:ascii="Times New Roman" w:hAnsi="Times New Roman" w:cs="Times New Roman"/>
          <w:sz w:val="18"/>
          <w:szCs w:val="18"/>
        </w:rPr>
        <w:t>-value &lt;0.0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5</w:t>
      </w:r>
      <w:r>
        <w:rPr>
          <w:rFonts w:hint="default" w:ascii="Times New Roman" w:hAnsi="Times New Roman" w:cs="Times New Roman"/>
          <w:sz w:val="18"/>
          <w:szCs w:val="18"/>
        </w:rPr>
        <w:t>) correlation. The size of each node is proportional to the number of connections (degree)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Fom: </w:t>
      </w:r>
      <w:r>
        <w:rPr>
          <w:rFonts w:hint="default" w:ascii="Times New Roman" w:hAnsi="Times New Roman" w:cs="Times New Roman"/>
          <w:i/>
          <w:iCs/>
          <w:sz w:val="18"/>
          <w:szCs w:val="18"/>
          <w:lang w:val="en-US" w:eastAsia="zh-CN"/>
        </w:rPr>
        <w:t>F. oxysporum</w:t>
      </w:r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i w:val="0"/>
          <w:iCs w:val="0"/>
          <w:sz w:val="18"/>
          <w:szCs w:val="18"/>
          <w:lang w:val="en-US" w:eastAsia="zh-CN"/>
        </w:rPr>
        <w:t>The same below.</w:t>
      </w:r>
    </w:p>
    <w:p>
      <w:pPr>
        <w:jc w:val="left"/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</w:pPr>
    </w:p>
    <w:bookmarkEnd w:id="5"/>
    <w:p>
      <w:pPr>
        <w:jc w:val="center"/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6153785" cy="2703195"/>
            <wp:effectExtent l="0" t="0" r="3175" b="9525"/>
            <wp:docPr id="8" name="图片 8" descr="D:\Q2\Q2-FOM\Responses of soil microbial communities to the invasion\图片\FigS4.jpgFig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Q2\Q2-FOM\Responses of soil microbial communities to the invasion\图片\FigS4.jpgFigS4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378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sz w:val="20"/>
          <w:szCs w:val="20"/>
        </w:rPr>
      </w:pPr>
      <w:bookmarkStart w:id="13" w:name="OLE_LINK51"/>
      <w:r>
        <w:rPr>
          <w:rFonts w:hint="default" w:ascii="Times New Roman" w:hAnsi="Times New Roman" w:cs="Times New Roman"/>
          <w:sz w:val="20"/>
          <w:szCs w:val="20"/>
        </w:rPr>
        <w:t>Fig</w:t>
      </w:r>
      <w:r>
        <w:rPr>
          <w:rFonts w:hint="default" w:ascii="Times New Roman" w:hAnsi="Times New Roman" w:cs="Times New Roman"/>
          <w:sz w:val="20"/>
          <w:szCs w:val="20"/>
          <w:lang w:eastAsia="zh-CN"/>
        </w:rPr>
        <w:t>.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4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bookmarkStart w:id="14" w:name="OLE_LINK44"/>
      <w:r>
        <w:rPr>
          <w:rFonts w:hint="default" w:ascii="Times New Roman" w:hAnsi="Times New Roman" w:cs="Times New Roman"/>
          <w:sz w:val="20"/>
          <w:szCs w:val="20"/>
        </w:rPr>
        <w:t>The distributions of degree</w:t>
      </w:r>
      <w:bookmarkStart w:id="15" w:name="OLE_LINK9"/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eastAsia="zh-CN"/>
        </w:rPr>
        <w:t>(A)</w:t>
      </w:r>
      <w:bookmarkEnd w:id="15"/>
      <w:r>
        <w:rPr>
          <w:rFonts w:hint="default" w:ascii="Times New Roman" w:hAnsi="Times New Roman" w:cs="Times New Roman"/>
          <w:sz w:val="20"/>
          <w:szCs w:val="20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and Zi-Pi plot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(B)</w:t>
      </w:r>
      <w:r>
        <w:rPr>
          <w:rFonts w:hint="default" w:ascii="Times New Roman" w:hAnsi="Times New Roman" w:cs="Times New Roman"/>
          <w:sz w:val="20"/>
          <w:szCs w:val="20"/>
        </w:rPr>
        <w:t xml:space="preserve"> of nodes</w:t>
      </w:r>
      <w:bookmarkEnd w:id="14"/>
      <w:r>
        <w:rPr>
          <w:rFonts w:hint="default" w:ascii="Times New Roman" w:hAnsi="Times New Roman" w:cs="Times New Roman"/>
          <w:sz w:val="20"/>
          <w:szCs w:val="20"/>
        </w:rPr>
        <w:t xml:space="preserve"> in the Co-occurrence network</w:t>
      </w:r>
      <w:bookmarkEnd w:id="13"/>
    </w:p>
    <w:p>
      <w:pPr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0" distR="0">
            <wp:extent cx="3060065" cy="2160270"/>
            <wp:effectExtent l="0" t="0" r="3175" b="381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0" distR="0">
            <wp:extent cx="3060065" cy="2160270"/>
            <wp:effectExtent l="0" t="0" r="3175" b="381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0" distR="0">
            <wp:extent cx="3060065" cy="2160270"/>
            <wp:effectExtent l="0" t="0" r="3175" b="381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0" distR="0">
            <wp:extent cx="3060065" cy="2160270"/>
            <wp:effectExtent l="0" t="0" r="3175" b="381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</w:rPr>
      </w:pPr>
      <w:bookmarkStart w:id="16" w:name="OLE_LINK124"/>
      <w:bookmarkStart w:id="17" w:name="OLE_LINK633"/>
      <w:bookmarkStart w:id="18" w:name="OLE_LINK10"/>
      <w:bookmarkStart w:id="19" w:name="OLE_LINK634"/>
      <w:bookmarkStart w:id="20" w:name="OLE_LINK123"/>
      <w:bookmarkStart w:id="21" w:name="OLE_LINK670"/>
      <w:r>
        <w:rPr>
          <w:rFonts w:hint="default" w:ascii="Times New Roman" w:hAnsi="Times New Roman" w:cs="Times New Roman"/>
          <w:sz w:val="20"/>
          <w:szCs w:val="20"/>
        </w:rPr>
        <w:t>Fig.S</w:t>
      </w:r>
      <w:bookmarkEnd w:id="16"/>
      <w:bookmarkEnd w:id="17"/>
      <w:bookmarkEnd w:id="18"/>
      <w:bookmarkEnd w:id="19"/>
      <w:bookmarkEnd w:id="20"/>
      <w:bookmarkEnd w:id="21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5</w:t>
      </w:r>
      <w:r>
        <w:rPr>
          <w:rFonts w:hint="default" w:ascii="Times New Roman" w:hAnsi="Times New Roman" w:cs="Times New Roman"/>
          <w:sz w:val="20"/>
          <w:szCs w:val="20"/>
        </w:rPr>
        <w:t xml:space="preserve"> The influence of different nutritions and culture conditions on the colonies growth of strain Q2 </w:t>
      </w:r>
      <w:bookmarkStart w:id="22" w:name="OLE_LINK672"/>
      <w:bookmarkStart w:id="23" w:name="OLE_LINK671"/>
    </w:p>
    <w:p>
      <w:pPr>
        <w:rPr>
          <w:rFonts w:hint="default" w:ascii="Times New Roman" w:hAnsi="Times New Roman" w:cs="Times New Roman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Glu: Glucose; Sta: Starch; Lac: Lactose; Mal: Maltose; Suc: Sucrose; D-Fur: D-Furctose; CK: control; BE: Beef Extract; Urea: Carbamide; Pep: Peptone; AC: Ammonium chloride; AS: Ammonium sulfate; AN: Ammonium nitrate</w:t>
      </w:r>
      <w:bookmarkEnd w:id="22"/>
      <w:bookmarkEnd w:id="23"/>
      <w:r>
        <w:rPr>
          <w:rFonts w:hint="default" w:ascii="Times New Roman" w:hAnsi="Times New Roman" w:cs="Times New Roman"/>
          <w:sz w:val="20"/>
          <w:szCs w:val="20"/>
        </w:rPr>
        <w:t>.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 xml:space="preserve">Different letters in the same column indicate significant difference at </w:t>
      </w:r>
      <w:r>
        <w:rPr>
          <w:rFonts w:hint="default" w:ascii="Times New Roman" w:hAnsi="Times New Roman" w:cs="Times New Roman"/>
          <w:i/>
          <w:iCs/>
          <w:color w:val="000000"/>
          <w:sz w:val="20"/>
          <w:szCs w:val="20"/>
        </w:rPr>
        <w:t>P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&lt;0.05 level by</w:t>
      </w:r>
      <w:r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bookmarkStart w:id="24" w:name="OLE_LINK7"/>
      <w:r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  <w:t>Student's t-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test</w:t>
      </w:r>
      <w:bookmarkEnd w:id="24"/>
      <w:r>
        <w:rPr>
          <w:rFonts w:hint="default" w:ascii="Times New Roman" w:hAnsi="Times New Roman" w:cs="Times New Roman"/>
          <w:color w:val="000000"/>
          <w:sz w:val="20"/>
          <w:szCs w:val="20"/>
        </w:rPr>
        <w:t>.</w:t>
      </w:r>
    </w:p>
    <w:p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>
      <w:pPr>
        <w:jc w:val="both"/>
        <w:rPr>
          <w:rFonts w:hint="default" w:ascii="Times New Roman" w:hAnsi="Times New Roman" w:cs="Times New Roman"/>
          <w:sz w:val="20"/>
          <w:szCs w:val="20"/>
        </w:rPr>
      </w:pPr>
    </w:p>
    <w:p>
      <w:pPr>
        <w:jc w:val="both"/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6184900" cy="3213735"/>
            <wp:effectExtent l="0" t="0" r="2540" b="1905"/>
            <wp:docPr id="14" name="图片 14" descr="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321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bookmarkStart w:id="25" w:name="OLE_LINK30"/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Fig. S6 The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phylogenetic tree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and gene function of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beneficial microorganisms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strain Q2</w:t>
      </w:r>
    </w:p>
    <w:bookmarkEnd w:id="25"/>
    <w:p>
      <w:pPr>
        <w:keepNext w:val="0"/>
        <w:keepLines w:val="0"/>
        <w:pageBreakBefore w:val="0"/>
        <w:wordWrap/>
        <w:bidi w:val="0"/>
        <w:spacing w:line="240" w:lineRule="exact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 xml:space="preserve">Best-scoring Maximum Likelihood tree calculated using </w:t>
      </w:r>
      <w:bookmarkStart w:id="26" w:name="OLE_LINK182"/>
      <w:r>
        <w:rPr>
          <w:rFonts w:hint="default" w:ascii="Times New Roman" w:hAnsi="Times New Roman" w:cs="Times New Roman"/>
          <w:sz w:val="18"/>
          <w:szCs w:val="18"/>
        </w:rPr>
        <w:t>MEGA7.0</w:t>
      </w:r>
      <w:bookmarkEnd w:id="26"/>
      <w:r>
        <w:rPr>
          <w:rFonts w:hint="default" w:ascii="Times New Roman" w:hAnsi="Times New Roman" w:cs="Times New Roman"/>
          <w:sz w:val="18"/>
          <w:szCs w:val="18"/>
        </w:rPr>
        <w:t xml:space="preserve">, based on combined data set of partial </w:t>
      </w:r>
      <w:bookmarkStart w:id="27" w:name="OLE_LINK181"/>
      <w:r>
        <w:rPr>
          <w:rFonts w:hint="default" w:ascii="Times New Roman" w:hAnsi="Times New Roman" w:cs="Times New Roman"/>
          <w:sz w:val="18"/>
          <w:szCs w:val="18"/>
        </w:rPr>
        <w:t xml:space="preserve">ITS, BenA, CaM </w:t>
      </w:r>
      <w:bookmarkEnd w:id="27"/>
      <w:r>
        <w:rPr>
          <w:rFonts w:hint="default" w:ascii="Times New Roman" w:hAnsi="Times New Roman" w:cs="Times New Roman"/>
          <w:sz w:val="18"/>
          <w:szCs w:val="18"/>
        </w:rPr>
        <w:t xml:space="preserve">sequences showing the relationships of Q2 among members of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Talaromyces</w:t>
      </w:r>
      <w:r>
        <w:rPr>
          <w:rFonts w:hint="default" w:ascii="Times New Roman" w:hAnsi="Times New Roman" w:cs="Times New Roman"/>
          <w:sz w:val="18"/>
          <w:szCs w:val="18"/>
        </w:rPr>
        <w:t xml:space="preserve"> spp.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</w:t>
      </w:r>
      <w:r>
        <w:rPr>
          <w:rFonts w:hint="default" w:ascii="Times New Roman" w:hAnsi="Times New Roman" w:cs="Times New Roman"/>
          <w:sz w:val="18"/>
          <w:szCs w:val="18"/>
        </w:rPr>
        <w:t xml:space="preserve"> The bootstrap support percentages of the maximum likelihood (ML) analysis are presented at the nodes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</w:t>
      </w:r>
      <w:r>
        <w:rPr>
          <w:rFonts w:hint="default" w:ascii="Times New Roman" w:hAnsi="Times New Roman" w:cs="Times New Roman"/>
          <w:sz w:val="18"/>
          <w:szCs w:val="18"/>
        </w:rPr>
        <w:t xml:space="preserve"> Bootstrap support values less than 50 % are not show</w:t>
      </w:r>
      <w:r>
        <w:rPr>
          <w:rFonts w:hint="default" w:ascii="Times New Roman" w:hAnsi="Times New Roman" w:cs="Times New Roman"/>
          <w:bCs/>
          <w:sz w:val="18"/>
          <w:szCs w:val="18"/>
        </w:rPr>
        <w:t>n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>. B: the function classification of the genes of strain Q2 based on eggNOG (evolutionary genealogy of genes: Non-supervised Orthologous Groups). C: the types of CAZyme of strain Q2, Glycoside Hydrolases (GH), Carbohydrate Esterases (CE), Glycosyl Transferases (GT), Auxiliary Activities (AA), Carbohydrate-Binding Modules (CBM), Polysaccharide Lyases (PL). D: the abundant enzymes in the CAZyme.</w:t>
      </w:r>
    </w:p>
    <w:p>
      <w:pP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6184265" cy="4881880"/>
            <wp:effectExtent l="0" t="0" r="3175" b="10160"/>
            <wp:docPr id="15" name="图片 15" descr="Control-sfom-T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ontrol-sfom-TP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488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bookmarkStart w:id="28" w:name="OLE_LINK50"/>
      <w:bookmarkStart w:id="29" w:name="OLE_LINK24"/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Fig. S7</w:t>
      </w:r>
      <w:bookmarkEnd w:id="28"/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bookmarkStart w:id="30" w:name="OLE_LINK52"/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The influence of strain Q2 on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microbial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alpha diversity index and </w:t>
      </w:r>
      <w:bookmarkStart w:id="31" w:name="OLE_LINK20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community composition</w:t>
      </w:r>
      <w:bookmarkEnd w:id="31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based on metagenomics</w:t>
      </w:r>
      <w:bookmarkEnd w:id="29"/>
      <w:bookmarkEnd w:id="30"/>
    </w:p>
    <w:p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</w:rPr>
        <w:t>A:</w:t>
      </w:r>
      <w:bookmarkStart w:id="32" w:name="OLE_LINK369"/>
      <w:r>
        <w:rPr>
          <w:rFonts w:hint="default" w:ascii="Times New Roman" w:hAnsi="Times New Roman" w:cs="Times New Roman"/>
          <w:sz w:val="18"/>
          <w:szCs w:val="18"/>
        </w:rPr>
        <w:t xml:space="preserve"> </w:t>
      </w:r>
      <w:bookmarkEnd w:id="32"/>
      <w:bookmarkStart w:id="33" w:name="OLE_LINK370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M</w:t>
      </w:r>
      <w:r>
        <w:rPr>
          <w:rFonts w:hint="default" w:ascii="Times New Roman" w:hAnsi="Times New Roman" w:cs="Times New Roman"/>
          <w:sz w:val="18"/>
          <w:szCs w:val="18"/>
        </w:rPr>
        <w:t>icrobial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bookmarkStart w:id="34" w:name="OLE_LINK41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alpha diversity index</w:t>
      </w:r>
      <w:bookmarkEnd w:id="33"/>
      <w:bookmarkEnd w:id="34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B: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Relative abundance of bacterial taxa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at the </w:t>
      </w:r>
      <w:bookmarkStart w:id="35" w:name="OLE_LINK35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phylum</w:t>
      </w:r>
      <w:bookmarkEnd w:id="35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level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cs="Times New Roman"/>
          <w:sz w:val="18"/>
          <w:szCs w:val="18"/>
        </w:rPr>
        <w:t xml:space="preserve"> C: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Relative abundance of bacterial taxa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at the genus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level</w:t>
      </w:r>
      <w:r>
        <w:rPr>
          <w:rFonts w:hint="default" w:ascii="Times New Roman" w:hAnsi="Times New Roman" w:cs="Times New Roman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genus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cs="Times New Roman"/>
          <w:sz w:val="18"/>
          <w:szCs w:val="18"/>
        </w:rPr>
        <w:t xml:space="preserve"> D:</w:t>
      </w:r>
      <w:bookmarkStart w:id="36" w:name="OLE_LINK371"/>
      <w:r>
        <w:rPr>
          <w:rFonts w:hint="default" w:ascii="Times New Roman" w:hAnsi="Times New Roman" w:cs="Times New Roman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Relative abundance of fungal taxa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at the phylum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level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E: </w:t>
      </w:r>
      <w:bookmarkEnd w:id="36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Relative abundance of fungal taxa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at the genus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level.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F: </w:t>
      </w:r>
      <w:bookmarkStart w:id="37" w:name="OLE_LINK63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The random forest mean predictor </w:t>
      </w:r>
      <w:bookmarkStart w:id="38" w:name="OLE_LINK43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importance of </w:t>
      </w:r>
      <w:bookmarkStart w:id="39" w:name="OLE_LINK36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microbial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phylum</w:t>
      </w:r>
      <w:bookmarkEnd w:id="38"/>
      <w:bookmarkEnd w:id="39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as drivers of the variation of </w:t>
      </w:r>
      <w:bookmarkStart w:id="40" w:name="OLE_LINK34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soil microbiota</w:t>
      </w:r>
      <w:bookmarkEnd w:id="40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G:</w:t>
      </w:r>
      <w:bookmarkStart w:id="41" w:name="OLE_LINK22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the </w:t>
      </w:r>
      <w:bookmarkStart w:id="42" w:name="OLE_LINK23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relative abundance of </w:t>
      </w:r>
      <w:bookmarkStart w:id="43" w:name="OLE_LINK19"/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>F</w:t>
      </w:r>
      <w:bookmarkEnd w:id="41"/>
      <w:bookmarkEnd w:id="42"/>
      <w:bookmarkEnd w:id="43"/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>usarium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H: the number of </w:t>
      </w:r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 xml:space="preserve">Fusrium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based on </w:t>
      </w:r>
      <w:bookmarkStart w:id="44" w:name="OLE_LINK21"/>
      <w:r>
        <w:rPr>
          <w:rFonts w:ascii="Times New Roman" w:hAnsi="Times New Roman" w:cs="Times New Roman"/>
          <w:color w:val="131413"/>
          <w:sz w:val="18"/>
          <w:szCs w:val="18"/>
        </w:rPr>
        <w:t>Komada’s medium</w:t>
      </w:r>
      <w:r>
        <w:rPr>
          <w:rFonts w:hint="eastAsia" w:ascii="Times New Roman" w:hAnsi="Times New Roman" w:cs="Times New Roman"/>
          <w:color w:val="131413"/>
          <w:sz w:val="18"/>
          <w:szCs w:val="18"/>
          <w:lang w:val="en-US" w:eastAsia="zh-CN"/>
        </w:rPr>
        <w:t xml:space="preserve"> (</w:t>
      </w:r>
      <w:r>
        <w:rPr>
          <w:rFonts w:ascii="Times New Roman" w:hAnsi="Times New Roman" w:cs="Times New Roman"/>
          <w:color w:val="131413"/>
          <w:sz w:val="18"/>
          <w:szCs w:val="18"/>
        </w:rPr>
        <w:t xml:space="preserve">a </w:t>
      </w:r>
      <w:r>
        <w:rPr>
          <w:rFonts w:ascii="Times New Roman" w:hAnsi="Times New Roman" w:cs="Times New Roman"/>
          <w:i/>
          <w:color w:val="131413"/>
          <w:sz w:val="18"/>
          <w:szCs w:val="18"/>
        </w:rPr>
        <w:t>Fusarium</w:t>
      </w:r>
      <w:r>
        <w:rPr>
          <w:rFonts w:ascii="Times New Roman" w:hAnsi="Times New Roman" w:cs="Times New Roman"/>
          <w:color w:val="131413"/>
          <w:sz w:val="18"/>
          <w:szCs w:val="18"/>
        </w:rPr>
        <w:t xml:space="preserve"> selective medium</w:t>
      </w:r>
      <w:r>
        <w:rPr>
          <w:rFonts w:hint="eastAsia" w:ascii="Times New Roman" w:hAnsi="Times New Roman" w:cs="Times New Roman"/>
          <w:color w:val="131413"/>
          <w:sz w:val="18"/>
          <w:szCs w:val="18"/>
          <w:lang w:val="en-US" w:eastAsia="zh-CN"/>
        </w:rPr>
        <w:t>)</w:t>
      </w:r>
      <w:bookmarkEnd w:id="37"/>
      <w:bookmarkEnd w:id="44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</w:t>
      </w:r>
      <w:bookmarkStart w:id="45" w:name="OLE_LINK64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I: the relative abundance of</w:t>
      </w:r>
      <w:r>
        <w:rPr>
          <w:rFonts w:hint="eastAsia" w:ascii="Times New Roman" w:hAnsi="Times New Roman" w:cs="Times New Roman"/>
          <w:i w:val="0"/>
          <w:iCs w:val="0"/>
          <w:sz w:val="18"/>
          <w:szCs w:val="18"/>
          <w:lang w:val="en-US" w:eastAsia="zh-CN"/>
        </w:rPr>
        <w:t xml:space="preserve"> strain Q2 (the result was obtained by comparing the genome of the strain Q2 to the metagenomic sequencing data)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 J: the ability of strains Q2 colonize in soil was compared at 30-day intervals up to 70 days.</w:t>
      </w:r>
      <w:bookmarkEnd w:id="45"/>
    </w:p>
    <w:p>
      <w:pP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6184265" cy="5871210"/>
            <wp:effectExtent l="0" t="0" r="3175" b="11430"/>
            <wp:docPr id="17" name="图片 17" descr="CST网络补充图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ST网络补充图副本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587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S8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bookmarkStart w:id="46" w:name="OLE_LINK53"/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The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network-level microbial features of co-occurrence network</w:t>
      </w:r>
      <w:bookmarkEnd w:id="46"/>
    </w:p>
    <w:p>
      <w:pP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A: The distributions of degree. B: Zi-Pi plot of nodes. C: The 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relative abundance of the main </w:t>
      </w:r>
      <w:bookmarkStart w:id="47" w:name="OLE_LINK40"/>
      <w:bookmarkStart w:id="48" w:name="OLE_LINK42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m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icrobial</w:t>
      </w:r>
      <w:bookmarkEnd w:id="47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phylum</w:t>
      </w:r>
      <w:bookmarkEnd w:id="48"/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 in co-occurrence networks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 D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: Cumulative </w:t>
      </w:r>
      <w:bookmarkStart w:id="49" w:name="OLE_LINK38"/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relative abundance of all bacteria and fungi of the main modules in co-occurrence networks</w:t>
      </w:r>
      <w:bookmarkEnd w:id="49"/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;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E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: </w:t>
      </w:r>
      <w:bookmarkStart w:id="50" w:name="OLE_LINK45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T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he microbial composition of the modules at </w:t>
      </w:r>
      <w:bookmarkStart w:id="51" w:name="OLE_LINK39"/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phylum</w:t>
      </w:r>
      <w:bookmarkEnd w:id="51"/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 level.</w:t>
      </w:r>
      <w:bookmarkEnd w:id="50"/>
    </w:p>
    <w:p>
      <w:pP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</w:pPr>
    </w:p>
    <w:p>
      <w:pP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5812790" cy="3599815"/>
            <wp:effectExtent l="0" t="0" r="8890" b="12065"/>
            <wp:docPr id="18" name="图片 18" descr="Fig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igS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1279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bookmarkStart w:id="52" w:name="OLE_LINK31"/>
      <w:bookmarkStart w:id="53" w:name="OLE_LINK33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S9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bookmarkStart w:id="54" w:name="OLE_LINK54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Co-occurrence networks of soil communities constructed from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-FOM and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based on correlation analysis</w:t>
      </w:r>
      <w:bookmarkEnd w:id="52"/>
      <w:bookmarkEnd w:id="54"/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A: Networks analysis revealing the modular associations of soil microbes; B: Phylum-level composition of the network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C: </w:t>
      </w:r>
      <w:bookmarkStart w:id="55" w:name="OLE_LINK46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T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he microbial composition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of the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13 l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arger modules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at phylum level</w:t>
      </w:r>
      <w:bookmarkEnd w:id="55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 D: T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he </w:t>
      </w:r>
      <w:bookmarkStart w:id="56" w:name="OLE_LINK49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key 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microb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es</w:t>
      </w:r>
      <w:bookmarkEnd w:id="56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bookmarkStart w:id="57" w:name="OLE_LINK48"/>
      <w:bookmarkStart w:id="58" w:name="OLE_LINK47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in the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 xml:space="preserve"> modules</w:t>
      </w:r>
      <w:bookmarkEnd w:id="53"/>
      <w:bookmarkEnd w:id="57"/>
      <w:bookmarkEnd w:id="58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 E: Spearman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’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s correlation analysis to explain the variation of key </w:t>
      </w:r>
      <w:r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  <w:t>microb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es caused by</w:t>
      </w:r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 xml:space="preserve"> F. oxysporum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f. sp. </w:t>
      </w:r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>momordicae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(Fom) and </w:t>
      </w:r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>T. purpureogenus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(Tp).</w:t>
      </w: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0" distR="0">
            <wp:extent cx="5692140" cy="3738245"/>
            <wp:effectExtent l="0" t="0" r="7620" b="10795"/>
            <wp:docPr id="9" name="图片 8" descr="微信图片_2019102209335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微信图片_20191022093353.tif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214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</w:rPr>
      </w:pPr>
      <w:bookmarkStart w:id="59" w:name="OLE_LINK262"/>
      <w:bookmarkStart w:id="60" w:name="OLE_LINK263"/>
      <w:r>
        <w:rPr>
          <w:rFonts w:hint="default" w:ascii="Times New Roman" w:hAnsi="Times New Roman" w:cs="Times New Roman"/>
          <w:sz w:val="20"/>
          <w:szCs w:val="20"/>
        </w:rPr>
        <w:t>Fig.S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10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bookmarkStart w:id="78" w:name="_GoBack"/>
      <w:bookmarkEnd w:id="78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sz w:val="20"/>
          <w:szCs w:val="20"/>
        </w:rPr>
        <w:t>ingl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e</w:t>
      </w:r>
      <w:r>
        <w:rPr>
          <w:rFonts w:hint="default" w:ascii="Times New Roman" w:hAnsi="Times New Roman" w:cs="Times New Roman"/>
          <w:sz w:val="20"/>
          <w:szCs w:val="20"/>
        </w:rPr>
        <w:t>-culture and co-culture of</w:t>
      </w:r>
      <w:r>
        <w:rPr>
          <w:rFonts w:hint="default" w:ascii="Times New Roman" w:hAnsi="Times New Roman" w:cs="Times New Roman"/>
          <w:i/>
          <w:sz w:val="20"/>
          <w:szCs w:val="20"/>
        </w:rPr>
        <w:t xml:space="preserve"> T. purpureogenus</w:t>
      </w:r>
      <w:r>
        <w:rPr>
          <w:rFonts w:hint="default" w:ascii="Times New Roman" w:hAnsi="Times New Roman" w:cs="Times New Roman"/>
          <w:sz w:val="20"/>
          <w:szCs w:val="20"/>
        </w:rPr>
        <w:t xml:space="preserve"> Q2 and/ or FOM</w:t>
      </w:r>
      <w:bookmarkEnd w:id="59"/>
      <w:bookmarkEnd w:id="60"/>
      <w:r>
        <w:rPr>
          <w:rFonts w:hint="default" w:ascii="Times New Roman" w:hAnsi="Times New Roman" w:cs="Times New Roman"/>
          <w:sz w:val="20"/>
          <w:szCs w:val="20"/>
        </w:rPr>
        <w:t>.</w:t>
      </w:r>
    </w:p>
    <w:p>
      <w:pP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6184265" cy="3004820"/>
            <wp:effectExtent l="0" t="0" r="6985" b="5080"/>
            <wp:docPr id="21" name="图片 21" descr="C:\Users\Administrator\Desktop\1Responses of soil microbial communities to the invasion\FigS11.jpgFig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istrator\Desktop\1Responses of soil microbial communities to the invasion\FigS11.jpgFigS11"/>
                    <pic:cNvPicPr>
                      <a:picLocks noChangeAspect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bookmarkStart w:id="61" w:name="OLE_LINK1"/>
      <w:bookmarkStart w:id="62" w:name="OLE_LINK425"/>
      <w:bookmarkStart w:id="63" w:name="OLE_LINK426"/>
      <w:r>
        <w:rPr>
          <w:rFonts w:hint="default" w:ascii="Times New Roman" w:hAnsi="Times New Roman" w:cs="Times New Roman"/>
          <w:sz w:val="20"/>
          <w:szCs w:val="20"/>
        </w:rPr>
        <w:t>Fig.S</w:t>
      </w:r>
      <w:bookmarkEnd w:id="61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11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bookmarkStart w:id="64" w:name="OLE_LINK58"/>
      <w:r>
        <w:rPr>
          <w:rFonts w:hint="default" w:ascii="Times New Roman" w:hAnsi="Times New Roman" w:cs="Times New Roman"/>
          <w:sz w:val="20"/>
          <w:szCs w:val="20"/>
        </w:rPr>
        <w:t>MA map</w:t>
      </w:r>
      <w:bookmarkEnd w:id="62"/>
      <w:bookmarkEnd w:id="63"/>
      <w:r>
        <w:rPr>
          <w:rFonts w:hint="default" w:ascii="Times New Roman" w:hAnsi="Times New Roman" w:cs="Times New Roman"/>
          <w:sz w:val="20"/>
          <w:szCs w:val="20"/>
        </w:rPr>
        <w:t xml:space="preserve"> analysi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(A)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bookmarkStart w:id="65" w:name="OLE_LINK57"/>
      <w:r>
        <w:rPr>
          <w:rFonts w:hint="default" w:ascii="Times New Roman" w:hAnsi="Times New Roman" w:cs="Times New Roman"/>
          <w:sz w:val="20"/>
          <w:szCs w:val="20"/>
        </w:rPr>
        <w:t xml:space="preserve">Gene Ontology </w:t>
      </w:r>
      <w:bookmarkStart w:id="66" w:name="OLE_LINK55"/>
      <w:r>
        <w:rPr>
          <w:rFonts w:hint="default" w:ascii="Times New Roman" w:hAnsi="Times New Roman" w:cs="Times New Roman"/>
          <w:sz w:val="20"/>
          <w:szCs w:val="20"/>
        </w:rPr>
        <w:t>analysis</w:t>
      </w:r>
      <w:bookmarkEnd w:id="65"/>
      <w:bookmarkEnd w:id="66"/>
      <w:r>
        <w:rPr>
          <w:rFonts w:hint="default" w:ascii="Times New Roman" w:hAnsi="Times New Roman" w:cs="Times New Roman"/>
          <w:sz w:val="20"/>
          <w:szCs w:val="20"/>
        </w:rPr>
        <w:t xml:space="preserve"> (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sz w:val="20"/>
          <w:szCs w:val="20"/>
        </w:rPr>
        <w:t>)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sz w:val="20"/>
          <w:szCs w:val="20"/>
        </w:rPr>
        <w:t>KEGG enrichment analysis</w:t>
      </w:r>
      <w:bookmarkStart w:id="67" w:name="OLE_LINK56"/>
      <w:r>
        <w:rPr>
          <w:rFonts w:hint="default" w:ascii="Times New Roman" w:hAnsi="Times New Roman" w:cs="Times New Roman"/>
          <w:sz w:val="20"/>
          <w:szCs w:val="20"/>
        </w:rPr>
        <w:t xml:space="preserve"> (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C</w:t>
      </w:r>
      <w:r>
        <w:rPr>
          <w:rFonts w:hint="default" w:ascii="Times New Roman" w:hAnsi="Times New Roman" w:cs="Times New Roman"/>
          <w:sz w:val="20"/>
          <w:szCs w:val="20"/>
        </w:rPr>
        <w:t>)</w:t>
      </w:r>
      <w:bookmarkEnd w:id="67"/>
      <w:r>
        <w:rPr>
          <w:rFonts w:hint="default" w:ascii="Times New Roman" w:hAnsi="Times New Roman" w:cs="Times New Roman"/>
          <w:sz w:val="20"/>
          <w:szCs w:val="20"/>
        </w:rPr>
        <w:t xml:space="preserve"> of differentially expressed genes (DEGs) in the comparison of FOM and Q2-FOM</w:t>
      </w:r>
      <w:bookmarkEnd w:id="64"/>
      <w:r>
        <w:rPr>
          <w:rFonts w:hint="default" w:ascii="Times New Roman" w:hAnsi="Times New Roman" w:cs="Times New Roman"/>
          <w:sz w:val="20"/>
          <w:szCs w:val="20"/>
        </w:rPr>
        <w:t>.</w:t>
      </w:r>
    </w:p>
    <w:p>
      <w:pPr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t>BP-a: carboxylic acid transport(GO:0046942), BP-b: organic acid transport (GO:0015849), BP-c: ion transport (GO:0006811), BP-d: oxidation−reduction process (GO:0055114), BP-e: carboxylic acid transmembrane transport (GO:1905039), BP-f: organic acid transmembrane transport (GO:1903825), BP-g: anion transport (GO:0006820), BP-h: amino acid transmembrane transport (GO:0003333), BP-i: anion transmembrane transport (GO:0098656), BP-j: transmembrane transport (GO:0055085), CC-a: eukaryotic 43S preinitiation complex (GO:0016282), CC-b: translation preinitiation complex (GO:0070993), CC-c: eukaryotic 48S preinitiation complex (GO:0033290), CC-d: eukaryotic translation initiation factor 3 complex (GO:0005852), CC-e: intrinsic component of plasma membrane (GO:0031226), CC-f: integral component of plasma membrane (GO:0005887), CC-g: membrane (GO:0016020), CC-h: membrane part (GO:0044425), CC-i: integral component of membrane (GO:0016021), CC-j: intrinsic component of membrane (GO:0031224), MF-a: oxidoreductase activity, acting on a sulfur group (GO:0016667), MF-b: substrate−specific transporter activity (GO:0022892), MF-c: disulfide oxidoreductase activity (GO:0015036), MF-d: RNA polymerase II transcription factor activity, s (GO:0000981), MF-e: anion transmembrane transporter activity (GO:0008509), MF-f: transporter activity (GO:0005215), MF-g: ion transmembrane transporter activity (GO:0015075), MF-h: substrate−specific transmembrane transporter activ (GO:0022891), MF-i: transmembrane transporter activity (GO:0022857), MF-j: oxidoreductase activity (GO:0016491), a: Glyoxylate and dicarboxylate metabolism, b: Glutathione metabolism, c: Valine, leucine and isoleucine degradation, d: Glycerophospholipid metabolism, e: Phenylalanine metabolism, f: Nitrogen metabolism, g: Propanoate metabolism, h: Pyruvate metabolism, i: ABC transporters, j: Galactose metabolism, k: Tyrosine metabolism, l: Glycerolipid metabolism, m: Butanoate metabolism, n: Arginine and proline metabolism, o: Starch and sucrose metabolism, p: Nicotinate and nicotinamide metabolism, q: Arachidonic acid metabolism, r: Methane metabolism, s: Amino sugar and nucleotide sugar metabolism, t: Pentose phosphate pathway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</w:pP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drawing>
          <wp:inline distT="0" distB="0" distL="114300" distR="114300">
            <wp:extent cx="6184265" cy="4053840"/>
            <wp:effectExtent l="0" t="0" r="3175" b="0"/>
            <wp:docPr id="1" name="图片 1" descr="D:\Q2\Q2-FOM\Responses of soil microbial communities to the invasion\1Responses of soil microbial communities to the invasion\FigS12.jpgFig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Q2\Q2-FOM\Responses of soil microbial communities to the invasion\1Responses of soil microbial communities to the invasion\FigS12.jpgFigS12"/>
                    <pic:cNvPicPr>
                      <a:picLocks noChangeAspect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</w:pPr>
      <w:bookmarkStart w:id="68" w:name="OLE_LINK12"/>
      <w:bookmarkStart w:id="69" w:name="OLE_LINK11"/>
      <w:r>
        <w:rPr>
          <w:rFonts w:hint="default" w:ascii="Times New Roman" w:hAnsi="Times New Roman" w:cs="Times New Roman"/>
          <w:sz w:val="20"/>
          <w:szCs w:val="20"/>
        </w:rPr>
        <w:t>Fig.S</w:t>
      </w:r>
      <w:bookmarkEnd w:id="68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 xml:space="preserve"> </w:t>
      </w:r>
      <w:bookmarkEnd w:id="69"/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The domain, </w:t>
      </w:r>
      <w:bookmarkStart w:id="70" w:name="OLE_LINK6"/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phylogenetic tree</w:t>
      </w:r>
      <w:bookmarkEnd w:id="70"/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and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>deletion construct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of 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FomCFEM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in </w:t>
      </w:r>
      <w:bookmarkStart w:id="71" w:name="OLE_LINK2"/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Fusarium oxysporum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f.sp. 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momordica</w:t>
      </w:r>
      <w:bookmarkEnd w:id="71"/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e.</w:t>
      </w:r>
    </w:p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kern w:val="0"/>
          <w:sz w:val="20"/>
          <w:szCs w:val="20"/>
          <w:lang w:val="en-US" w:eastAsia="zh-CN"/>
        </w:rPr>
        <w:t>A:</w:t>
      </w:r>
      <w:r>
        <w:rPr>
          <w:rFonts w:hint="eastAsia" w:ascii="Times New Roman" w:hAnsi="Times New Roman" w:eastAsia="宋体" w:cs="Times New Roman"/>
          <w:i w:val="0"/>
          <w:iCs w:val="0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kern w:val="0"/>
          <w:sz w:val="20"/>
          <w:szCs w:val="20"/>
          <w:lang w:val="en-US" w:eastAsia="zh-CN"/>
        </w:rPr>
        <w:t xml:space="preserve">Schematic illustrations of </w:t>
      </w:r>
      <w:bookmarkStart w:id="72" w:name="OLE_LINK4"/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</w:t>
      </w:r>
      <w:bookmarkEnd w:id="72"/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CFEM</w:t>
      </w:r>
      <w:r>
        <w:rPr>
          <w:rFonts w:hint="default" w:ascii="Times New Roman" w:hAnsi="Times New Roman" w:eastAsia="宋体" w:cs="Times New Roman"/>
          <w:i w:val="0"/>
          <w:iCs w:val="0"/>
          <w:kern w:val="0"/>
          <w:sz w:val="20"/>
          <w:szCs w:val="20"/>
          <w:lang w:val="en-US" w:eastAsia="zh-CN"/>
        </w:rPr>
        <w:t xml:space="preserve">. The domain of 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FomCFEM</w:t>
      </w:r>
      <w:r>
        <w:rPr>
          <w:rFonts w:hint="default" w:ascii="Times New Roman" w:hAnsi="Times New Roman" w:eastAsia="宋体" w:cs="Times New Roman"/>
          <w:i w:val="0"/>
          <w:iCs w:val="0"/>
          <w:kern w:val="0"/>
          <w:sz w:val="20"/>
          <w:szCs w:val="20"/>
          <w:lang w:val="en-US" w:eastAsia="zh-CN"/>
        </w:rPr>
        <w:t xml:space="preserve"> was predicted by SMART web site; B: Phylogenetic analysis of 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FomCFEM</w:t>
      </w:r>
      <w:r>
        <w:rPr>
          <w:rFonts w:hint="default" w:ascii="Times New Roman" w:hAnsi="Times New Roman" w:eastAsia="宋体" w:cs="Times New Roman"/>
          <w:i w:val="0"/>
          <w:iCs w:val="0"/>
          <w:kern w:val="0"/>
          <w:sz w:val="20"/>
          <w:szCs w:val="20"/>
          <w:lang w:val="en-US" w:eastAsia="zh-CN"/>
        </w:rPr>
        <w:t xml:space="preserve"> and CFEM proteins from other fungi; C: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>The</w:t>
      </w:r>
      <w:bookmarkStart w:id="73" w:name="OLE_LINK3"/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>deletion construct</w:t>
      </w:r>
      <w:bookmarkEnd w:id="73"/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 xml:space="preserve"> used to transform the wild type strain contain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ing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 xml:space="preserve"> the hygromycin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>resistance (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eastAsia="zh-CN"/>
        </w:rPr>
        <w:t>hph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 xml:space="preserve">) cassette flanked by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an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>upstream and downstream sequence of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eastAsia="zh-CN"/>
        </w:rPr>
        <w:t>CFEM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>gene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;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D: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>PCR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 xml:space="preserve">amplifications carried out to check the </w:t>
      </w:r>
      <w:bookmarkStart w:id="74" w:name="OLE_LINK5"/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eastAsia="zh-CN"/>
        </w:rPr>
        <w:t>CFEM</w:t>
      </w:r>
      <w:bookmarkEnd w:id="74"/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eastAsia="zh-CN"/>
        </w:rPr>
        <w:t>deletion mutants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and 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eastAsia="zh-CN"/>
        </w:rPr>
        <w:t>CFEM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-C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114300" distR="114300">
            <wp:extent cx="6183630" cy="5043805"/>
            <wp:effectExtent l="0" t="0" r="3810" b="63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504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t>Fig.S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13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GPI site prediction of </w:t>
      </w:r>
      <w:bookmarkStart w:id="75" w:name="OLE_LINK13"/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FomCFEM</w:t>
      </w:r>
      <w:bookmarkEnd w:id="75"/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The site (http://mendel.imp.ac.at/gpi/plant_server.html) was used to analyze potential GPI modification site of </w:t>
      </w:r>
      <w:r>
        <w:rPr>
          <w:rFonts w:hint="default" w:ascii="Times New Roman" w:hAnsi="Times New Roman" w:eastAsia="宋体" w:cs="Times New Roman"/>
          <w:i/>
          <w:iCs/>
          <w:kern w:val="0"/>
          <w:sz w:val="20"/>
          <w:szCs w:val="20"/>
          <w:lang w:val="en-US" w:eastAsia="zh-CN"/>
        </w:rPr>
        <w:t>FomCFEM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.</w:t>
      </w:r>
    </w:p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drawing>
          <wp:inline distT="0" distB="0" distL="114300" distR="114300">
            <wp:extent cx="6184265" cy="6184265"/>
            <wp:effectExtent l="0" t="0" r="3175" b="3175"/>
            <wp:docPr id="11" name="图片 11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618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76" w:name="OLE_LINK32"/>
      <w:bookmarkStart w:id="77" w:name="OLE_LINK14"/>
      <w:r>
        <w:rPr>
          <w:rFonts w:hint="default" w:ascii="Times New Roman" w:hAnsi="Times New Roman" w:cs="Times New Roman"/>
          <w:sz w:val="20"/>
          <w:szCs w:val="20"/>
        </w:rPr>
        <w:t>Fig.S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</w:t>
      </w:r>
      <w:bookmarkEnd w:id="76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4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Schematic diagram and identification of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FomCEFM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deletion mutant</w:t>
      </w:r>
      <w:bookmarkEnd w:id="77"/>
    </w:p>
    <w:p>
      <w:pPr>
        <w:spacing w:line="360" w:lineRule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A: Deletion strategy used for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 xml:space="preserve">FomCEFM.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val="en-US" w:eastAsia="zh-CN"/>
        </w:rPr>
        <w:t>B: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lang w:val="en-US" w:eastAsia="zh-CN"/>
        </w:rPr>
        <w:t xml:space="preserve">Southern blot analysis of two candidate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FomCEFM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deletion transformants</w:t>
      </w:r>
    </w:p>
    <w:p>
      <w:pPr>
        <w:spacing w:line="360" w:lineRule="auto"/>
        <w:rPr>
          <w:rFonts w:hint="eastAsia" w:ascii="Times New Roman" w:hAnsi="Times New Roman" w:eastAsia="宋体" w:cs="Times New Roman"/>
          <w:kern w:val="0"/>
          <w:sz w:val="20"/>
          <w:szCs w:val="20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77E"/>
    <w:rsid w:val="0003468B"/>
    <w:rsid w:val="000A2BC3"/>
    <w:rsid w:val="000A70D4"/>
    <w:rsid w:val="000F7850"/>
    <w:rsid w:val="00124FA6"/>
    <w:rsid w:val="00174BA1"/>
    <w:rsid w:val="00187297"/>
    <w:rsid w:val="001E4A83"/>
    <w:rsid w:val="002312FA"/>
    <w:rsid w:val="002576D1"/>
    <w:rsid w:val="0026379D"/>
    <w:rsid w:val="0032668F"/>
    <w:rsid w:val="00361C48"/>
    <w:rsid w:val="003755D6"/>
    <w:rsid w:val="00387C4C"/>
    <w:rsid w:val="003B04E7"/>
    <w:rsid w:val="003C314E"/>
    <w:rsid w:val="00405229"/>
    <w:rsid w:val="00474515"/>
    <w:rsid w:val="004963D1"/>
    <w:rsid w:val="004A31D7"/>
    <w:rsid w:val="00565D69"/>
    <w:rsid w:val="0057518A"/>
    <w:rsid w:val="00592094"/>
    <w:rsid w:val="005A6F69"/>
    <w:rsid w:val="00624729"/>
    <w:rsid w:val="00624A7E"/>
    <w:rsid w:val="00642203"/>
    <w:rsid w:val="00665A73"/>
    <w:rsid w:val="00666A80"/>
    <w:rsid w:val="00667036"/>
    <w:rsid w:val="006853F2"/>
    <w:rsid w:val="007A25BE"/>
    <w:rsid w:val="007A7556"/>
    <w:rsid w:val="007D6F19"/>
    <w:rsid w:val="008567A7"/>
    <w:rsid w:val="0087717F"/>
    <w:rsid w:val="008925AE"/>
    <w:rsid w:val="008B7759"/>
    <w:rsid w:val="00931AED"/>
    <w:rsid w:val="009424E0"/>
    <w:rsid w:val="0096007C"/>
    <w:rsid w:val="00977276"/>
    <w:rsid w:val="00982D46"/>
    <w:rsid w:val="009D4168"/>
    <w:rsid w:val="00A35FD2"/>
    <w:rsid w:val="00A45591"/>
    <w:rsid w:val="00A87E2F"/>
    <w:rsid w:val="00AB0704"/>
    <w:rsid w:val="00AB1BF5"/>
    <w:rsid w:val="00AB200B"/>
    <w:rsid w:val="00AD78D5"/>
    <w:rsid w:val="00AF5501"/>
    <w:rsid w:val="00B03885"/>
    <w:rsid w:val="00BC61AF"/>
    <w:rsid w:val="00BD03CE"/>
    <w:rsid w:val="00BF0C96"/>
    <w:rsid w:val="00BF7E6F"/>
    <w:rsid w:val="00C11B27"/>
    <w:rsid w:val="00C26759"/>
    <w:rsid w:val="00C4794B"/>
    <w:rsid w:val="00CC70DF"/>
    <w:rsid w:val="00CF13AA"/>
    <w:rsid w:val="00D53627"/>
    <w:rsid w:val="00D80B79"/>
    <w:rsid w:val="00D97EBE"/>
    <w:rsid w:val="00DF2B24"/>
    <w:rsid w:val="00E329AD"/>
    <w:rsid w:val="00F27100"/>
    <w:rsid w:val="00F3329E"/>
    <w:rsid w:val="00F35E92"/>
    <w:rsid w:val="00F42E6D"/>
    <w:rsid w:val="00F4751A"/>
    <w:rsid w:val="00F56E88"/>
    <w:rsid w:val="00F97E1F"/>
    <w:rsid w:val="00FB077E"/>
    <w:rsid w:val="00FB134E"/>
    <w:rsid w:val="020A2391"/>
    <w:rsid w:val="02747B0B"/>
    <w:rsid w:val="03B43F9D"/>
    <w:rsid w:val="07745FD8"/>
    <w:rsid w:val="09ED4D58"/>
    <w:rsid w:val="0B43705A"/>
    <w:rsid w:val="0C0A680E"/>
    <w:rsid w:val="0F792E94"/>
    <w:rsid w:val="0FE669A3"/>
    <w:rsid w:val="115D3FA1"/>
    <w:rsid w:val="13800259"/>
    <w:rsid w:val="1494110A"/>
    <w:rsid w:val="15A46DD7"/>
    <w:rsid w:val="168F0F97"/>
    <w:rsid w:val="17311322"/>
    <w:rsid w:val="17A03BD8"/>
    <w:rsid w:val="1CD463DD"/>
    <w:rsid w:val="1F7F5797"/>
    <w:rsid w:val="1F87386E"/>
    <w:rsid w:val="21630C92"/>
    <w:rsid w:val="24184622"/>
    <w:rsid w:val="24233070"/>
    <w:rsid w:val="261464DD"/>
    <w:rsid w:val="26171893"/>
    <w:rsid w:val="26DA7CE2"/>
    <w:rsid w:val="271C3055"/>
    <w:rsid w:val="2A3D4BAD"/>
    <w:rsid w:val="2B236BCE"/>
    <w:rsid w:val="2E9E4C54"/>
    <w:rsid w:val="2EFF0E44"/>
    <w:rsid w:val="306316AE"/>
    <w:rsid w:val="31AE2979"/>
    <w:rsid w:val="33394A06"/>
    <w:rsid w:val="342F43A4"/>
    <w:rsid w:val="358C7510"/>
    <w:rsid w:val="37EC775F"/>
    <w:rsid w:val="394E319B"/>
    <w:rsid w:val="39C04B20"/>
    <w:rsid w:val="3C233D48"/>
    <w:rsid w:val="3F8166C3"/>
    <w:rsid w:val="41605152"/>
    <w:rsid w:val="43700A6F"/>
    <w:rsid w:val="47BB2FFA"/>
    <w:rsid w:val="484850E6"/>
    <w:rsid w:val="48D70B5B"/>
    <w:rsid w:val="4B582CEE"/>
    <w:rsid w:val="4BB2665A"/>
    <w:rsid w:val="4CD247D8"/>
    <w:rsid w:val="504600DB"/>
    <w:rsid w:val="555C25E4"/>
    <w:rsid w:val="556B6985"/>
    <w:rsid w:val="58AF0132"/>
    <w:rsid w:val="59A9613E"/>
    <w:rsid w:val="5A2A66E0"/>
    <w:rsid w:val="5B355F65"/>
    <w:rsid w:val="5D527963"/>
    <w:rsid w:val="5DAA7B9C"/>
    <w:rsid w:val="5DEC313E"/>
    <w:rsid w:val="5FC3648C"/>
    <w:rsid w:val="5FCF02EF"/>
    <w:rsid w:val="609D271E"/>
    <w:rsid w:val="62F91405"/>
    <w:rsid w:val="656407B4"/>
    <w:rsid w:val="67662E8B"/>
    <w:rsid w:val="69DC030C"/>
    <w:rsid w:val="6BEC2C1C"/>
    <w:rsid w:val="70F67486"/>
    <w:rsid w:val="72574D92"/>
    <w:rsid w:val="739A1881"/>
    <w:rsid w:val="74502E1F"/>
    <w:rsid w:val="751B6350"/>
    <w:rsid w:val="751D0B15"/>
    <w:rsid w:val="75AA2E2C"/>
    <w:rsid w:val="771B022D"/>
    <w:rsid w:val="7A3531B7"/>
    <w:rsid w:val="7AB66154"/>
    <w:rsid w:val="7CAE2D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1.tiff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chart" Target="charts/chart4.xml"/><Relationship Id="rId10" Type="http://schemas.openxmlformats.org/officeDocument/2006/relationships/chart" Target="charts/chart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Q2\Q2-FOM\Supporting%20Information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Q2\Q2-FOM\Supporting%20Information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Q2\Q2-FOM\Supporting%20Information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Q2\Q2-FOM\Supporting%20Information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4438680224113"/>
          <c:y val="0.0543797766019988"/>
          <c:w val="0.798920937953932"/>
          <c:h val="0.7336860670194"/>
        </c:manualLayout>
      </c:layout>
      <c:barChart>
        <c:barDir val="col"/>
        <c:grouping val="clustered"/>
        <c:varyColors val="0"/>
        <c:ser>
          <c:idx val="0"/>
          <c:order val="0"/>
          <c:spPr>
            <a:pattFill prst="dk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a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a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e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0"/>
                  <c:y val="-0.0211640211640212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b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c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c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d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[1]Sheet1!$N$21:$N$27</c:f>
                <c:numCache>
                  <c:formatCode>General</c:formatCode>
                  <c:ptCount val="7"/>
                  <c:pt idx="0">
                    <c:v>0.555800000000001</c:v>
                  </c:pt>
                  <c:pt idx="1">
                    <c:v>0.731700000000002</c:v>
                  </c:pt>
                  <c:pt idx="2">
                    <c:v>0.5414</c:v>
                  </c:pt>
                  <c:pt idx="3">
                    <c:v>2.9076</c:v>
                  </c:pt>
                  <c:pt idx="4">
                    <c:v>0.9392</c:v>
                  </c:pt>
                  <c:pt idx="5">
                    <c:v>0.753200000000001</c:v>
                  </c:pt>
                  <c:pt idx="6">
                    <c:v>0.1451</c:v>
                  </c:pt>
                </c:numCache>
              </c:numRef>
            </c:plus>
            <c:minus>
              <c:numRef>
                <c:f>[1]Sheet1!$N$21:$N$27</c:f>
                <c:numCache>
                  <c:formatCode>General</c:formatCode>
                  <c:ptCount val="7"/>
                  <c:pt idx="0">
                    <c:v>0.555800000000001</c:v>
                  </c:pt>
                  <c:pt idx="1">
                    <c:v>0.731700000000002</c:v>
                  </c:pt>
                  <c:pt idx="2">
                    <c:v>0.5414</c:v>
                  </c:pt>
                  <c:pt idx="3">
                    <c:v>2.9076</c:v>
                  </c:pt>
                  <c:pt idx="4">
                    <c:v>0.9392</c:v>
                  </c:pt>
                  <c:pt idx="5">
                    <c:v>0.753200000000001</c:v>
                  </c:pt>
                  <c:pt idx="6">
                    <c:v>0.1451</c:v>
                  </c:pt>
                </c:numCache>
              </c:numRef>
            </c:minus>
          </c:errBars>
          <c:cat>
            <c:strRef>
              <c:f>[1]Sheet1!$J$21:$J$27</c:f>
              <c:strCache>
                <c:ptCount val="7"/>
                <c:pt idx="0">
                  <c:v>CK</c:v>
                </c:pt>
                <c:pt idx="1">
                  <c:v>BE</c:v>
                </c:pt>
                <c:pt idx="2">
                  <c:v>Urea</c:v>
                </c:pt>
                <c:pt idx="3">
                  <c:v>Pep</c:v>
                </c:pt>
                <c:pt idx="4">
                  <c:v>AC</c:v>
                </c:pt>
                <c:pt idx="5">
                  <c:v>AS</c:v>
                </c:pt>
                <c:pt idx="6">
                  <c:v>AN</c:v>
                </c:pt>
              </c:strCache>
            </c:strRef>
          </c:cat>
          <c:val>
            <c:numRef>
              <c:f>[1]Sheet1!$L$21:$L$27</c:f>
              <c:numCache>
                <c:formatCode>General</c:formatCode>
                <c:ptCount val="7"/>
                <c:pt idx="0">
                  <c:v>67.03</c:v>
                </c:pt>
                <c:pt idx="1">
                  <c:v>64.73</c:v>
                </c:pt>
                <c:pt idx="2">
                  <c:v>41.78</c:v>
                </c:pt>
                <c:pt idx="3">
                  <c:v>57.89</c:v>
                </c:pt>
                <c:pt idx="4">
                  <c:v>54.2250000000001</c:v>
                </c:pt>
                <c:pt idx="5">
                  <c:v>52.035</c:v>
                </c:pt>
                <c:pt idx="6">
                  <c:v>46.18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6"/>
        <c:overlap val="-20"/>
        <c:axId val="85525248"/>
        <c:axId val="85528960"/>
      </c:barChart>
      <c:catAx>
        <c:axId val="8552524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Nitrogen source</a:t>
                </a:r>
                <a:endParaRPr lang="zh-CN" altLang="en-US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439911797133407"/>
              <c:y val="0.903586125808348"/>
            </c:manualLayout>
          </c:layout>
          <c:overlay val="0"/>
        </c:title>
        <c:majorTickMark val="in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85528960"/>
        <c:crosses val="autoZero"/>
        <c:auto val="1"/>
        <c:lblAlgn val="ctr"/>
        <c:lblOffset val="100"/>
        <c:noMultiLvlLbl val="0"/>
      </c:catAx>
      <c:valAx>
        <c:axId val="85528960"/>
        <c:scaling>
          <c:orientation val="minMax"/>
          <c:min val="3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defRPr lang="zh-CN"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sz="1200" b="1" i="0" baseline="0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Colony diameter (mm)</a:t>
                </a:r>
                <a:endParaRPr lang="zh-CN" sz="1200" b="1" i="0" baseline="0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defRPr lang="zh-CN"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endParaRPr lang="zh-CN" altLang="en-US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661521499448732"/>
              <c:y val="0.0954905758528227"/>
            </c:manualLayout>
          </c:layout>
          <c:overlay val="0"/>
        </c:title>
        <c:numFmt formatCode="#,##0.0_);[Red]\(#,##0.0\)" sourceLinked="0"/>
        <c:majorTickMark val="in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85525248"/>
        <c:crosses val="autoZero"/>
        <c:crossBetween val="between"/>
      </c:valAx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8235942668137"/>
          <c:y val="0.0440917107583774"/>
          <c:w val="0.795148842337376"/>
          <c:h val="0.758083480305702"/>
        </c:manualLayout>
      </c:layout>
      <c:barChart>
        <c:barDir val="col"/>
        <c:grouping val="clustered"/>
        <c:varyColors val="0"/>
        <c:ser>
          <c:idx val="0"/>
          <c:order val="0"/>
          <c:spPr>
            <a:pattFill prst="dk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a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c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b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e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f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d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[2]Sheet1!$M$21:$M$26</c:f>
                <c:numCache>
                  <c:formatCode>General</c:formatCode>
                  <c:ptCount val="6"/>
                  <c:pt idx="0">
                    <c:v>0.555800000000001</c:v>
                  </c:pt>
                  <c:pt idx="1">
                    <c:v>0.217700000000001</c:v>
                  </c:pt>
                  <c:pt idx="2">
                    <c:v>0.2612</c:v>
                  </c:pt>
                  <c:pt idx="3">
                    <c:v>0.1323</c:v>
                  </c:pt>
                  <c:pt idx="4">
                    <c:v>0.1368</c:v>
                  </c:pt>
                  <c:pt idx="5">
                    <c:v>0.1558</c:v>
                  </c:pt>
                </c:numCache>
              </c:numRef>
            </c:plus>
            <c:minus>
              <c:numRef>
                <c:f>[2]Sheet1!$M$21:$M$26</c:f>
                <c:numCache>
                  <c:formatCode>General</c:formatCode>
                  <c:ptCount val="6"/>
                  <c:pt idx="0">
                    <c:v>0.555800000000001</c:v>
                  </c:pt>
                  <c:pt idx="1">
                    <c:v>0.217700000000001</c:v>
                  </c:pt>
                  <c:pt idx="2">
                    <c:v>0.2612</c:v>
                  </c:pt>
                  <c:pt idx="3">
                    <c:v>0.1323</c:v>
                  </c:pt>
                  <c:pt idx="4">
                    <c:v>0.1368</c:v>
                  </c:pt>
                  <c:pt idx="5">
                    <c:v>0.1558</c:v>
                  </c:pt>
                </c:numCache>
              </c:numRef>
            </c:minus>
          </c:errBars>
          <c:cat>
            <c:strRef>
              <c:f>[2]Sheet1!$I$21:$I$26</c:f>
              <c:strCache>
                <c:ptCount val="6"/>
                <c:pt idx="0">
                  <c:v>Glu</c:v>
                </c:pt>
                <c:pt idx="1">
                  <c:v>Sta</c:v>
                </c:pt>
                <c:pt idx="2">
                  <c:v>Lac</c:v>
                </c:pt>
                <c:pt idx="3">
                  <c:v>Mal</c:v>
                </c:pt>
                <c:pt idx="4">
                  <c:v>Suc</c:v>
                </c:pt>
                <c:pt idx="5">
                  <c:v>D-Fur</c:v>
                </c:pt>
              </c:strCache>
            </c:strRef>
          </c:cat>
          <c:val>
            <c:numRef>
              <c:f>[2]Sheet1!$K$21:$K$26</c:f>
              <c:numCache>
                <c:formatCode>General</c:formatCode>
                <c:ptCount val="6"/>
                <c:pt idx="0">
                  <c:v>67.03</c:v>
                </c:pt>
                <c:pt idx="1">
                  <c:v>52.34</c:v>
                </c:pt>
                <c:pt idx="2">
                  <c:v>59.13</c:v>
                </c:pt>
                <c:pt idx="3">
                  <c:v>34.82</c:v>
                </c:pt>
                <c:pt idx="4">
                  <c:v>31.96</c:v>
                </c:pt>
                <c:pt idx="5">
                  <c:v>38.04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6"/>
        <c:axId val="86334848"/>
        <c:axId val="110723840"/>
      </c:barChart>
      <c:catAx>
        <c:axId val="8633484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sz="1000" b="1" i="0" u="none" strike="noStrike" baseline="0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Carbon source</a:t>
                </a:r>
                <a:endParaRPr lang="zh-CN" altLang="en-US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426159407558844"/>
              <c:y val="0.903586125808348"/>
            </c:manualLayout>
          </c:layout>
          <c:overlay val="0"/>
        </c:title>
        <c:majorTickMark val="in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10723840"/>
        <c:crosses val="autoZero"/>
        <c:auto val="1"/>
        <c:lblAlgn val="ctr"/>
        <c:lblOffset val="100"/>
        <c:noMultiLvlLbl val="0"/>
      </c:catAx>
      <c:valAx>
        <c:axId val="110723840"/>
        <c:scaling>
          <c:orientation val="minMax"/>
          <c:min val="2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Colony</a:t>
                </a:r>
                <a:r>
                  <a:rPr lang="en-US" altLang="zh-CN" baseline="0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 diameter (mm)</a:t>
                </a:r>
                <a:endParaRPr lang="zh-CN" altLang="en-US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661521499448732"/>
              <c:y val="0.145083332398519"/>
            </c:manualLayout>
          </c:layout>
          <c:overlay val="0"/>
        </c:title>
        <c:numFmt formatCode="#,##0.0_);[Red]\(#,##0.0\)" sourceLinked="0"/>
        <c:majorTickMark val="in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86334848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6928823407346"/>
          <c:y val="0.0443856554967666"/>
          <c:w val="0.796430794770699"/>
          <c:h val="0.756907701352146"/>
        </c:manualLayout>
      </c:layout>
      <c:barChart>
        <c:barDir val="col"/>
        <c:grouping val="clustered"/>
        <c:varyColors val="0"/>
        <c:ser>
          <c:idx val="0"/>
          <c:order val="0"/>
          <c:spPr>
            <a:pattFill prst="dk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d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"/>
                  <c:y val="-0.00915750915750932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bc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a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0"/>
                  <c:y val="-0.0412087912087913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zh-CN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a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0277777777777781"/>
                  <c:y val="-0.10989010989011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ab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0"/>
                  <c:y val="-0.0228937728937731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c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1.01850675264162e-16"/>
                  <c:y val="-0.0686813186813187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cd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[3]Sheet2!$E$40:$E$46</c:f>
                <c:numCache>
                  <c:formatCode>General</c:formatCode>
                  <c:ptCount val="7"/>
                  <c:pt idx="0">
                    <c:v>0.19755</c:v>
                  </c:pt>
                  <c:pt idx="1">
                    <c:v>0.730870000000002</c:v>
                  </c:pt>
                  <c:pt idx="2">
                    <c:v>0.70401</c:v>
                  </c:pt>
                  <c:pt idx="3">
                    <c:v>1.09848</c:v>
                  </c:pt>
                  <c:pt idx="4">
                    <c:v>2.5341</c:v>
                  </c:pt>
                  <c:pt idx="5">
                    <c:v>1.06966</c:v>
                  </c:pt>
                  <c:pt idx="6">
                    <c:v>2.03142</c:v>
                  </c:pt>
                </c:numCache>
              </c:numRef>
            </c:plus>
            <c:minus>
              <c:numRef>
                <c:f>[3]Sheet2!$E$40:$E$46</c:f>
                <c:numCache>
                  <c:formatCode>General</c:formatCode>
                  <c:ptCount val="7"/>
                  <c:pt idx="0">
                    <c:v>0.19755</c:v>
                  </c:pt>
                  <c:pt idx="1">
                    <c:v>0.730870000000002</c:v>
                  </c:pt>
                  <c:pt idx="2">
                    <c:v>0.70401</c:v>
                  </c:pt>
                  <c:pt idx="3">
                    <c:v>1.09848</c:v>
                  </c:pt>
                  <c:pt idx="4">
                    <c:v>2.5341</c:v>
                  </c:pt>
                  <c:pt idx="5">
                    <c:v>1.06966</c:v>
                  </c:pt>
                  <c:pt idx="6">
                    <c:v>2.03142</c:v>
                  </c:pt>
                </c:numCache>
              </c:numRef>
            </c:minus>
          </c:errBars>
          <c:cat>
            <c:numRef>
              <c:f>[3]Sheet2!$C$40:$C$46</c:f>
              <c:numCache>
                <c:formatCode>General</c:formatCode>
                <c:ptCount val="7"/>
                <c:pt idx="0">
                  <c:v>4</c:v>
                </c:pt>
                <c:pt idx="1">
                  <c:v>5</c:v>
                </c:pt>
                <c:pt idx="2">
                  <c:v>6</c:v>
                </c:pt>
                <c:pt idx="3">
                  <c:v>7</c:v>
                </c:pt>
                <c:pt idx="4">
                  <c:v>8</c:v>
                </c:pt>
                <c:pt idx="5">
                  <c:v>9</c:v>
                </c:pt>
                <c:pt idx="6">
                  <c:v>10</c:v>
                </c:pt>
              </c:numCache>
            </c:numRef>
          </c:cat>
          <c:val>
            <c:numRef>
              <c:f>[3]Sheet2!$D$40:$D$46</c:f>
              <c:numCache>
                <c:formatCode>General</c:formatCode>
                <c:ptCount val="7"/>
                <c:pt idx="0">
                  <c:v>63.7775</c:v>
                </c:pt>
                <c:pt idx="1">
                  <c:v>66.925</c:v>
                </c:pt>
                <c:pt idx="2">
                  <c:v>69.6125</c:v>
                </c:pt>
                <c:pt idx="3">
                  <c:v>70.95</c:v>
                </c:pt>
                <c:pt idx="4">
                  <c:v>68.85</c:v>
                </c:pt>
                <c:pt idx="5">
                  <c:v>66.275</c:v>
                </c:pt>
                <c:pt idx="6">
                  <c:v>64.85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6"/>
        <c:axId val="163369728"/>
        <c:axId val="176941312"/>
      </c:barChart>
      <c:catAx>
        <c:axId val="16336972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pH</a:t>
                </a:r>
                <a:endParaRPr lang="zh-CN" altLang="en-US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53186920384952"/>
              <c:y val="0.903586125808348"/>
            </c:manualLayout>
          </c:layout>
          <c:overlay val="0"/>
        </c:title>
        <c:majorTickMark val="in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76941312"/>
        <c:crosses val="autoZero"/>
        <c:auto val="1"/>
        <c:lblAlgn val="ctr"/>
        <c:lblOffset val="100"/>
        <c:noMultiLvlLbl val="0"/>
      </c:catAx>
      <c:valAx>
        <c:axId val="17694131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sz="1000" b="1" i="0" baseline="0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Colony diameter (mm)</a:t>
                </a:r>
                <a:endParaRPr lang="zh-CN" sz="1000" b="1" i="0" baseline="0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</c:title>
        <c:numFmt formatCode="#,##0.0_);[Red]\(#,##0.0\)" sourceLinked="0"/>
        <c:majorTickMark val="in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63369728"/>
        <c:crosses val="autoZero"/>
        <c:crossBetween val="between"/>
      </c:valAx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4399252957045"/>
          <c:y val="0.0443856554967666"/>
          <c:w val="0.789375389084872"/>
          <c:h val="0.751322751322751"/>
        </c:manualLayout>
      </c:layout>
      <c:barChart>
        <c:barDir val="col"/>
        <c:grouping val="clustered"/>
        <c:varyColors val="0"/>
        <c:ser>
          <c:idx val="1"/>
          <c:order val="0"/>
          <c:spPr>
            <a:pattFill prst="dk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e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d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b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a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zh-CN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b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c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e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>
                      <a:defRPr lang="zh-CN" sz="10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defRPr>
                    </a:pPr>
                    <a:r>
                      <a:rPr lang="en-US" altLang="en-US"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  <a:sym typeface="Times New Roman" panose="02020603050405020304" charset="0"/>
                      </a:rPr>
                      <a:t>f</a:t>
                    </a:r>
                    <a:endParaRPr lang="en-US" altLang="en-US"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endParaRP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[4]Sheet1!$E$48:$E$55</c:f>
                <c:numCache>
                  <c:formatCode>General</c:formatCode>
                  <c:ptCount val="8"/>
                  <c:pt idx="0">
                    <c:v>0.601000000000001</c:v>
                  </c:pt>
                  <c:pt idx="1">
                    <c:v>0.744000000000002</c:v>
                  </c:pt>
                  <c:pt idx="2">
                    <c:v>1.9983</c:v>
                  </c:pt>
                  <c:pt idx="3">
                    <c:v>0.5101</c:v>
                  </c:pt>
                  <c:pt idx="4">
                    <c:v>0.667700000000003</c:v>
                  </c:pt>
                  <c:pt idx="5">
                    <c:v>0.751100000000002</c:v>
                  </c:pt>
                  <c:pt idx="6">
                    <c:v>0.7043</c:v>
                  </c:pt>
                  <c:pt idx="7">
                    <c:v>0.4488</c:v>
                  </c:pt>
                </c:numCache>
              </c:numRef>
            </c:plus>
            <c:minus>
              <c:numRef>
                <c:f>[4]Sheet1!$E$48:$E$55</c:f>
                <c:numCache>
                  <c:formatCode>General</c:formatCode>
                  <c:ptCount val="8"/>
                  <c:pt idx="0">
                    <c:v>0.601000000000001</c:v>
                  </c:pt>
                  <c:pt idx="1">
                    <c:v>0.744000000000002</c:v>
                  </c:pt>
                  <c:pt idx="2">
                    <c:v>1.9983</c:v>
                  </c:pt>
                  <c:pt idx="3">
                    <c:v>0.5101</c:v>
                  </c:pt>
                  <c:pt idx="4">
                    <c:v>0.667700000000003</c:v>
                  </c:pt>
                  <c:pt idx="5">
                    <c:v>0.751100000000002</c:v>
                  </c:pt>
                  <c:pt idx="6">
                    <c:v>0.7043</c:v>
                  </c:pt>
                  <c:pt idx="7">
                    <c:v>0.4488</c:v>
                  </c:pt>
                </c:numCache>
              </c:numRef>
            </c:minus>
          </c:errBars>
          <c:cat>
            <c:numRef>
              <c:f>[4]Sheet1!$B$48:$B$55</c:f>
              <c:numCache>
                <c:formatCode>General</c:formatCode>
                <c:ptCount val="8"/>
                <c:pt idx="0">
                  <c:v>15</c:v>
                </c:pt>
                <c:pt idx="1">
                  <c:v>20</c:v>
                </c:pt>
                <c:pt idx="2">
                  <c:v>25</c:v>
                </c:pt>
                <c:pt idx="3">
                  <c:v>30</c:v>
                </c:pt>
                <c:pt idx="4">
                  <c:v>35</c:v>
                </c:pt>
                <c:pt idx="5">
                  <c:v>40</c:v>
                </c:pt>
                <c:pt idx="6">
                  <c:v>45</c:v>
                </c:pt>
                <c:pt idx="7">
                  <c:v>50</c:v>
                </c:pt>
              </c:numCache>
            </c:numRef>
          </c:cat>
          <c:val>
            <c:numRef>
              <c:f>[4]Sheet1!$C$48:$C$55</c:f>
              <c:numCache>
                <c:formatCode>General</c:formatCode>
                <c:ptCount val="8"/>
                <c:pt idx="0">
                  <c:v>26.2124999999999</c:v>
                </c:pt>
                <c:pt idx="1">
                  <c:v>39.075</c:v>
                </c:pt>
                <c:pt idx="2">
                  <c:v>69.0375</c:v>
                </c:pt>
                <c:pt idx="3">
                  <c:v>77.2125</c:v>
                </c:pt>
                <c:pt idx="4">
                  <c:v>67.2875</c:v>
                </c:pt>
                <c:pt idx="5">
                  <c:v>56.825</c:v>
                </c:pt>
                <c:pt idx="6">
                  <c:v>26.9624999999999</c:v>
                </c:pt>
                <c:pt idx="7">
                  <c:v>16.3375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6"/>
        <c:axId val="184990720"/>
        <c:axId val="200836608"/>
      </c:barChart>
      <c:catAx>
        <c:axId val="18499072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Temperature ( ℃ )</a:t>
                </a:r>
                <a:endParaRPr lang="en-US" altLang="en-US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447706993152106"/>
              <c:y val="0.903586125808348"/>
            </c:manualLayout>
          </c:layout>
          <c:overlay val="0"/>
        </c:title>
        <c:numFmt formatCode="General" sourceLinked="1"/>
        <c:majorTickMark val="in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00836608"/>
        <c:crosses val="autoZero"/>
        <c:auto val="1"/>
        <c:lblAlgn val="ctr"/>
        <c:lblOffset val="100"/>
        <c:noMultiLvlLbl val="0"/>
      </c:catAx>
      <c:valAx>
        <c:axId val="20083660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colony diameter (mm)</a:t>
                </a:r>
                <a:endParaRPr lang="zh-CN" altLang="en-US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</c:title>
        <c:numFmt formatCode="#,##0.0_);[Red]\(#,##0.0\)" sourceLinked="0"/>
        <c:majorTickMark val="in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84990720"/>
        <c:crosses val="autoZero"/>
        <c:crossBetween val="between"/>
      </c:valAx>
    </c:plotArea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411</Words>
  <Characters>2343</Characters>
  <Lines>19</Lines>
  <Paragraphs>5</Paragraphs>
  <TotalTime>10</TotalTime>
  <ScaleCrop>false</ScaleCrop>
  <LinksUpToDate>false</LinksUpToDate>
  <CharactersWithSpaces>2749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2019-09-19T12:16:00Z</dcterms:created>
  <dc:creator>8613854809972</dc:creator>
  <cp:lastModifiedBy>Mark</cp:lastModifiedBy>
  <dcterms:modified xsi:type="dcterms:W3CDTF">2020-12-28T02:01:04Z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