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eastAsia="宋体" w:cs="Arial"/>
          <w:b/>
          <w:bCs/>
          <w:sz w:val="32"/>
          <w:szCs w:val="32"/>
        </w:rPr>
      </w:pPr>
      <w:r>
        <w:rPr>
          <w:rFonts w:hint="default" w:ascii="Arial" w:hAnsi="Arial" w:eastAsia="宋体" w:cs="Arial"/>
          <w:b/>
          <w:bCs/>
          <w:sz w:val="32"/>
          <w:szCs w:val="32"/>
        </w:rPr>
        <w:t>Appendix 4</w:t>
      </w:r>
    </w:p>
    <w:p>
      <w:pPr>
        <w:spacing w:line="360" w:lineRule="auto"/>
        <w:rPr>
          <w:rFonts w:ascii="Arial" w:hAnsi="Arial" w:eastAsia="宋体" w:cs="Arial"/>
          <w:b/>
          <w:bCs/>
          <w:sz w:val="21"/>
          <w:szCs w:val="21"/>
        </w:rPr>
      </w:pPr>
      <w:r>
        <w:rPr>
          <w:rFonts w:hint="default" w:ascii="Arial" w:hAnsi="Arial" w:eastAsia="宋体" w:cs="Arial"/>
          <w:b/>
          <w:bCs/>
          <w:sz w:val="21"/>
          <w:szCs w:val="21"/>
        </w:rPr>
        <w:t>The Vancouver Scar Rating Scale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Note: The level 0 evaluation item should be compared with the skin of other parts of the body. The scar must be observed with special slides pressing the scar for 2 seconds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. T</w:t>
      </w:r>
      <w:r>
        <w:rPr>
          <w:rFonts w:hint="eastAsia" w:asciiTheme="minorEastAsia" w:hAnsiTheme="minorEastAsia" w:eastAsiaTheme="minorEastAsia" w:cstheme="minorEastAsia"/>
          <w:szCs w:val="21"/>
        </w:rPr>
        <w:t>he highest is 18 points, the lowest is 0 points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. T</w:t>
      </w:r>
      <w:r>
        <w:rPr>
          <w:rFonts w:hint="eastAsia" w:asciiTheme="minorEastAsia" w:hAnsiTheme="minorEastAsia" w:eastAsiaTheme="minorEastAsia" w:cstheme="minorEastAsia"/>
          <w:szCs w:val="21"/>
        </w:rPr>
        <w:t>he higher the score, the more serious the condition of the scar, and otherwise, it is light.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6337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roject</w:t>
            </w:r>
          </w:p>
        </w:tc>
        <w:tc>
          <w:tcPr>
            <w:tcW w:w="37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ode of points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282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olour and lustre</w:t>
            </w:r>
          </w:p>
        </w:tc>
        <w:tc>
          <w:tcPr>
            <w:tcW w:w="3718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Points: The color of the scar is similar to the skin color of the normal parts of the adjacent body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 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lightly pink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2 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ixed color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3 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eep color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lood vessel</w:t>
            </w:r>
          </w:p>
        </w:tc>
        <w:tc>
          <w:tcPr>
            <w:tcW w:w="3718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Points: The scar color is similar to the normal parts of the body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 Points: Pink local blood supply is slightly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 Points: Red local blood supply increased significantly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Points: Blood in purple or dark red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lasticity</w:t>
            </w:r>
          </w:p>
        </w:tc>
        <w:tc>
          <w:tcPr>
            <w:tcW w:w="3718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0 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N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ormal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Points: Soft (skin deformed with minimum resistance)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Points: Flexible, flexible (deformed under pressure)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Points: Hard (inelastic during hand pressure, block)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Points: The tissue is corled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ontracture deformity (permanent shortening)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hickness</w:t>
            </w:r>
          </w:p>
        </w:tc>
        <w:tc>
          <w:tcPr>
            <w:tcW w:w="3718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he same height as normal skin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 Points: 2mm higher than the normal skin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 Points: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＞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2mm,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 Points: More than 5mm higher than the normal skin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ain</w:t>
            </w:r>
          </w:p>
        </w:tc>
        <w:tc>
          <w:tcPr>
            <w:tcW w:w="3718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 Points: Painless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 Points: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O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ccasional or mild pain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 Points: Need drugs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ruritus</w:t>
            </w:r>
          </w:p>
        </w:tc>
        <w:tc>
          <w:tcPr>
            <w:tcW w:w="3718" w:type="pct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 Points: 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bottom w:val="nil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bottom w:val="nil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 Points: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O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ccasional or slight itching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82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3718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 Points: Need drugs</w:t>
            </w:r>
          </w:p>
        </w:tc>
      </w:tr>
    </w:tbl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T</w:t>
      </w:r>
      <w:r>
        <w:rPr>
          <w:rFonts w:hint="default" w:ascii="Arial" w:hAnsi="Arial" w:eastAsia="宋体" w:cs="Arial"/>
          <w:b/>
          <w:bCs/>
          <w:sz w:val="21"/>
          <w:szCs w:val="21"/>
        </w:rPr>
        <w:t>otal points:</w:t>
      </w:r>
    </w:p>
    <w:p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宋体" w:cs="Arial"/>
          <w:sz w:val="21"/>
          <w:szCs w:val="21"/>
        </w:rPr>
        <w:t xml:space="preserve">Signature of the case recorder: </w:t>
      </w:r>
    </w:p>
    <w:p>
      <w:pPr>
        <w:ind w:firstLine="0" w:firstLineChars="0"/>
      </w:pPr>
      <w:r>
        <w:rPr>
          <w:rFonts w:hint="default" w:ascii="Arial" w:hAnsi="Arial" w:eastAsia="宋体" w:cs="Arial"/>
          <w:sz w:val="21"/>
          <w:szCs w:val="21"/>
        </w:rPr>
        <w:t xml:space="preserve">Date of record: </w:t>
      </w:r>
    </w:p>
    <w:p>
      <w:pPr>
        <w:ind w:firstLine="0" w:firstLineChars="0"/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</w:pPr>
    </w:p>
    <w:p>
      <w:pPr>
        <w:ind w:firstLine="0" w:firstLineChars="0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  <w:t>Reference</w:t>
      </w:r>
      <w:r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  <w:lang w:val="en-US" w:eastAsia="zh-CN"/>
        </w:rPr>
        <w:t xml:space="preserve">: </w:t>
      </w:r>
      <w:r>
        <w:rPr>
          <w:rFonts w:hint="default" w:eastAsia="宋体" w:cs="Arial" w:asciiTheme="minorAscii" w:hAnsiTheme="minorAscii"/>
          <w:sz w:val="18"/>
          <w:szCs w:val="18"/>
        </w:rPr>
        <w:t>van der Wal</w:t>
      </w:r>
      <w:r>
        <w:rPr>
          <w:rFonts w:hint="default" w:eastAsia="宋体" w:cs="Arial" w:asciiTheme="minorAscii" w:hAnsiTheme="minorAscii"/>
          <w:sz w:val="18"/>
          <w:szCs w:val="18"/>
          <w:lang w:val="en-US" w:eastAsia="zh-CN"/>
        </w:rPr>
        <w:t xml:space="preserve"> </w:t>
      </w:r>
      <w:r>
        <w:rPr>
          <w:rFonts w:hint="default" w:eastAsia="宋体" w:cs="Arial" w:asciiTheme="minorAscii" w:hAnsiTheme="minorAscii"/>
          <w:sz w:val="18"/>
          <w:szCs w:val="18"/>
        </w:rPr>
        <w:t>M B A ,</w:t>
      </w:r>
      <w:r>
        <w:rPr>
          <w:rFonts w:hint="default" w:eastAsia="宋体" w:cs="Arial" w:asciiTheme="minorAscii" w:hAnsiTheme="minorAscii"/>
          <w:sz w:val="18"/>
          <w:szCs w:val="18"/>
          <w:lang w:val="en-US" w:eastAsia="zh-CN"/>
        </w:rPr>
        <w:t xml:space="preserve"> </w:t>
      </w:r>
      <w:r>
        <w:rPr>
          <w:rFonts w:hint="default" w:eastAsia="宋体" w:cs="Arial" w:asciiTheme="minorAscii" w:hAnsiTheme="minorAscii"/>
          <w:sz w:val="18"/>
          <w:szCs w:val="18"/>
        </w:rPr>
        <w:t>Verhaegen</w:t>
      </w:r>
      <w:r>
        <w:rPr>
          <w:rFonts w:hint="default" w:eastAsia="宋体" w:cs="Arial" w:asciiTheme="minorAscii" w:hAnsiTheme="minorAscii"/>
          <w:sz w:val="18"/>
          <w:szCs w:val="18"/>
          <w:lang w:val="en-US" w:eastAsia="zh-CN"/>
        </w:rPr>
        <w:t xml:space="preserve"> </w:t>
      </w:r>
      <w:r>
        <w:rPr>
          <w:rFonts w:hint="default" w:eastAsia="宋体" w:cs="Arial" w:asciiTheme="minorAscii" w:hAnsiTheme="minorAscii"/>
          <w:sz w:val="18"/>
          <w:szCs w:val="18"/>
        </w:rPr>
        <w:t>P D H M, Middelkoop</w:t>
      </w:r>
      <w:r>
        <w:rPr>
          <w:rFonts w:hint="default" w:eastAsia="宋体" w:cs="Arial" w:asciiTheme="minorAscii" w:hAnsiTheme="minorAscii"/>
          <w:sz w:val="18"/>
          <w:szCs w:val="18"/>
          <w:lang w:val="en-US" w:eastAsia="zh-CN"/>
        </w:rPr>
        <w:t xml:space="preserve"> </w:t>
      </w:r>
      <w:r>
        <w:rPr>
          <w:rFonts w:hint="default" w:eastAsia="宋体" w:cs="Arial" w:asciiTheme="minorAscii" w:hAnsiTheme="minorAscii"/>
          <w:sz w:val="18"/>
          <w:szCs w:val="18"/>
        </w:rPr>
        <w:t xml:space="preserve">E, </w:t>
      </w:r>
      <w:r>
        <w:rPr>
          <w:rFonts w:asciiTheme="minorAscii" w:hAnsiTheme="minorAscii"/>
          <w:sz w:val="18"/>
          <w:szCs w:val="20"/>
        </w:rPr>
        <w:t>et al</w:t>
      </w:r>
      <w:r>
        <w:rPr>
          <w:rFonts w:hint="eastAsia" w:asciiTheme="minorAscii" w:hAnsiTheme="minorAscii"/>
          <w:sz w:val="18"/>
          <w:szCs w:val="20"/>
          <w:lang w:val="en-US" w:eastAsia="zh-CN"/>
        </w:rPr>
        <w:t>. A clinimetric overview of scar assessment scales. J Burn Care Res. 2012 Mar-Apr;33(2):e79-87. doi: 10.1097/BCR.0b013e318239f5dd.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15940716"/>
    <w:rsid w:val="15940716"/>
    <w:rsid w:val="210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Grid Table 1 Light Accent 3"/>
    <w:basedOn w:val="2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2023-01-28T05:09:00Z</dcterms:created>
  <dc:creator>空白</dc:creator>
  <cp:lastModifiedBy>空白</cp:lastModifiedBy>
  <dcterms:modified xsi:type="dcterms:W3CDTF">2023-01-28T12:54:45Z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7BEC2311804948DD86966BA6B01B3D8A</vt:lpwstr>
  </property>
</Properties>
</file>