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7CAB6" w14:textId="77777777" w:rsidR="00CE04C0" w:rsidRPr="00586E58" w:rsidRDefault="00000000">
      <w:pPr>
        <w:spacing w:line="360" w:lineRule="auto"/>
        <w:jc w:val="both"/>
        <w:rPr>
          <w:rFonts w:ascii="Times New Roman" w:hAnsi="Times New Roman" w:cs="Times New Roman"/>
          <w:vertAlign w:val="superscript"/>
          <w:lang w:val="en-CA"/>
        </w:rPr>
      </w:pPr>
      <w:bookmarkStart w:id="0" w:name="_Hlk532653986"/>
      <w:r w:rsidRPr="00586E58">
        <w:rPr>
          <w:rFonts w:ascii="Times New Roman" w:hAnsi="Times New Roman" w:cs="Times New Roman"/>
          <w:b/>
          <w:bCs/>
        </w:rPr>
        <w:t xml:space="preserve">Increased D-Neopterin biosynthesis </w:t>
      </w:r>
      <w:bookmarkStart w:id="1" w:name="_Hlk109030127"/>
      <w:r w:rsidRPr="00586E58">
        <w:rPr>
          <w:rFonts w:ascii="Times New Roman" w:hAnsi="Times New Roman" w:cs="Times New Roman"/>
          <w:b/>
          <w:bCs/>
        </w:rPr>
        <w:t xml:space="preserve">in gut microbiome </w:t>
      </w:r>
      <w:bookmarkEnd w:id="1"/>
      <w:r w:rsidRPr="00586E58">
        <w:rPr>
          <w:rFonts w:ascii="Times New Roman" w:hAnsi="Times New Roman" w:cs="Times New Roman"/>
          <w:b/>
          <w:bCs/>
        </w:rPr>
        <w:t>promoted colonic carcinogenesis after ampicillin or amoxicillin treatment</w:t>
      </w:r>
      <w:bookmarkEnd w:id="0"/>
    </w:p>
    <w:p w14:paraId="5328590B" w14:textId="77777777" w:rsidR="00CE04C0" w:rsidRPr="00586E58" w:rsidRDefault="00000000">
      <w:pPr>
        <w:spacing w:before="480" w:line="360" w:lineRule="auto"/>
        <w:jc w:val="both"/>
        <w:rPr>
          <w:rFonts w:ascii="Times New Roman" w:hAnsi="Times New Roman" w:cs="Times New Roman"/>
          <w:b/>
          <w:bCs/>
        </w:rPr>
      </w:pPr>
      <w:r w:rsidRPr="00586E58">
        <w:rPr>
          <w:rFonts w:ascii="Times New Roman" w:hAnsi="Times New Roman" w:cs="Times New Roman"/>
          <w:b/>
          <w:bCs/>
        </w:rPr>
        <w:t>Supplementary Figures</w:t>
      </w:r>
    </w:p>
    <w:p w14:paraId="4DECEC4A" w14:textId="77777777" w:rsidR="00CE04C0" w:rsidRPr="00586E58" w:rsidRDefault="00000000">
      <w:pPr>
        <w:jc w:val="center"/>
        <w:rPr>
          <w:rFonts w:ascii="Times New Roman" w:eastAsia="等线" w:hAnsi="Times New Roman" w:cs="Times New Roman"/>
          <w:b/>
          <w:bCs/>
          <w:lang w:eastAsia="zh-CN"/>
        </w:rPr>
      </w:pPr>
      <w:r w:rsidRPr="00586E58">
        <w:rPr>
          <w:rFonts w:ascii="Times New Roman" w:eastAsia="等线" w:hAnsi="Times New Roman" w:cs="Times New Roman"/>
          <w:b/>
          <w:bCs/>
          <w:noProof/>
          <w:lang w:eastAsia="zh-CN"/>
        </w:rPr>
        <w:drawing>
          <wp:inline distT="0" distB="0" distL="0" distR="0" wp14:anchorId="5B9EEFD7" wp14:editId="7B63E970">
            <wp:extent cx="5490210" cy="5541010"/>
            <wp:effectExtent l="0" t="0" r="0" b="2540"/>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7" cstate="print"/>
                    <a:srcRect/>
                    <a:stretch>
                      <a:fillRect/>
                    </a:stretch>
                  </pic:blipFill>
                  <pic:spPr>
                    <a:xfrm>
                      <a:off x="0" y="0"/>
                      <a:ext cx="5490210" cy="5541010"/>
                    </a:xfrm>
                    <a:prstGeom prst="rect">
                      <a:avLst/>
                    </a:prstGeom>
                  </pic:spPr>
                </pic:pic>
              </a:graphicData>
            </a:graphic>
          </wp:inline>
        </w:drawing>
      </w:r>
    </w:p>
    <w:p w14:paraId="15319EF0" w14:textId="77777777" w:rsidR="00CE04C0" w:rsidRPr="00586E58" w:rsidRDefault="00000000">
      <w:pPr>
        <w:spacing w:line="360" w:lineRule="auto"/>
        <w:jc w:val="both"/>
        <w:rPr>
          <w:rFonts w:ascii="Times New Roman" w:eastAsia="等线" w:hAnsi="Times New Roman" w:cs="Times New Roman"/>
          <w:lang w:eastAsia="zh-CN"/>
        </w:rPr>
      </w:pPr>
      <w:r w:rsidRPr="00586E58">
        <w:rPr>
          <w:rFonts w:ascii="Times New Roman" w:eastAsia="等线" w:hAnsi="Times New Roman" w:cs="Times New Roman"/>
          <w:b/>
          <w:bCs/>
          <w:lang w:eastAsia="zh-CN"/>
        </w:rPr>
        <w:t xml:space="preserve">Supplementary Figure S1. </w:t>
      </w:r>
      <w:r w:rsidRPr="00586E58">
        <w:rPr>
          <w:rFonts w:ascii="Times New Roman" w:eastAsia="等线" w:hAnsi="Times New Roman" w:cs="Times New Roman"/>
          <w:lang w:eastAsia="zh-CN"/>
        </w:rPr>
        <w:t xml:space="preserve">Ampicillin and amoxicillin treatment altered the gut microbial interactions and functions. </w:t>
      </w:r>
      <w:r w:rsidRPr="00586E58">
        <w:rPr>
          <w:rFonts w:ascii="Times New Roman" w:eastAsia="等线" w:hAnsi="Times New Roman" w:cs="Times New Roman"/>
          <w:b/>
          <w:bCs/>
          <w:lang w:eastAsia="zh-CN"/>
        </w:rPr>
        <w:t xml:space="preserve">(A) </w:t>
      </w:r>
      <w:r w:rsidRPr="00586E58">
        <w:rPr>
          <w:rFonts w:ascii="Times New Roman" w:eastAsia="等线" w:hAnsi="Times New Roman" w:cs="Times New Roman"/>
          <w:lang w:eastAsia="zh-CN"/>
        </w:rPr>
        <w:t xml:space="preserve">Ampicillin and amoxicillin-induced differentiated antibiotic resistance gene abundance of humanized microbiome mice with feces and hematopoietic stem cells from CRC patients. The tool Resistance Gene Identifier (RGI) in Comprehensive Antibiotic Resistance Database (CARD) was used to compare the sequences of non-redundant genes for each group. The abscissa is the type of antibiotic resistance and the </w:t>
      </w:r>
      <w:r w:rsidRPr="00586E58">
        <w:rPr>
          <w:rFonts w:ascii="Times New Roman" w:eastAsia="等线" w:hAnsi="Times New Roman" w:cs="Times New Roman"/>
          <w:lang w:eastAsia="zh-CN"/>
        </w:rPr>
        <w:lastRenderedPageBreak/>
        <w:t xml:space="preserve">ordinate is the relative content of the corresponding resistance genes. </w:t>
      </w:r>
      <w:r w:rsidRPr="00586E58">
        <w:rPr>
          <w:rFonts w:ascii="Times New Roman" w:eastAsia="等线" w:hAnsi="Times New Roman" w:cs="Times New Roman"/>
          <w:b/>
          <w:bCs/>
          <w:lang w:eastAsia="zh-CN"/>
        </w:rPr>
        <w:t xml:space="preserve">(B) </w:t>
      </w:r>
      <w:r w:rsidRPr="00586E58">
        <w:rPr>
          <w:rFonts w:ascii="Times New Roman" w:eastAsia="等线" w:hAnsi="Times New Roman" w:cs="Times New Roman"/>
          <w:lang w:eastAsia="zh-CN"/>
        </w:rPr>
        <w:t xml:space="preserve">Circle diagram of CARD antibiotic resistance gene composition. The right half circle of the outer circle shows the samples grouping, and the left half circle shows the annotated resistance gene type, whose scale is the proportion of abundance. The ribbon stripe in the inner circle connects resistance genes and sample groups to reveal the functional composition of resistance genes. The ribbon width represents the distribution proportion. </w:t>
      </w:r>
      <w:r w:rsidRPr="00586E58">
        <w:rPr>
          <w:rFonts w:ascii="Times New Roman" w:eastAsia="等线" w:hAnsi="Times New Roman" w:cs="Times New Roman"/>
          <w:b/>
          <w:bCs/>
          <w:lang w:eastAsia="zh-CN"/>
        </w:rPr>
        <w:t xml:space="preserve">(C) </w:t>
      </w:r>
      <w:r w:rsidRPr="00586E58">
        <w:rPr>
          <w:rFonts w:ascii="Times New Roman" w:eastAsia="等线" w:hAnsi="Times New Roman" w:cs="Times New Roman"/>
          <w:lang w:eastAsia="zh-CN"/>
        </w:rPr>
        <w:t xml:space="preserve">Correlation analysis of differentiated functional genes after ampicillin and amoxicillin treatment. The 80 functional genes with the highest abundance were screened. According to the abundance and changes of each differentiated functional gene, spearman algorithm was used for correlation analysis and statistical test. Correlation value for greater than 0.5 and </w:t>
      </w:r>
      <w:r w:rsidRPr="00586E58">
        <w:rPr>
          <w:rFonts w:ascii="Times New Roman" w:eastAsia="等线" w:hAnsi="Times New Roman" w:cs="Times New Roman"/>
          <w:i/>
          <w:iCs/>
          <w:lang w:eastAsia="zh-CN"/>
        </w:rPr>
        <w:t>p</w:t>
      </w:r>
      <w:r w:rsidRPr="00586E58">
        <w:rPr>
          <w:rFonts w:ascii="Times New Roman" w:eastAsia="等线" w:hAnsi="Times New Roman" w:cs="Times New Roman"/>
          <w:lang w:eastAsia="zh-CN"/>
        </w:rPr>
        <w:t xml:space="preserve"> value less than 0.05 were identified, and the correlation network diagram was drawn based on R. </w:t>
      </w:r>
      <w:r w:rsidRPr="00586E58">
        <w:rPr>
          <w:rFonts w:ascii="Times New Roman" w:eastAsia="等线" w:hAnsi="Times New Roman" w:cs="Times New Roman"/>
          <w:b/>
          <w:bCs/>
          <w:lang w:eastAsia="zh-CN"/>
        </w:rPr>
        <w:t xml:space="preserve">(D) </w:t>
      </w:r>
      <w:r w:rsidRPr="00586E58">
        <w:rPr>
          <w:rFonts w:ascii="Times New Roman" w:eastAsia="等线" w:hAnsi="Times New Roman" w:cs="Times New Roman"/>
          <w:lang w:eastAsia="zh-CN"/>
        </w:rPr>
        <w:t xml:space="preserve">Gene ontology (GO) categories of differentially expressed target genes after ampicillin and amoxicillin treatment. For the root structure of the inverted tree with gradually deepening biological functions, their nodes are divided into: (1) Cellular Component: subcellular structure, location and macromolecular complex; (2) Molecular Function: the function of individual genes and gene products; (3) Biological Process: the biological process of the product encoded by a gene participates. </w:t>
      </w:r>
      <w:r w:rsidRPr="00586E58">
        <w:rPr>
          <w:rFonts w:ascii="Times New Roman" w:eastAsia="等线" w:hAnsi="Times New Roman" w:cs="Times New Roman"/>
          <w:b/>
          <w:bCs/>
          <w:lang w:eastAsia="zh-CN"/>
        </w:rPr>
        <w:t xml:space="preserve">(E, F) </w:t>
      </w:r>
      <w:r w:rsidRPr="00586E58">
        <w:rPr>
          <w:rFonts w:ascii="Times New Roman" w:eastAsia="等线" w:hAnsi="Times New Roman" w:cs="Times New Roman"/>
          <w:lang w:eastAsia="zh-CN"/>
        </w:rPr>
        <w:t xml:space="preserve">KEGG pathway enrichment analysis based on the significantly altered gut microbial functional pathways after ampicillin (E) or amoxicillin (F) treatment. The name of each KEGG pathway is shown on the left, and the corresponding </w:t>
      </w:r>
      <w:r w:rsidRPr="00586E58">
        <w:rPr>
          <w:rFonts w:ascii="Times New Roman" w:eastAsia="等线" w:hAnsi="Times New Roman" w:cs="Times New Roman"/>
          <w:i/>
          <w:iCs/>
          <w:lang w:eastAsia="zh-CN"/>
        </w:rPr>
        <w:t>P</w:t>
      </w:r>
      <w:r w:rsidRPr="00586E58">
        <w:rPr>
          <w:rFonts w:ascii="Times New Roman" w:eastAsia="等线" w:hAnsi="Times New Roman" w:cs="Times New Roman"/>
          <w:lang w:eastAsia="zh-CN"/>
        </w:rPr>
        <w:t xml:space="preserve"> value is shown on the right. </w:t>
      </w:r>
      <w:r w:rsidRPr="00586E58">
        <w:rPr>
          <w:rFonts w:ascii="Times New Roman" w:eastAsia="等线" w:hAnsi="Times New Roman" w:cs="Times New Roman"/>
          <w:i/>
          <w:iCs/>
          <w:lang w:eastAsia="zh-CN"/>
        </w:rPr>
        <w:t>P</w:t>
      </w:r>
      <w:r w:rsidRPr="00586E58">
        <w:rPr>
          <w:rFonts w:ascii="Times New Roman" w:eastAsia="等线" w:hAnsi="Times New Roman" w:cs="Times New Roman"/>
          <w:lang w:eastAsia="zh-CN"/>
        </w:rPr>
        <w:t xml:space="preserve"> values were determined using two-sided Fisher’s exact tests with Benjamini-Hochberg correction for multiple testing.</w:t>
      </w:r>
    </w:p>
    <w:p w14:paraId="2BAB1EAD" w14:textId="77777777" w:rsidR="00CE04C0" w:rsidRPr="00586E58" w:rsidRDefault="00000000">
      <w:pPr>
        <w:jc w:val="center"/>
        <w:rPr>
          <w:rFonts w:ascii="Times New Roman" w:eastAsia="等线" w:hAnsi="Times New Roman" w:cs="Times New Roman"/>
          <w:b/>
          <w:bCs/>
          <w:lang w:eastAsia="zh-CN"/>
        </w:rPr>
      </w:pPr>
      <w:r w:rsidRPr="00586E58">
        <w:rPr>
          <w:rFonts w:ascii="Times New Roman" w:eastAsia="等线" w:hAnsi="Times New Roman" w:cs="Times New Roman"/>
          <w:b/>
          <w:bCs/>
          <w:noProof/>
          <w:lang w:eastAsia="zh-CN"/>
        </w:rPr>
        <w:drawing>
          <wp:inline distT="0" distB="0" distL="0" distR="0" wp14:anchorId="42FF61D4" wp14:editId="5A58CA78">
            <wp:extent cx="5490210" cy="6699885"/>
            <wp:effectExtent l="0" t="0" r="8890" b="5715"/>
            <wp:docPr id="1027" name="图片 3"/>
            <wp:cNvGraphicFramePr/>
            <a:graphic xmlns:a="http://schemas.openxmlformats.org/drawingml/2006/main">
              <a:graphicData uri="http://schemas.openxmlformats.org/drawingml/2006/picture">
                <pic:pic xmlns:pic="http://schemas.openxmlformats.org/drawingml/2006/picture">
                  <pic:nvPicPr>
                    <pic:cNvPr id="1027" name="图片 3"/>
                    <pic:cNvPicPr/>
                  </pic:nvPicPr>
                  <pic:blipFill>
                    <a:blip r:embed="rId8" cstate="print"/>
                    <a:srcRect/>
                    <a:stretch>
                      <a:fillRect/>
                    </a:stretch>
                  </pic:blipFill>
                  <pic:spPr>
                    <a:xfrm>
                      <a:off x="0" y="0"/>
                      <a:ext cx="5490210" cy="6699885"/>
                    </a:xfrm>
                    <a:prstGeom prst="rect">
                      <a:avLst/>
                    </a:prstGeom>
                  </pic:spPr>
                </pic:pic>
              </a:graphicData>
            </a:graphic>
          </wp:inline>
        </w:drawing>
      </w:r>
    </w:p>
    <w:p w14:paraId="38B77DE8" w14:textId="1A633458" w:rsidR="00CE04C0" w:rsidRPr="00586E58" w:rsidRDefault="00000000">
      <w:pPr>
        <w:spacing w:line="360" w:lineRule="auto"/>
        <w:jc w:val="both"/>
        <w:rPr>
          <w:rFonts w:ascii="Times New Roman" w:eastAsia="等线" w:hAnsi="Times New Roman" w:cs="Times New Roman"/>
          <w:b/>
          <w:bCs/>
          <w:lang w:eastAsia="zh-CN"/>
        </w:rPr>
      </w:pPr>
      <w:r w:rsidRPr="00586E58">
        <w:rPr>
          <w:rFonts w:ascii="Times New Roman" w:eastAsia="等线" w:hAnsi="Times New Roman" w:cs="Times New Roman"/>
          <w:b/>
          <w:bCs/>
          <w:lang w:eastAsia="zh-CN"/>
        </w:rPr>
        <w:t xml:space="preserve">Supplementary Figure S2. </w:t>
      </w:r>
      <w:r w:rsidRPr="00586E58">
        <w:rPr>
          <w:rFonts w:ascii="Times New Roman" w:eastAsia="等线" w:hAnsi="Times New Roman" w:cs="Times New Roman"/>
          <w:lang w:eastAsia="zh-CN"/>
        </w:rPr>
        <w:t xml:space="preserve">Enrichment of gut microbial metabolites after ampicillin or amoxicillin treatment. </w:t>
      </w:r>
      <w:r w:rsidRPr="00586E58">
        <w:rPr>
          <w:rFonts w:ascii="Times New Roman" w:eastAsia="等线" w:hAnsi="Times New Roman" w:cs="Times New Roman"/>
          <w:b/>
          <w:bCs/>
          <w:lang w:eastAsia="zh-CN"/>
        </w:rPr>
        <w:t xml:space="preserve">(A) </w:t>
      </w:r>
      <w:r w:rsidRPr="00586E58">
        <w:rPr>
          <w:rFonts w:ascii="Times New Roman" w:eastAsia="等线" w:hAnsi="Times New Roman" w:cs="Times New Roman"/>
          <w:lang w:eastAsia="zh-CN"/>
        </w:rPr>
        <w:t>Correlation analysis of metabolites in samples differences within groups with metabolites differences between groups.</w:t>
      </w:r>
      <w:r w:rsidRPr="00586E58">
        <w:rPr>
          <w:rFonts w:ascii="Times New Roman" w:eastAsia="等线" w:hAnsi="Times New Roman" w:cs="Times New Roman"/>
          <w:b/>
          <w:bCs/>
          <w:lang w:eastAsia="zh-CN"/>
        </w:rPr>
        <w:t xml:space="preserve"> </w:t>
      </w:r>
      <w:r w:rsidRPr="00586E58">
        <w:rPr>
          <w:rFonts w:ascii="Times New Roman" w:eastAsia="等线" w:hAnsi="Times New Roman" w:cs="Times New Roman"/>
          <w:lang w:eastAsia="zh-CN"/>
        </w:rPr>
        <w:t>The square of Spearman Rank Correlation (r</w:t>
      </w:r>
      <w:r w:rsidRPr="00586E58">
        <w:rPr>
          <w:rFonts w:ascii="Times New Roman" w:eastAsia="等线" w:hAnsi="Times New Roman" w:cs="Times New Roman"/>
          <w:vertAlign w:val="superscript"/>
          <w:lang w:eastAsia="zh-CN"/>
        </w:rPr>
        <w:t>2</w:t>
      </w:r>
      <w:r w:rsidRPr="00586E58">
        <w:rPr>
          <w:rFonts w:ascii="Times New Roman" w:eastAsia="等线" w:hAnsi="Times New Roman" w:cs="Times New Roman"/>
          <w:lang w:eastAsia="zh-CN"/>
        </w:rPr>
        <w:t>) was used to evaluate the biological repeat correlation. The closer r</w:t>
      </w:r>
      <w:r w:rsidRPr="00586E58">
        <w:rPr>
          <w:rFonts w:ascii="Times New Roman" w:eastAsia="等线" w:hAnsi="Times New Roman" w:cs="Times New Roman"/>
          <w:vertAlign w:val="superscript"/>
          <w:lang w:eastAsia="zh-CN"/>
        </w:rPr>
        <w:t>2</w:t>
      </w:r>
      <w:r w:rsidRPr="00586E58">
        <w:rPr>
          <w:rFonts w:ascii="Times New Roman" w:eastAsia="等线" w:hAnsi="Times New Roman" w:cs="Times New Roman"/>
          <w:lang w:eastAsia="zh-CN"/>
        </w:rPr>
        <w:t xml:space="preserve"> is to 1, the stronger for correlation of duplicate samples. </w:t>
      </w:r>
      <w:r w:rsidRPr="00586E58">
        <w:rPr>
          <w:rFonts w:ascii="Times New Roman" w:eastAsia="等线" w:hAnsi="Times New Roman" w:cs="Times New Roman"/>
          <w:b/>
          <w:bCs/>
          <w:lang w:eastAsia="zh-CN"/>
        </w:rPr>
        <w:t xml:space="preserve">(B) </w:t>
      </w:r>
      <w:r w:rsidRPr="00586E58">
        <w:rPr>
          <w:rFonts w:ascii="Times New Roman" w:eastAsia="等线" w:hAnsi="Times New Roman" w:cs="Times New Roman"/>
          <w:lang w:eastAsia="zh-CN"/>
        </w:rPr>
        <w:t>Differential metaboli</w:t>
      </w:r>
      <w:r w:rsidR="00867262">
        <w:rPr>
          <w:rFonts w:ascii="Times New Roman" w:eastAsia="等线" w:hAnsi="Times New Roman" w:cs="Times New Roman" w:hint="eastAsia"/>
          <w:lang w:eastAsia="zh-CN"/>
        </w:rPr>
        <w:t>c</w:t>
      </w:r>
      <w:r w:rsidRPr="00586E58">
        <w:rPr>
          <w:rFonts w:ascii="Times New Roman" w:eastAsia="等线" w:hAnsi="Times New Roman" w:cs="Times New Roman"/>
          <w:lang w:eastAsia="zh-CN"/>
        </w:rPr>
        <w:t xml:space="preserve"> KEGG enrichment network plot of ampicillin and amoxicillin treatment.</w:t>
      </w:r>
      <w:r w:rsidR="00867262">
        <w:rPr>
          <w:rFonts w:ascii="Times New Roman" w:eastAsia="等线" w:hAnsi="Times New Roman" w:cs="Times New Roman"/>
          <w:lang w:eastAsia="zh-CN"/>
        </w:rPr>
        <w:t xml:space="preserve"> </w:t>
      </w:r>
      <w:r w:rsidRPr="00586E58">
        <w:rPr>
          <w:rFonts w:ascii="Times New Roman" w:eastAsia="等线" w:hAnsi="Times New Roman" w:cs="Times New Roman"/>
          <w:lang w:eastAsia="zh-CN"/>
        </w:rPr>
        <w:t>The light yellow nodes in the plot are pathways and the small nodes connected to them are specific metabolites annotat</w:t>
      </w:r>
      <w:r w:rsidR="00DA05DE">
        <w:rPr>
          <w:rFonts w:ascii="Times New Roman" w:eastAsia="等线" w:hAnsi="Times New Roman" w:cs="Times New Roman" w:hint="eastAsia"/>
          <w:lang w:eastAsia="zh-CN"/>
        </w:rPr>
        <w:t>ion</w:t>
      </w:r>
      <w:r w:rsidRPr="00586E58">
        <w:rPr>
          <w:rFonts w:ascii="Times New Roman" w:eastAsia="等线" w:hAnsi="Times New Roman" w:cs="Times New Roman"/>
          <w:lang w:eastAsia="zh-CN"/>
        </w:rPr>
        <w:t>.</w:t>
      </w:r>
      <w:r w:rsidR="00586E58">
        <w:rPr>
          <w:rFonts w:ascii="Times New Roman" w:eastAsia="等线" w:hAnsi="Times New Roman" w:cs="Times New Roman"/>
          <w:lang w:eastAsia="zh-CN"/>
        </w:rPr>
        <w:t xml:space="preserve"> </w:t>
      </w:r>
      <w:r w:rsidRPr="00586E58">
        <w:rPr>
          <w:rFonts w:ascii="Times New Roman" w:eastAsia="等线" w:hAnsi="Times New Roman" w:cs="Times New Roman"/>
          <w:lang w:eastAsia="zh-CN"/>
        </w:rPr>
        <w:t>The shade of color indicates the difference multiplicity taking the value of log2.The plot shows up to 5 pathways.</w:t>
      </w:r>
      <w:r w:rsidRPr="00586E58">
        <w:rPr>
          <w:rFonts w:ascii="Times New Roman" w:eastAsia="等线" w:hAnsi="Times New Roman" w:cs="Times New Roman"/>
          <w:b/>
          <w:bCs/>
          <w:lang w:eastAsia="zh-CN"/>
        </w:rPr>
        <w:t xml:space="preserve"> (C, D) </w:t>
      </w:r>
      <w:r w:rsidRPr="00586E58">
        <w:rPr>
          <w:rFonts w:ascii="Times New Roman" w:eastAsia="等线" w:hAnsi="Times New Roman" w:cs="Times New Roman"/>
          <w:lang w:eastAsia="zh-CN"/>
        </w:rPr>
        <w:t>Differential metabolic correlation plots</w:t>
      </w:r>
      <w:r w:rsidR="00586E58">
        <w:rPr>
          <w:rFonts w:ascii="Times New Roman" w:eastAsia="等线" w:hAnsi="Times New Roman" w:cs="Times New Roman"/>
          <w:lang w:eastAsia="zh-CN"/>
        </w:rPr>
        <w:t xml:space="preserve"> </w:t>
      </w:r>
      <w:r w:rsidRPr="00586E58">
        <w:rPr>
          <w:rFonts w:ascii="Times New Roman" w:eastAsia="等线" w:hAnsi="Times New Roman" w:cs="Times New Roman"/>
          <w:lang w:eastAsia="zh-CN"/>
        </w:rPr>
        <w:t xml:space="preserve">after ampicillin </w:t>
      </w:r>
      <w:r w:rsidR="00586E58" w:rsidRPr="00586E58">
        <w:rPr>
          <w:rFonts w:ascii="Times New Roman" w:eastAsia="等线" w:hAnsi="Times New Roman" w:cs="Times New Roman"/>
          <w:lang w:eastAsia="zh-CN"/>
        </w:rPr>
        <w:t xml:space="preserve">(C) </w:t>
      </w:r>
      <w:r w:rsidRPr="00586E58">
        <w:rPr>
          <w:rFonts w:ascii="Times New Roman" w:eastAsia="等线" w:hAnsi="Times New Roman" w:cs="Times New Roman"/>
          <w:lang w:eastAsia="zh-CN"/>
        </w:rPr>
        <w:t xml:space="preserve">or amoxicillin </w:t>
      </w:r>
      <w:r w:rsidR="00586E58" w:rsidRPr="00586E58">
        <w:rPr>
          <w:rFonts w:ascii="Times New Roman" w:eastAsia="等线" w:hAnsi="Times New Roman" w:cs="Times New Roman"/>
          <w:lang w:eastAsia="zh-CN"/>
        </w:rPr>
        <w:t xml:space="preserve">(D) </w:t>
      </w:r>
      <w:r w:rsidRPr="00586E58">
        <w:rPr>
          <w:rFonts w:ascii="Times New Roman" w:eastAsia="等线" w:hAnsi="Times New Roman" w:cs="Times New Roman"/>
          <w:lang w:eastAsia="zh-CN"/>
        </w:rPr>
        <w:t>treatment. Correlations between individual metabolites were analyzed by calculating the Pearson correlation coefficients between two metabolites. The hierarchical clustering was based on the Euclidean distance method. The significance statistical test was also performed for metabolite</w:t>
      </w:r>
      <w:r w:rsidR="00867262">
        <w:rPr>
          <w:rFonts w:ascii="Times New Roman" w:eastAsia="等线" w:hAnsi="Times New Roman" w:cs="Times New Roman"/>
          <w:lang w:eastAsia="zh-CN"/>
        </w:rPr>
        <w:t>s</w:t>
      </w:r>
      <w:r w:rsidRPr="00586E58">
        <w:rPr>
          <w:rFonts w:ascii="Times New Roman" w:eastAsia="等线" w:hAnsi="Times New Roman" w:cs="Times New Roman"/>
          <w:lang w:eastAsia="zh-CN"/>
        </w:rPr>
        <w:t xml:space="preserve"> correlation analysis, and </w:t>
      </w:r>
      <w:r w:rsidR="00DA05DE">
        <w:rPr>
          <w:rFonts w:ascii="Times New Roman" w:eastAsia="等线" w:hAnsi="Times New Roman" w:cs="Times New Roman"/>
          <w:lang w:eastAsia="zh-CN"/>
        </w:rPr>
        <w:t>the</w:t>
      </w:r>
      <w:r w:rsidRPr="00586E58">
        <w:rPr>
          <w:rFonts w:ascii="Times New Roman" w:eastAsia="等线" w:hAnsi="Times New Roman" w:cs="Times New Roman"/>
          <w:lang w:eastAsia="zh-CN"/>
        </w:rPr>
        <w:t xml:space="preserve"> significance level of </w:t>
      </w:r>
      <w:r w:rsidRPr="00867262">
        <w:rPr>
          <w:rFonts w:ascii="Times New Roman" w:eastAsia="等线" w:hAnsi="Times New Roman" w:cs="Times New Roman"/>
          <w:i/>
          <w:iCs/>
          <w:lang w:eastAsia="zh-CN"/>
        </w:rPr>
        <w:t>p</w:t>
      </w:r>
      <w:r w:rsidRPr="00586E58">
        <w:rPr>
          <w:rFonts w:ascii="Times New Roman" w:eastAsia="等线" w:hAnsi="Times New Roman" w:cs="Times New Roman"/>
          <w:lang w:eastAsia="zh-CN"/>
        </w:rPr>
        <w:t>-value ≤ 0.05 was chosen as the threshold of significant correlation. The highest correlation is 1, a complete positive correlation (red)</w:t>
      </w:r>
      <w:r w:rsidR="00DA05DE">
        <w:rPr>
          <w:rFonts w:ascii="Times New Roman" w:eastAsia="等线" w:hAnsi="Times New Roman" w:cs="Times New Roman"/>
          <w:lang w:eastAsia="zh-CN"/>
        </w:rPr>
        <w:t>;</w:t>
      </w:r>
      <w:r w:rsidRPr="00586E58">
        <w:rPr>
          <w:rFonts w:ascii="Times New Roman" w:eastAsia="等线" w:hAnsi="Times New Roman" w:cs="Times New Roman"/>
          <w:lang w:eastAsia="zh-CN"/>
        </w:rPr>
        <w:t xml:space="preserve"> the lowest correlation is -1, a complete negative correlation (blue)</w:t>
      </w:r>
      <w:r w:rsidR="00867262">
        <w:rPr>
          <w:rFonts w:ascii="Times New Roman" w:eastAsia="等线" w:hAnsi="Times New Roman" w:cs="Times New Roman"/>
          <w:lang w:eastAsia="zh-CN"/>
        </w:rPr>
        <w:t>. T</w:t>
      </w:r>
      <w:r w:rsidRPr="00586E58">
        <w:rPr>
          <w:rFonts w:ascii="Times New Roman" w:eastAsia="等线" w:hAnsi="Times New Roman" w:cs="Times New Roman"/>
          <w:lang w:eastAsia="zh-CN"/>
        </w:rPr>
        <w:t xml:space="preserve">he part without color indicates that the significance of the calculated correlation is below the significance threshold, </w:t>
      </w:r>
      <w:r w:rsidR="00867262">
        <w:rPr>
          <w:rFonts w:ascii="Times New Roman" w:eastAsia="等线" w:hAnsi="Times New Roman" w:cs="Times New Roman"/>
          <w:lang w:eastAsia="zh-CN"/>
        </w:rPr>
        <w:t xml:space="preserve">and </w:t>
      </w:r>
      <w:r w:rsidRPr="00586E58">
        <w:rPr>
          <w:rFonts w:ascii="Times New Roman" w:eastAsia="等线" w:hAnsi="Times New Roman" w:cs="Times New Roman"/>
          <w:lang w:eastAsia="zh-CN"/>
        </w:rPr>
        <w:t xml:space="preserve">the </w:t>
      </w:r>
      <w:r w:rsidR="00DA05DE" w:rsidRPr="00586E58">
        <w:rPr>
          <w:rFonts w:ascii="Times New Roman" w:eastAsia="等线" w:hAnsi="Times New Roman" w:cs="Times New Roman"/>
          <w:lang w:eastAsia="zh-CN"/>
        </w:rPr>
        <w:t>color</w:t>
      </w:r>
      <w:r w:rsidR="00DA05DE">
        <w:rPr>
          <w:rFonts w:ascii="Times New Roman" w:eastAsia="等线" w:hAnsi="Times New Roman" w:cs="Times New Roman"/>
          <w:lang w:eastAsia="zh-CN"/>
        </w:rPr>
        <w:t>ed</w:t>
      </w:r>
      <w:r w:rsidRPr="00586E58">
        <w:rPr>
          <w:rFonts w:ascii="Times New Roman" w:eastAsia="等线" w:hAnsi="Times New Roman" w:cs="Times New Roman"/>
          <w:lang w:eastAsia="zh-CN"/>
        </w:rPr>
        <w:t xml:space="preserve"> key and circle size indicate the strength of the correlation (r value). The figure shows the correlations of the Top</w:t>
      </w:r>
      <w:r w:rsidR="00DA05DE">
        <w:rPr>
          <w:rFonts w:ascii="Times New Roman" w:eastAsia="等线" w:hAnsi="Times New Roman" w:cs="Times New Roman"/>
          <w:lang w:eastAsia="zh-CN"/>
        </w:rPr>
        <w:t xml:space="preserve"> </w:t>
      </w:r>
      <w:r w:rsidRPr="00586E58">
        <w:rPr>
          <w:rFonts w:ascii="Times New Roman" w:eastAsia="等线" w:hAnsi="Times New Roman" w:cs="Times New Roman"/>
          <w:lang w:eastAsia="zh-CN"/>
        </w:rPr>
        <w:t xml:space="preserve">20 differential metabolites from smallest to largest </w:t>
      </w:r>
      <w:r w:rsidRPr="00867262">
        <w:rPr>
          <w:rFonts w:ascii="Times New Roman" w:eastAsia="等线" w:hAnsi="Times New Roman" w:cs="Times New Roman"/>
          <w:i/>
          <w:iCs/>
          <w:lang w:eastAsia="zh-CN"/>
        </w:rPr>
        <w:t>p</w:t>
      </w:r>
      <w:r w:rsidRPr="00586E58">
        <w:rPr>
          <w:rFonts w:ascii="Times New Roman" w:eastAsia="等线" w:hAnsi="Times New Roman" w:cs="Times New Roman"/>
          <w:lang w:eastAsia="zh-CN"/>
        </w:rPr>
        <w:t xml:space="preserve">-value by t-test. </w:t>
      </w:r>
      <w:r w:rsidRPr="00586E58">
        <w:rPr>
          <w:rFonts w:ascii="Times New Roman" w:eastAsia="等线" w:hAnsi="Times New Roman" w:cs="Times New Roman"/>
          <w:b/>
          <w:bCs/>
          <w:lang w:eastAsia="zh-CN"/>
        </w:rPr>
        <w:t xml:space="preserve">(E, F) </w:t>
      </w:r>
      <w:r w:rsidRPr="00586E58">
        <w:rPr>
          <w:rFonts w:ascii="Times New Roman" w:eastAsia="等线" w:hAnsi="Times New Roman" w:cs="Times New Roman"/>
          <w:lang w:eastAsia="zh-CN"/>
        </w:rPr>
        <w:t xml:space="preserve">Heatmap produced by hierarchical clustering of differentiated metabolites after ampicillin (E) and amoxicillin treatment (F) as compared with the control group. Each copy number was transformed as log2 ratios per gene (blue, decrease; red, increase). Quantification values of metabolite z-score were normalized after hierarchical clustering (fold change &gt; 2, FDR &lt; 0.001).  </w:t>
      </w:r>
    </w:p>
    <w:p w14:paraId="7265F4D6" w14:textId="77777777" w:rsidR="00CE04C0" w:rsidRPr="00586E58" w:rsidRDefault="00000000">
      <w:pPr>
        <w:jc w:val="center"/>
        <w:rPr>
          <w:rFonts w:ascii="Times New Roman" w:eastAsia="等线" w:hAnsi="Times New Roman" w:cs="Times New Roman"/>
          <w:b/>
          <w:bCs/>
          <w:lang w:eastAsia="zh-CN"/>
        </w:rPr>
      </w:pPr>
      <w:r w:rsidRPr="00586E58">
        <w:rPr>
          <w:rFonts w:ascii="Times New Roman" w:eastAsia="等线" w:hAnsi="Times New Roman" w:cs="Times New Roman"/>
          <w:b/>
          <w:bCs/>
          <w:noProof/>
          <w:lang w:eastAsia="zh-CN"/>
        </w:rPr>
        <w:drawing>
          <wp:inline distT="0" distB="0" distL="0" distR="0" wp14:anchorId="1B5C503D" wp14:editId="3F7EE431">
            <wp:extent cx="5490210" cy="4822190"/>
            <wp:effectExtent l="0" t="0" r="0" b="0"/>
            <wp:docPr id="1028" name="图片 4"/>
            <wp:cNvGraphicFramePr/>
            <a:graphic xmlns:a="http://schemas.openxmlformats.org/drawingml/2006/main">
              <a:graphicData uri="http://schemas.openxmlformats.org/drawingml/2006/picture">
                <pic:pic xmlns:pic="http://schemas.openxmlformats.org/drawingml/2006/picture">
                  <pic:nvPicPr>
                    <pic:cNvPr id="1028" name="图片 4"/>
                    <pic:cNvPicPr/>
                  </pic:nvPicPr>
                  <pic:blipFill>
                    <a:blip r:embed="rId9" cstate="print"/>
                    <a:srcRect/>
                    <a:stretch>
                      <a:fillRect/>
                    </a:stretch>
                  </pic:blipFill>
                  <pic:spPr>
                    <a:xfrm>
                      <a:off x="0" y="0"/>
                      <a:ext cx="5490210" cy="4822190"/>
                    </a:xfrm>
                    <a:prstGeom prst="rect">
                      <a:avLst/>
                    </a:prstGeom>
                  </pic:spPr>
                </pic:pic>
              </a:graphicData>
            </a:graphic>
          </wp:inline>
        </w:drawing>
      </w:r>
    </w:p>
    <w:p w14:paraId="7591E578" w14:textId="4900FFCE" w:rsidR="00CE04C0" w:rsidRPr="00586E58" w:rsidRDefault="00000000">
      <w:pPr>
        <w:spacing w:line="360" w:lineRule="auto"/>
        <w:jc w:val="both"/>
        <w:rPr>
          <w:rFonts w:ascii="Times New Roman" w:hAnsi="Times New Roman" w:cs="Times New Roman"/>
          <w:b/>
          <w:bCs/>
        </w:rPr>
      </w:pPr>
      <w:r w:rsidRPr="00586E58">
        <w:rPr>
          <w:rFonts w:ascii="Times New Roman" w:eastAsia="等线" w:hAnsi="Times New Roman" w:cs="Times New Roman"/>
          <w:b/>
          <w:bCs/>
          <w:lang w:eastAsia="zh-CN"/>
        </w:rPr>
        <w:t xml:space="preserve">Supplementary Figure S3. </w:t>
      </w:r>
      <w:r w:rsidRPr="00586E58">
        <w:rPr>
          <w:rFonts w:ascii="Times New Roman" w:eastAsia="等线" w:hAnsi="Times New Roman" w:cs="Times New Roman"/>
          <w:lang w:eastAsia="zh-CN"/>
        </w:rPr>
        <w:t xml:space="preserve">Single-cell atlas of </w:t>
      </w:r>
      <w:r w:rsidRPr="00586E58">
        <w:rPr>
          <w:rFonts w:ascii="Times New Roman" w:hAnsi="Times New Roman" w:cs="Times New Roman"/>
        </w:rPr>
        <w:t>D-Neopterin</w:t>
      </w:r>
      <w:r w:rsidRPr="00586E58">
        <w:rPr>
          <w:rFonts w:ascii="Times New Roman" w:eastAsia="宋体" w:hAnsi="Times New Roman" w:cs="Times New Roman"/>
          <w:lang w:eastAsia="zh-CN"/>
        </w:rPr>
        <w:t xml:space="preserve">-induced </w:t>
      </w:r>
      <w:r w:rsidR="00867262" w:rsidRPr="00586E58">
        <w:rPr>
          <w:rFonts w:ascii="Times New Roman" w:eastAsia="宋体" w:hAnsi="Times New Roman" w:cs="Times New Roman"/>
          <w:lang w:eastAsia="zh-CN"/>
        </w:rPr>
        <w:t>immunohematology</w:t>
      </w:r>
      <w:r w:rsidRPr="00586E58">
        <w:rPr>
          <w:rFonts w:ascii="Times New Roman" w:eastAsia="宋体" w:hAnsi="Times New Roman" w:cs="Times New Roman"/>
          <w:lang w:eastAsia="zh-CN"/>
        </w:rPr>
        <w:t xml:space="preserve"> response</w:t>
      </w:r>
      <w:r w:rsidRPr="00586E58">
        <w:rPr>
          <w:rFonts w:ascii="Times New Roman" w:eastAsia="等线" w:hAnsi="Times New Roman" w:cs="Times New Roman"/>
          <w:lang w:eastAsia="zh-CN"/>
        </w:rPr>
        <w:t xml:space="preserve">. </w:t>
      </w:r>
      <w:r w:rsidRPr="00586E58">
        <w:rPr>
          <w:rFonts w:ascii="Times New Roman" w:eastAsia="等线" w:hAnsi="Times New Roman" w:cs="Times New Roman"/>
          <w:b/>
          <w:bCs/>
          <w:lang w:eastAsia="zh-CN"/>
        </w:rPr>
        <w:t xml:space="preserve">(A) </w:t>
      </w:r>
      <w:r w:rsidRPr="00586E58">
        <w:rPr>
          <w:rFonts w:ascii="Times New Roman" w:eastAsia="等线" w:hAnsi="Times New Roman" w:cs="Times New Roman"/>
          <w:lang w:eastAsia="zh-CN"/>
        </w:rPr>
        <w:t xml:space="preserve">Distribution of cell information violins in each sample after filtering, where each point represents one cell. (1) nGene plot: distribution of the number of genes detected in individual cells of each sample after filtering; (2) nUMI plot: distribution of nUMI detected in individual cells of each sample after filtering; (3) percent.mt plot: distribution of the percentage of mitochondrial gene expression in individual cells of each sample after filtering. </w:t>
      </w:r>
      <w:r w:rsidRPr="00586E58">
        <w:rPr>
          <w:rFonts w:ascii="Times New Roman" w:eastAsia="等线" w:hAnsi="Times New Roman" w:cs="Times New Roman"/>
          <w:b/>
          <w:bCs/>
          <w:lang w:eastAsia="zh-CN"/>
        </w:rPr>
        <w:t xml:space="preserve">(B) </w:t>
      </w:r>
      <w:r w:rsidRPr="00586E58">
        <w:rPr>
          <w:rFonts w:ascii="Times New Roman" w:eastAsia="等线" w:hAnsi="Times New Roman" w:cs="Times New Roman"/>
          <w:lang w:eastAsia="zh-CN"/>
        </w:rPr>
        <w:t xml:space="preserve">Ampicillin and amoxicillin treatment altered the gut microbial interactions and UMAP clustering of single cell data with Seurat. Cells are clustered in 2 dimensions using the UMAP dimensionality reduction technique and annotated by cluster label. </w:t>
      </w:r>
      <w:r w:rsidRPr="00586E58">
        <w:rPr>
          <w:rFonts w:ascii="Times New Roman" w:eastAsia="等线" w:hAnsi="Times New Roman" w:cs="Times New Roman"/>
          <w:b/>
          <w:bCs/>
          <w:lang w:eastAsia="zh-CN"/>
        </w:rPr>
        <w:t xml:space="preserve">(C) </w:t>
      </w:r>
      <w:r w:rsidRPr="00586E58">
        <w:rPr>
          <w:rFonts w:ascii="Times New Roman" w:eastAsia="等线" w:hAnsi="Times New Roman" w:cs="Times New Roman"/>
          <w:lang w:eastAsia="zh-CN"/>
        </w:rPr>
        <w:t>PCA scatter plots</w:t>
      </w:r>
      <w:r w:rsidR="00586E58" w:rsidRPr="00586E58">
        <w:rPr>
          <w:rFonts w:ascii="Times New Roman" w:eastAsia="等线" w:hAnsi="Times New Roman" w:cs="Times New Roman"/>
          <w:lang w:eastAsia="zh-CN"/>
        </w:rPr>
        <w:t xml:space="preserve"> </w:t>
      </w:r>
      <w:r w:rsidRPr="00586E58">
        <w:rPr>
          <w:rFonts w:ascii="Times New Roman" w:eastAsia="等线" w:hAnsi="Times New Roman" w:cs="Times New Roman"/>
          <w:lang w:eastAsia="zh-CN"/>
        </w:rPr>
        <w:t xml:space="preserve">of D-Neopterin treatment as compared with the control group. The integrated data were downscaled using the PCA method, and the top 20 features were selected for subsequent analysis based on elbow plots as well as JackStraw plots to select the appropriate principal components. </w:t>
      </w:r>
      <w:r w:rsidRPr="00586E58">
        <w:rPr>
          <w:rFonts w:ascii="Times New Roman" w:eastAsia="等线" w:hAnsi="Times New Roman" w:cs="Times New Roman"/>
          <w:b/>
          <w:bCs/>
          <w:lang w:eastAsia="zh-CN"/>
        </w:rPr>
        <w:t xml:space="preserve">(D) </w:t>
      </w:r>
      <w:r w:rsidRPr="00586E58">
        <w:rPr>
          <w:rFonts w:ascii="Times New Roman" w:eastAsia="等线" w:hAnsi="Times New Roman" w:cs="Times New Roman"/>
          <w:lang w:eastAsia="zh-CN"/>
        </w:rPr>
        <w:t>Bubble diagram of Reactome enrichment analysis of differentially expressed genes in different clusters. Each circle in the graph represents a Reactome pathway, the horizontal coordinate indicates the pathway name, and the vertical coordinate is GeneRatio</w:t>
      </w:r>
      <w:r w:rsidR="00867262">
        <w:rPr>
          <w:rFonts w:ascii="Times New Roman" w:eastAsia="等线" w:hAnsi="Times New Roman" w:cs="Times New Roman"/>
          <w:lang w:eastAsia="zh-CN"/>
        </w:rPr>
        <w:t>.</w:t>
      </w:r>
      <w:r w:rsidRPr="00586E58">
        <w:rPr>
          <w:rFonts w:ascii="Times New Roman" w:eastAsia="等线" w:hAnsi="Times New Roman" w:cs="Times New Roman"/>
          <w:lang w:eastAsia="zh-CN"/>
        </w:rPr>
        <w:t xml:space="preserve"> </w:t>
      </w:r>
      <w:r w:rsidR="00867262">
        <w:rPr>
          <w:rFonts w:ascii="Times New Roman" w:eastAsia="等线" w:hAnsi="Times New Roman" w:cs="Times New Roman"/>
          <w:lang w:eastAsia="zh-CN"/>
        </w:rPr>
        <w:t>T</w:t>
      </w:r>
      <w:r w:rsidRPr="00586E58">
        <w:rPr>
          <w:rFonts w:ascii="Times New Roman" w:eastAsia="等线" w:hAnsi="Times New Roman" w:cs="Times New Roman"/>
          <w:lang w:eastAsia="zh-CN"/>
        </w:rPr>
        <w:t xml:space="preserve">he color of the circle represents the </w:t>
      </w:r>
      <w:r w:rsidRPr="00867262">
        <w:rPr>
          <w:rFonts w:ascii="Times New Roman" w:eastAsia="等线" w:hAnsi="Times New Roman" w:cs="Times New Roman"/>
          <w:i/>
          <w:iCs/>
          <w:lang w:eastAsia="zh-CN"/>
        </w:rPr>
        <w:t>p</w:t>
      </w:r>
      <w:r w:rsidRPr="00586E58">
        <w:rPr>
          <w:rFonts w:ascii="Times New Roman" w:eastAsia="等线" w:hAnsi="Times New Roman" w:cs="Times New Roman"/>
          <w:lang w:eastAsia="zh-CN"/>
        </w:rPr>
        <w:t>-value</w:t>
      </w:r>
      <w:r w:rsidR="00867262">
        <w:rPr>
          <w:rFonts w:ascii="Times New Roman" w:eastAsia="等线" w:hAnsi="Times New Roman" w:cs="Times New Roman"/>
          <w:lang w:eastAsia="zh-CN"/>
        </w:rPr>
        <w:t>.</w:t>
      </w:r>
      <w:r w:rsidRPr="00586E58">
        <w:rPr>
          <w:rFonts w:ascii="Times New Roman" w:eastAsia="等线" w:hAnsi="Times New Roman" w:cs="Times New Roman"/>
          <w:lang w:eastAsia="zh-CN"/>
        </w:rPr>
        <w:t xml:space="preserve"> </w:t>
      </w:r>
      <w:r w:rsidR="00867262">
        <w:rPr>
          <w:rFonts w:ascii="Times New Roman" w:eastAsia="等线" w:hAnsi="Times New Roman" w:cs="Times New Roman"/>
          <w:lang w:eastAsia="zh-CN"/>
        </w:rPr>
        <w:t>T</w:t>
      </w:r>
      <w:r w:rsidRPr="00586E58">
        <w:rPr>
          <w:rFonts w:ascii="Times New Roman" w:eastAsia="等线" w:hAnsi="Times New Roman" w:cs="Times New Roman"/>
          <w:lang w:eastAsia="zh-CN"/>
        </w:rPr>
        <w:t xml:space="preserve">he smaller the </w:t>
      </w:r>
      <w:r w:rsidRPr="00867262">
        <w:rPr>
          <w:rFonts w:ascii="Times New Roman" w:eastAsia="等线" w:hAnsi="Times New Roman" w:cs="Times New Roman"/>
          <w:i/>
          <w:iCs/>
          <w:lang w:eastAsia="zh-CN"/>
        </w:rPr>
        <w:t>p</w:t>
      </w:r>
      <w:r w:rsidRPr="00586E58">
        <w:rPr>
          <w:rFonts w:ascii="Times New Roman" w:eastAsia="等线" w:hAnsi="Times New Roman" w:cs="Times New Roman"/>
          <w:lang w:eastAsia="zh-CN"/>
        </w:rPr>
        <w:t>-value, the more reliable the enrichment of differentially expressed genes in the pathway</w:t>
      </w:r>
      <w:r w:rsidR="00867262">
        <w:rPr>
          <w:rFonts w:ascii="Times New Roman" w:eastAsia="等线" w:hAnsi="Times New Roman" w:cs="Times New Roman"/>
          <w:lang w:eastAsia="zh-CN"/>
        </w:rPr>
        <w:t>.</w:t>
      </w:r>
      <w:r w:rsidRPr="00586E58">
        <w:rPr>
          <w:rFonts w:ascii="Times New Roman" w:eastAsia="等线" w:hAnsi="Times New Roman" w:cs="Times New Roman"/>
          <w:lang w:eastAsia="zh-CN"/>
        </w:rPr>
        <w:t xml:space="preserve"> </w:t>
      </w:r>
      <w:r w:rsidR="00867262">
        <w:rPr>
          <w:rFonts w:ascii="Times New Roman" w:eastAsia="等线" w:hAnsi="Times New Roman" w:cs="Times New Roman"/>
          <w:lang w:eastAsia="zh-CN"/>
        </w:rPr>
        <w:t>T</w:t>
      </w:r>
      <w:r w:rsidRPr="00586E58">
        <w:rPr>
          <w:rFonts w:ascii="Times New Roman" w:eastAsia="等线" w:hAnsi="Times New Roman" w:cs="Times New Roman"/>
          <w:lang w:eastAsia="zh-CN"/>
        </w:rPr>
        <w:t>he size of the circle indicates the number of enriched genes in the pathway.</w:t>
      </w:r>
      <w:r w:rsidR="00293FEC">
        <w:rPr>
          <w:rFonts w:ascii="Times New Roman" w:eastAsia="等线" w:hAnsi="Times New Roman" w:cs="Times New Roman"/>
          <w:lang w:eastAsia="zh-CN"/>
        </w:rPr>
        <w:t xml:space="preserve"> </w:t>
      </w:r>
      <w:r w:rsidRPr="00586E58">
        <w:rPr>
          <w:rFonts w:ascii="Times New Roman" w:eastAsia="等线" w:hAnsi="Times New Roman" w:cs="Times New Roman"/>
          <w:b/>
          <w:bCs/>
          <w:lang w:eastAsia="zh-CN"/>
        </w:rPr>
        <w:t xml:space="preserve">(E) </w:t>
      </w:r>
      <w:r w:rsidRPr="00586E58">
        <w:rPr>
          <w:rFonts w:ascii="Times New Roman" w:eastAsia="等线" w:hAnsi="Times New Roman" w:cs="Times New Roman"/>
          <w:lang w:eastAsia="zh-CN"/>
        </w:rPr>
        <w:t xml:space="preserve">Bubbles of different cluster maker genes (top2) after D-Neopterin treatment. Horizontal coordinates are maker gene names and vertical coordinates are cluster names; the darker the bubble color, the higher level of the maker gene </w:t>
      </w:r>
      <w:r w:rsidR="00293FEC">
        <w:rPr>
          <w:rFonts w:ascii="Times New Roman" w:eastAsia="等线" w:hAnsi="Times New Roman" w:cs="Times New Roman"/>
          <w:lang w:eastAsia="zh-CN"/>
        </w:rPr>
        <w:t xml:space="preserve">expressed </w:t>
      </w:r>
      <w:r w:rsidRPr="00586E58">
        <w:rPr>
          <w:rFonts w:ascii="Times New Roman" w:eastAsia="等线" w:hAnsi="Times New Roman" w:cs="Times New Roman"/>
          <w:lang w:eastAsia="zh-CN"/>
        </w:rPr>
        <w:t>in that cluster</w:t>
      </w:r>
      <w:r w:rsidR="00293FEC">
        <w:rPr>
          <w:rFonts w:ascii="Times New Roman" w:eastAsia="等线" w:hAnsi="Times New Roman" w:cs="Times New Roman"/>
          <w:lang w:eastAsia="zh-CN"/>
        </w:rPr>
        <w:t>.</w:t>
      </w:r>
      <w:r w:rsidRPr="00586E58">
        <w:rPr>
          <w:rFonts w:ascii="Times New Roman" w:eastAsia="等线" w:hAnsi="Times New Roman" w:cs="Times New Roman"/>
          <w:lang w:eastAsia="zh-CN"/>
        </w:rPr>
        <w:t xml:space="preserve"> The size of the bubble represents the ratio of the maker gene </w:t>
      </w:r>
      <w:r w:rsidR="00293FEC" w:rsidRPr="00586E58">
        <w:rPr>
          <w:rFonts w:ascii="Times New Roman" w:eastAsia="等线" w:hAnsi="Times New Roman" w:cs="Times New Roman"/>
          <w:lang w:eastAsia="zh-CN"/>
        </w:rPr>
        <w:t xml:space="preserve">expression level </w:t>
      </w:r>
      <w:r w:rsidRPr="00586E58">
        <w:rPr>
          <w:rFonts w:ascii="Times New Roman" w:eastAsia="等线" w:hAnsi="Times New Roman" w:cs="Times New Roman"/>
          <w:lang w:eastAsia="zh-CN"/>
        </w:rPr>
        <w:t>in the subpopulation to the sum of its expression level in all cells</w:t>
      </w:r>
      <w:r w:rsidR="00293FEC">
        <w:rPr>
          <w:rFonts w:ascii="Times New Roman" w:eastAsia="等线" w:hAnsi="Times New Roman" w:cs="Times New Roman"/>
          <w:lang w:eastAsia="zh-CN"/>
        </w:rPr>
        <w:t>. T</w:t>
      </w:r>
      <w:r w:rsidRPr="00586E58">
        <w:rPr>
          <w:rFonts w:ascii="Times New Roman" w:eastAsia="等线" w:hAnsi="Times New Roman" w:cs="Times New Roman"/>
          <w:lang w:eastAsia="zh-CN"/>
        </w:rPr>
        <w:t>he larger the bubble</w:t>
      </w:r>
      <w:r w:rsidR="00293FEC">
        <w:rPr>
          <w:rFonts w:ascii="Times New Roman" w:eastAsia="等线" w:hAnsi="Times New Roman" w:cs="Times New Roman"/>
          <w:lang w:eastAsia="zh-CN"/>
        </w:rPr>
        <w:t xml:space="preserve"> is</w:t>
      </w:r>
      <w:r w:rsidRPr="00586E58">
        <w:rPr>
          <w:rFonts w:ascii="Times New Roman" w:eastAsia="等线" w:hAnsi="Times New Roman" w:cs="Times New Roman"/>
          <w:lang w:eastAsia="zh-CN"/>
        </w:rPr>
        <w:t>, the higher the expression ratio</w:t>
      </w:r>
      <w:r w:rsidR="00293FEC">
        <w:rPr>
          <w:rFonts w:ascii="Times New Roman" w:eastAsia="等线" w:hAnsi="Times New Roman" w:cs="Times New Roman"/>
          <w:lang w:eastAsia="zh-CN"/>
        </w:rPr>
        <w:t xml:space="preserve"> accounts for</w:t>
      </w:r>
      <w:r w:rsidRPr="00586E58">
        <w:rPr>
          <w:rFonts w:ascii="Times New Roman" w:eastAsia="等线" w:hAnsi="Times New Roman" w:cs="Times New Roman"/>
          <w:lang w:eastAsia="zh-CN"/>
        </w:rPr>
        <w:t xml:space="preserve">. </w:t>
      </w:r>
      <w:r w:rsidRPr="00586E58">
        <w:rPr>
          <w:rFonts w:ascii="Times New Roman" w:eastAsia="等线" w:hAnsi="Times New Roman" w:cs="Times New Roman"/>
          <w:b/>
          <w:bCs/>
          <w:lang w:eastAsia="zh-CN"/>
        </w:rPr>
        <w:t xml:space="preserve">(F) </w:t>
      </w:r>
      <w:r w:rsidRPr="00586E58">
        <w:rPr>
          <w:rFonts w:ascii="Times New Roman" w:eastAsia="等线" w:hAnsi="Times New Roman" w:cs="Times New Roman"/>
          <w:lang w:eastAsia="zh-CN"/>
        </w:rPr>
        <w:t xml:space="preserve">Transcription factor binding site (TFBS) sequence feature </w:t>
      </w:r>
      <w:r w:rsidR="00586E58" w:rsidRPr="00586E58">
        <w:rPr>
          <w:rFonts w:ascii="Times New Roman" w:eastAsia="等线" w:hAnsi="Times New Roman" w:cs="Times New Roman"/>
          <w:lang w:eastAsia="zh-CN"/>
        </w:rPr>
        <w:t>map of</w:t>
      </w:r>
      <w:r w:rsidRPr="00586E58">
        <w:rPr>
          <w:rFonts w:ascii="Times New Roman" w:eastAsia="等线" w:hAnsi="Times New Roman" w:cs="Times New Roman"/>
          <w:lang w:eastAsia="zh-CN"/>
        </w:rPr>
        <w:t xml:space="preserve"> </w:t>
      </w:r>
      <w:r w:rsidR="00293FEC">
        <w:rPr>
          <w:rFonts w:ascii="Times New Roman" w:eastAsia="等线" w:hAnsi="Times New Roman" w:cs="Times New Roman"/>
          <w:lang w:eastAsia="zh-CN"/>
        </w:rPr>
        <w:t xml:space="preserve">the </w:t>
      </w:r>
      <w:r w:rsidRPr="00586E58">
        <w:rPr>
          <w:rFonts w:ascii="Times New Roman" w:eastAsia="等线" w:hAnsi="Times New Roman" w:cs="Times New Roman"/>
          <w:lang w:eastAsia="zh-CN"/>
        </w:rPr>
        <w:t xml:space="preserve">D-Neopterin </w:t>
      </w:r>
      <w:r w:rsidR="00586E58" w:rsidRPr="00586E58">
        <w:rPr>
          <w:rFonts w:ascii="Times New Roman" w:eastAsia="等线" w:hAnsi="Times New Roman" w:cs="Times New Roman"/>
          <w:lang w:eastAsia="zh-CN"/>
        </w:rPr>
        <w:t>treatment. The</w:t>
      </w:r>
      <w:r w:rsidRPr="00586E58">
        <w:rPr>
          <w:rFonts w:ascii="Times New Roman" w:eastAsia="等线" w:hAnsi="Times New Roman" w:cs="Times New Roman"/>
          <w:lang w:eastAsia="zh-CN"/>
        </w:rPr>
        <w:t xml:space="preserve"> </w:t>
      </w:r>
      <w:r w:rsidR="00293FEC" w:rsidRPr="00586E58">
        <w:rPr>
          <w:rFonts w:ascii="Times New Roman" w:eastAsia="等线" w:hAnsi="Times New Roman" w:cs="Times New Roman"/>
          <w:lang w:eastAsia="zh-CN"/>
        </w:rPr>
        <w:t>abscissa</w:t>
      </w:r>
      <w:r w:rsidR="00293FEC" w:rsidRPr="00586E58">
        <w:rPr>
          <w:rFonts w:ascii="Times New Roman" w:eastAsia="等线" w:hAnsi="Times New Roman" w:cs="Times New Roman"/>
          <w:lang w:eastAsia="zh-CN"/>
        </w:rPr>
        <w:t xml:space="preserve"> </w:t>
      </w:r>
      <w:r w:rsidRPr="00586E58">
        <w:rPr>
          <w:rFonts w:ascii="Times New Roman" w:eastAsia="等线" w:hAnsi="Times New Roman" w:cs="Times New Roman"/>
          <w:lang w:eastAsia="zh-CN"/>
        </w:rPr>
        <w:t xml:space="preserve">is the relative position of the base in the motif, and the </w:t>
      </w:r>
      <w:r w:rsidR="00293FEC" w:rsidRPr="00586E58">
        <w:rPr>
          <w:rFonts w:ascii="Times New Roman" w:eastAsia="等线" w:hAnsi="Times New Roman" w:cs="Times New Roman"/>
          <w:lang w:eastAsia="zh-CN"/>
        </w:rPr>
        <w:t xml:space="preserve">ordinate </w:t>
      </w:r>
      <w:r w:rsidRPr="00586E58">
        <w:rPr>
          <w:rFonts w:ascii="Times New Roman" w:eastAsia="等线" w:hAnsi="Times New Roman" w:cs="Times New Roman"/>
          <w:lang w:eastAsia="zh-CN"/>
        </w:rPr>
        <w:t>is the sequence conservation of the base at that position; the height of the base signal represents the relative frequency of the base at that position.</w:t>
      </w:r>
    </w:p>
    <w:p w14:paraId="791D25C0" w14:textId="3B2AFB01" w:rsidR="00CE04C0" w:rsidRPr="00586E58" w:rsidRDefault="00586E58">
      <w:pPr>
        <w:tabs>
          <w:tab w:val="left" w:pos="6240"/>
        </w:tabs>
        <w:spacing w:line="360" w:lineRule="auto"/>
        <w:jc w:val="both"/>
        <w:rPr>
          <w:rFonts w:ascii="Times New Roman" w:hAnsi="Times New Roman" w:cs="Times New Roman"/>
          <w:b/>
        </w:rPr>
      </w:pPr>
      <w:r>
        <w:rPr>
          <w:rFonts w:ascii="Times New Roman" w:hAnsi="Times New Roman" w:cs="Times New Roman"/>
          <w:b/>
          <w:noProof/>
        </w:rPr>
        <w:drawing>
          <wp:inline distT="0" distB="0" distL="0" distR="0" wp14:anchorId="7AEC175F" wp14:editId="3C3EFE5C">
            <wp:extent cx="5334114" cy="785680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37708" cy="7862099"/>
                    </a:xfrm>
                    <a:prstGeom prst="rect">
                      <a:avLst/>
                    </a:prstGeom>
                  </pic:spPr>
                </pic:pic>
              </a:graphicData>
            </a:graphic>
          </wp:inline>
        </w:drawing>
      </w:r>
    </w:p>
    <w:p w14:paraId="622B5344" w14:textId="7B428407" w:rsidR="00CE04C0" w:rsidRPr="00586E58" w:rsidRDefault="00000000">
      <w:pPr>
        <w:rPr>
          <w:rFonts w:ascii="Times New Roman" w:eastAsia="等线" w:hAnsi="Times New Roman" w:cs="Times New Roman"/>
          <w:b/>
          <w:bCs/>
          <w:lang w:eastAsia="zh-CN"/>
        </w:rPr>
      </w:pPr>
      <w:r w:rsidRPr="00586E58">
        <w:rPr>
          <w:rFonts w:ascii="Times New Roman" w:eastAsia="等线" w:hAnsi="Times New Roman" w:cs="Times New Roman"/>
          <w:b/>
          <w:bCs/>
          <w:lang w:eastAsia="zh-CN"/>
        </w:rPr>
        <w:t xml:space="preserve">Supplementary Figure S4. </w:t>
      </w:r>
      <w:r w:rsidRPr="00586E58">
        <w:rPr>
          <w:rFonts w:ascii="Times New Roman" w:eastAsia="等线" w:hAnsi="Times New Roman" w:cs="Times New Roman"/>
          <w:lang w:eastAsia="zh-CN"/>
        </w:rPr>
        <w:t>Uncropped western blotting gels.</w:t>
      </w:r>
      <w:r w:rsidRPr="00586E58">
        <w:rPr>
          <w:rFonts w:ascii="Times New Roman" w:eastAsia="等线" w:hAnsi="Times New Roman" w:cs="Times New Roman"/>
          <w:b/>
          <w:bCs/>
          <w:lang w:eastAsia="zh-CN"/>
        </w:rPr>
        <w:br w:type="page"/>
      </w:r>
    </w:p>
    <w:p w14:paraId="3326525D" w14:textId="77777777" w:rsidR="00CE04C0" w:rsidRPr="00586E58" w:rsidRDefault="00000000">
      <w:pPr>
        <w:spacing w:before="480" w:line="360" w:lineRule="auto"/>
        <w:jc w:val="both"/>
        <w:rPr>
          <w:rFonts w:ascii="Times New Roman" w:eastAsia="等线" w:hAnsi="Times New Roman" w:cs="Times New Roman"/>
          <w:b/>
          <w:bCs/>
          <w:lang w:eastAsia="zh-CN"/>
        </w:rPr>
      </w:pPr>
      <w:r w:rsidRPr="00586E58">
        <w:rPr>
          <w:rFonts w:ascii="Times New Roman" w:hAnsi="Times New Roman" w:cs="Times New Roman"/>
          <w:b/>
          <w:bCs/>
        </w:rPr>
        <w:t>Supplementary T</w:t>
      </w:r>
      <w:r w:rsidRPr="00586E58">
        <w:rPr>
          <w:rFonts w:ascii="Times New Roman" w:eastAsia="等线" w:hAnsi="Times New Roman" w:cs="Times New Roman"/>
          <w:b/>
          <w:bCs/>
          <w:lang w:eastAsia="zh-CN"/>
        </w:rPr>
        <w:t>able</w:t>
      </w:r>
      <w:r w:rsidRPr="00586E58">
        <w:rPr>
          <w:rFonts w:ascii="Times New Roman" w:hAnsi="Times New Roman" w:cs="Times New Roman"/>
          <w:b/>
          <w:bCs/>
        </w:rPr>
        <w:t>s</w:t>
      </w:r>
    </w:p>
    <w:p w14:paraId="60327A86" w14:textId="77777777" w:rsidR="00CE04C0" w:rsidRPr="00586E58" w:rsidRDefault="00000000">
      <w:pPr>
        <w:pStyle w:val="SMHeading"/>
        <w:spacing w:after="0" w:line="480" w:lineRule="auto"/>
        <w:jc w:val="both"/>
      </w:pPr>
      <w:r w:rsidRPr="00586E58">
        <w:rPr>
          <w:rFonts w:eastAsia="MS Mincho"/>
          <w:kern w:val="0"/>
        </w:rPr>
        <w:t>Supplementary Table S</w:t>
      </w:r>
      <w:r w:rsidRPr="00586E58">
        <w:rPr>
          <w:kern w:val="0"/>
          <w:lang w:eastAsia="zh-CN"/>
        </w:rPr>
        <w:t>1.</w:t>
      </w:r>
      <w:r w:rsidRPr="00586E58">
        <w:t xml:space="preserve"> </w:t>
      </w:r>
      <w:r w:rsidRPr="00586E58">
        <w:rPr>
          <w:rFonts w:eastAsia="宋体"/>
          <w:lang w:eastAsia="zh-CN"/>
        </w:rPr>
        <w:t>Reagents and Materials</w:t>
      </w:r>
    </w:p>
    <w:tbl>
      <w:tblPr>
        <w:tblW w:w="8364" w:type="dxa"/>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835"/>
        <w:gridCol w:w="2939"/>
        <w:gridCol w:w="2590"/>
      </w:tblGrid>
      <w:tr w:rsidR="00CE04C0" w:rsidRPr="00586E58" w14:paraId="1A8A5FB6" w14:textId="77777777">
        <w:trPr>
          <w:trHeight w:hRule="exact" w:val="510"/>
        </w:trPr>
        <w:tc>
          <w:tcPr>
            <w:tcW w:w="2835" w:type="dxa"/>
            <w:tcBorders>
              <w:top w:val="single" w:sz="8" w:space="0" w:color="auto"/>
              <w:left w:val="nil"/>
              <w:bottom w:val="single" w:sz="8" w:space="0" w:color="auto"/>
              <w:right w:val="nil"/>
            </w:tcBorders>
            <w:shd w:val="clear" w:color="auto" w:fill="FFFFFF"/>
            <w:vAlign w:val="center"/>
          </w:tcPr>
          <w:p w14:paraId="0B933E20" w14:textId="77777777" w:rsidR="00CE04C0" w:rsidRPr="00586E58" w:rsidRDefault="00000000">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
                <w:lang w:eastAsia="zh-CN"/>
              </w:rPr>
              <w:t>Reagent or Resource</w:t>
            </w:r>
          </w:p>
        </w:tc>
        <w:tc>
          <w:tcPr>
            <w:tcW w:w="2939" w:type="dxa"/>
            <w:tcBorders>
              <w:top w:val="single" w:sz="8" w:space="0" w:color="auto"/>
              <w:left w:val="nil"/>
              <w:bottom w:val="single" w:sz="8" w:space="0" w:color="auto"/>
              <w:right w:val="nil"/>
            </w:tcBorders>
            <w:shd w:val="clear" w:color="auto" w:fill="FFFFFF"/>
            <w:vAlign w:val="center"/>
          </w:tcPr>
          <w:p w14:paraId="2AC30421" w14:textId="77777777" w:rsidR="00CE04C0" w:rsidRPr="00586E58" w:rsidRDefault="00000000">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
                <w:lang w:eastAsia="zh-CN"/>
              </w:rPr>
              <w:t>Source</w:t>
            </w:r>
          </w:p>
        </w:tc>
        <w:tc>
          <w:tcPr>
            <w:tcW w:w="2590" w:type="dxa"/>
            <w:tcBorders>
              <w:top w:val="single" w:sz="8" w:space="0" w:color="auto"/>
              <w:left w:val="nil"/>
              <w:bottom w:val="single" w:sz="8" w:space="0" w:color="auto"/>
              <w:right w:val="nil"/>
            </w:tcBorders>
            <w:shd w:val="clear" w:color="auto" w:fill="FFFFFF"/>
            <w:vAlign w:val="center"/>
          </w:tcPr>
          <w:p w14:paraId="168229CD" w14:textId="77777777" w:rsidR="00CE04C0" w:rsidRPr="00586E58" w:rsidRDefault="00000000">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
                <w:lang w:eastAsia="zh-CN"/>
              </w:rPr>
              <w:t>Identifier</w:t>
            </w:r>
          </w:p>
        </w:tc>
      </w:tr>
      <w:tr w:rsidR="00CE04C0" w:rsidRPr="00586E58" w14:paraId="4AADFF21" w14:textId="77777777">
        <w:trPr>
          <w:trHeight w:hRule="exact" w:val="510"/>
        </w:trPr>
        <w:tc>
          <w:tcPr>
            <w:tcW w:w="8364" w:type="dxa"/>
            <w:gridSpan w:val="3"/>
            <w:tcBorders>
              <w:top w:val="nil"/>
            </w:tcBorders>
            <w:shd w:val="clear" w:color="auto" w:fill="auto"/>
            <w:vAlign w:val="center"/>
          </w:tcPr>
          <w:p w14:paraId="49869279" w14:textId="77777777" w:rsidR="00CE04C0" w:rsidRPr="00586E58" w:rsidRDefault="00000000">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
                <w:lang w:eastAsia="zh-CN"/>
              </w:rPr>
              <w:t>Antibodies</w:t>
            </w:r>
          </w:p>
        </w:tc>
      </w:tr>
      <w:tr w:rsidR="00CE04C0" w:rsidRPr="00586E58" w14:paraId="0E513E7B" w14:textId="77777777">
        <w:trPr>
          <w:trHeight w:hRule="exact" w:val="954"/>
        </w:trPr>
        <w:tc>
          <w:tcPr>
            <w:tcW w:w="2835" w:type="dxa"/>
            <w:shd w:val="clear" w:color="auto" w:fill="D0CECE"/>
            <w:vAlign w:val="center"/>
          </w:tcPr>
          <w:p w14:paraId="1021604B" w14:textId="46757BD7" w:rsidR="00CE04C0" w:rsidRPr="00586E58" w:rsidRDefault="001840A6">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val="en-CA" w:eastAsia="zh-CN"/>
              </w:rPr>
              <w:t>Rabbit monoclonal anti-</w:t>
            </w:r>
            <w:r>
              <w:t xml:space="preserve"> </w:t>
            </w:r>
            <w:r w:rsidRPr="001840A6">
              <w:rPr>
                <w:rFonts w:ascii="Times New Roman" w:eastAsia="宋体" w:hAnsi="Times New Roman" w:cs="Times New Roman"/>
                <w:bCs/>
                <w:lang w:eastAsia="zh-CN"/>
              </w:rPr>
              <w:t>IGF2BP1</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antibody</w:t>
            </w:r>
          </w:p>
        </w:tc>
        <w:tc>
          <w:tcPr>
            <w:tcW w:w="2939" w:type="dxa"/>
            <w:shd w:val="clear" w:color="auto" w:fill="D0CECE"/>
            <w:vAlign w:val="center"/>
          </w:tcPr>
          <w:p w14:paraId="6B77E5C6" w14:textId="77777777" w:rsidR="00CE04C0" w:rsidRPr="00586E58" w:rsidRDefault="00000000">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Abcam</w:t>
            </w:r>
          </w:p>
        </w:tc>
        <w:tc>
          <w:tcPr>
            <w:tcW w:w="2590" w:type="dxa"/>
            <w:shd w:val="clear" w:color="auto" w:fill="D0CECE"/>
            <w:vAlign w:val="center"/>
          </w:tcPr>
          <w:p w14:paraId="71B6D689" w14:textId="58CB661D" w:rsidR="00CE04C0" w:rsidRPr="00586E58" w:rsidRDefault="00000000">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w:t>
            </w:r>
            <w:r w:rsidRPr="00586E58">
              <w:rPr>
                <w:rFonts w:ascii="Times New Roman" w:eastAsia="Times New Roman" w:hAnsi="Times New Roman" w:cs="Times New Roman"/>
                <w:lang w:eastAsia="zh-CN"/>
              </w:rPr>
              <w:t xml:space="preserve"> </w:t>
            </w:r>
            <w:r w:rsidR="001840A6" w:rsidRPr="001840A6">
              <w:rPr>
                <w:rFonts w:ascii="Times New Roman" w:eastAsia="宋体" w:hAnsi="Times New Roman" w:cs="Times New Roman"/>
                <w:bCs/>
                <w:lang w:eastAsia="zh-CN"/>
              </w:rPr>
              <w:t>ab290736</w:t>
            </w:r>
          </w:p>
        </w:tc>
      </w:tr>
      <w:tr w:rsidR="00CE04C0" w:rsidRPr="00586E58" w14:paraId="03EDCD4A" w14:textId="77777777">
        <w:trPr>
          <w:trHeight w:hRule="exact" w:val="711"/>
        </w:trPr>
        <w:tc>
          <w:tcPr>
            <w:tcW w:w="2835" w:type="dxa"/>
            <w:shd w:val="clear" w:color="auto" w:fill="D0CECE"/>
            <w:vAlign w:val="center"/>
          </w:tcPr>
          <w:p w14:paraId="5DD6C023" w14:textId="0F4C80BC" w:rsidR="00CE04C0" w:rsidRPr="00586E58" w:rsidRDefault="00000000">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val="en-CA" w:eastAsia="zh-CN"/>
              </w:rPr>
              <w:t>Rabbit monoclonal anti-</w:t>
            </w:r>
            <w:r w:rsidR="001840A6">
              <w:rPr>
                <w:rFonts w:ascii="Times New Roman" w:eastAsia="宋体" w:hAnsi="Times New Roman" w:cs="Times New Roman"/>
                <w:bCs/>
                <w:lang w:val="en-CA" w:eastAsia="zh-CN"/>
              </w:rPr>
              <w:t>ARG1</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antibody</w:t>
            </w:r>
          </w:p>
        </w:tc>
        <w:tc>
          <w:tcPr>
            <w:tcW w:w="2939" w:type="dxa"/>
            <w:shd w:val="clear" w:color="auto" w:fill="D0CECE"/>
            <w:vAlign w:val="center"/>
          </w:tcPr>
          <w:p w14:paraId="1295D52F" w14:textId="732F4A6F" w:rsidR="00CE04C0" w:rsidRPr="00586E58" w:rsidRDefault="001840A6">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Cell Signaling Technology</w:t>
            </w:r>
          </w:p>
        </w:tc>
        <w:tc>
          <w:tcPr>
            <w:tcW w:w="2590" w:type="dxa"/>
            <w:shd w:val="clear" w:color="auto" w:fill="D0CECE"/>
            <w:vAlign w:val="center"/>
          </w:tcPr>
          <w:p w14:paraId="19203715" w14:textId="51D3160D" w:rsidR="00CE04C0" w:rsidRPr="00586E58" w:rsidRDefault="00000000">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 xml:space="preserve">Cat# </w:t>
            </w:r>
            <w:r w:rsidR="001840A6" w:rsidRPr="001840A6">
              <w:rPr>
                <w:rFonts w:ascii="Times New Roman" w:eastAsia="宋体" w:hAnsi="Times New Roman" w:cs="Times New Roman"/>
                <w:bCs/>
                <w:lang w:eastAsia="zh-CN"/>
              </w:rPr>
              <w:t>93668S</w:t>
            </w:r>
          </w:p>
        </w:tc>
      </w:tr>
      <w:tr w:rsidR="00CE04C0" w:rsidRPr="00586E58" w14:paraId="4388C72A" w14:textId="77777777">
        <w:trPr>
          <w:trHeight w:hRule="exact" w:val="849"/>
        </w:trPr>
        <w:tc>
          <w:tcPr>
            <w:tcW w:w="2835" w:type="dxa"/>
            <w:shd w:val="clear" w:color="auto" w:fill="D0CECE"/>
            <w:vAlign w:val="center"/>
          </w:tcPr>
          <w:p w14:paraId="54E94D40" w14:textId="77777777" w:rsidR="00CE04C0" w:rsidRPr="00586E58" w:rsidRDefault="00000000">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Cs/>
                <w:lang w:val="en-CA" w:eastAsia="zh-CN"/>
              </w:rPr>
              <w:t>Mouse monoclonal anti-</w:t>
            </w:r>
            <w:r w:rsidRPr="00586E58">
              <w:rPr>
                <w:rFonts w:ascii="Times New Roman" w:eastAsia="宋体" w:hAnsi="Times New Roman" w:cs="Times New Roman"/>
                <w:bCs/>
                <w:lang w:eastAsia="zh-CN"/>
              </w:rPr>
              <w:t xml:space="preserve">β-actin </w:t>
            </w:r>
            <w:r w:rsidRPr="00586E58">
              <w:rPr>
                <w:rFonts w:ascii="Times New Roman" w:eastAsia="宋体" w:hAnsi="Times New Roman" w:cs="Times New Roman"/>
                <w:bCs/>
                <w:lang w:val="en-CA" w:eastAsia="zh-CN"/>
              </w:rPr>
              <w:t>antibody</w:t>
            </w:r>
          </w:p>
        </w:tc>
        <w:tc>
          <w:tcPr>
            <w:tcW w:w="2939" w:type="dxa"/>
            <w:shd w:val="clear" w:color="auto" w:fill="D0CECE"/>
            <w:vAlign w:val="center"/>
          </w:tcPr>
          <w:p w14:paraId="15456107" w14:textId="77777777" w:rsidR="00CE04C0" w:rsidRPr="00586E58" w:rsidRDefault="00000000">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Sigma-Aldrich</w:t>
            </w:r>
          </w:p>
        </w:tc>
        <w:tc>
          <w:tcPr>
            <w:tcW w:w="2590" w:type="dxa"/>
            <w:shd w:val="clear" w:color="auto" w:fill="D0CECE"/>
            <w:vAlign w:val="center"/>
          </w:tcPr>
          <w:p w14:paraId="21A7F5AE" w14:textId="77777777" w:rsidR="00CE04C0" w:rsidRPr="00586E58" w:rsidRDefault="00000000">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 A5441</w:t>
            </w:r>
          </w:p>
        </w:tc>
      </w:tr>
      <w:tr w:rsidR="00CE04C0" w:rsidRPr="00586E58" w14:paraId="6AF7018B" w14:textId="77777777" w:rsidTr="001840A6">
        <w:trPr>
          <w:trHeight w:hRule="exact" w:val="1078"/>
        </w:trPr>
        <w:tc>
          <w:tcPr>
            <w:tcW w:w="2835" w:type="dxa"/>
            <w:shd w:val="clear" w:color="auto" w:fill="D0CECE"/>
            <w:vAlign w:val="center"/>
          </w:tcPr>
          <w:p w14:paraId="714D5D83" w14:textId="1BB12EA3" w:rsidR="00CE04C0" w:rsidRPr="00586E58" w:rsidRDefault="001840A6">
            <w:pPr>
              <w:widowControl w:val="0"/>
              <w:autoSpaceDE w:val="0"/>
              <w:autoSpaceDN w:val="0"/>
              <w:adjustRightInd w:val="0"/>
              <w:spacing w:line="276" w:lineRule="auto"/>
              <w:jc w:val="both"/>
              <w:rPr>
                <w:rFonts w:ascii="Times New Roman" w:eastAsia="宋体" w:hAnsi="Times New Roman" w:cs="Times New Roman"/>
                <w:bCs/>
                <w:lang w:eastAsia="zh-CN"/>
              </w:rPr>
            </w:pPr>
            <w:r w:rsidRPr="001840A6">
              <w:rPr>
                <w:rFonts w:ascii="Times New Roman" w:eastAsia="宋体" w:hAnsi="Times New Roman" w:cs="Times New Roman"/>
                <w:bCs/>
                <w:lang w:val="en-CA" w:eastAsia="zh-CN"/>
              </w:rPr>
              <w:t xml:space="preserve">Rabbit monoclonal [Y122] </w:t>
            </w:r>
            <w:r w:rsidRPr="00586E58">
              <w:rPr>
                <w:rFonts w:ascii="Times New Roman" w:eastAsia="宋体" w:hAnsi="Times New Roman" w:cs="Times New Roman"/>
                <w:bCs/>
                <w:lang w:val="en-CA" w:eastAsia="zh-CN"/>
              </w:rPr>
              <w:t>anti-</w:t>
            </w:r>
            <w:r w:rsidRPr="001840A6">
              <w:rPr>
                <w:rFonts w:ascii="Times New Roman" w:eastAsia="宋体" w:hAnsi="Times New Roman" w:cs="Times New Roman"/>
                <w:bCs/>
                <w:lang w:val="en-CA" w:eastAsia="zh-CN"/>
              </w:rPr>
              <w:t>p38 beta</w:t>
            </w:r>
            <w:r>
              <w:rPr>
                <w:rFonts w:ascii="Times New Roman" w:eastAsia="宋体" w:hAnsi="Times New Roman" w:cs="Times New Roman"/>
                <w:bCs/>
                <w:lang w:val="en-CA" w:eastAsia="zh-CN"/>
              </w:rPr>
              <w:t xml:space="preserve"> </w:t>
            </w:r>
            <w:r w:rsidRPr="001840A6">
              <w:rPr>
                <w:rFonts w:ascii="Times New Roman" w:eastAsia="宋体" w:hAnsi="Times New Roman" w:cs="Times New Roman"/>
                <w:bCs/>
                <w:lang w:val="en-CA" w:eastAsia="zh-CN"/>
              </w:rPr>
              <w:t>+ p38 alpha</w:t>
            </w:r>
            <w:r w:rsidRPr="00586E58">
              <w:rPr>
                <w:rFonts w:ascii="Times New Roman" w:eastAsia="宋体" w:hAnsi="Times New Roman" w:cs="Times New Roman"/>
                <w:bCs/>
                <w:lang w:val="en-CA" w:eastAsia="zh-CN"/>
              </w:rPr>
              <w:t xml:space="preserve"> antibody</w:t>
            </w:r>
          </w:p>
        </w:tc>
        <w:tc>
          <w:tcPr>
            <w:tcW w:w="2939" w:type="dxa"/>
            <w:shd w:val="clear" w:color="auto" w:fill="D0CECE"/>
            <w:vAlign w:val="center"/>
          </w:tcPr>
          <w:p w14:paraId="400960D4" w14:textId="71DC07AB" w:rsidR="00CE04C0" w:rsidRPr="00586E58" w:rsidRDefault="001840A6">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Abcam</w:t>
            </w:r>
          </w:p>
        </w:tc>
        <w:tc>
          <w:tcPr>
            <w:tcW w:w="2590" w:type="dxa"/>
            <w:shd w:val="clear" w:color="auto" w:fill="D0CECE"/>
            <w:vAlign w:val="center"/>
          </w:tcPr>
          <w:p w14:paraId="42D470C5" w14:textId="0DF227EF" w:rsidR="00CE04C0" w:rsidRPr="00586E58" w:rsidRDefault="00000000">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w:t>
            </w:r>
            <w:r w:rsidRPr="00586E58">
              <w:rPr>
                <w:rFonts w:ascii="Times New Roman" w:eastAsia="Times New Roman" w:hAnsi="Times New Roman" w:cs="Times New Roman"/>
                <w:bCs/>
                <w:lang w:eastAsia="zh-CN"/>
              </w:rPr>
              <w:t xml:space="preserve"> </w:t>
            </w:r>
            <w:r w:rsidR="001840A6" w:rsidRPr="001840A6">
              <w:rPr>
                <w:rFonts w:ascii="Times New Roman" w:eastAsia="宋体" w:hAnsi="Times New Roman" w:cs="Times New Roman"/>
                <w:bCs/>
                <w:lang w:eastAsia="zh-CN"/>
              </w:rPr>
              <w:t>ab32142</w:t>
            </w:r>
          </w:p>
        </w:tc>
      </w:tr>
      <w:tr w:rsidR="00CE04C0" w:rsidRPr="00586E58" w14:paraId="6045813B" w14:textId="77777777" w:rsidTr="001840A6">
        <w:trPr>
          <w:trHeight w:hRule="exact" w:val="1007"/>
        </w:trPr>
        <w:tc>
          <w:tcPr>
            <w:tcW w:w="2835" w:type="dxa"/>
            <w:shd w:val="clear" w:color="auto" w:fill="D0CECE"/>
            <w:vAlign w:val="center"/>
          </w:tcPr>
          <w:p w14:paraId="21031261" w14:textId="22577B33" w:rsidR="00CE04C0" w:rsidRPr="00586E58" w:rsidRDefault="00000000">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val="en-CA" w:eastAsia="zh-CN"/>
              </w:rPr>
              <w:t>Rabbit</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monoclonal</w:t>
            </w:r>
            <w:r w:rsidRPr="00586E58">
              <w:rPr>
                <w:rFonts w:ascii="Times New Roman" w:eastAsia="宋体" w:hAnsi="Times New Roman" w:cs="Times New Roman"/>
                <w:bCs/>
                <w:lang w:eastAsia="zh-CN"/>
              </w:rPr>
              <w:t xml:space="preserve"> anti-</w:t>
            </w:r>
            <w:r w:rsidR="001840A6">
              <w:t xml:space="preserve"> </w:t>
            </w:r>
            <w:r w:rsidR="001840A6" w:rsidRPr="001840A6">
              <w:rPr>
                <w:rFonts w:ascii="Times New Roman" w:eastAsia="宋体" w:hAnsi="Times New Roman" w:cs="Times New Roman"/>
                <w:bCs/>
                <w:lang w:eastAsia="zh-CN"/>
              </w:rPr>
              <w:t>p38 (phospho T180 + Y182)</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antibody</w:t>
            </w:r>
          </w:p>
        </w:tc>
        <w:tc>
          <w:tcPr>
            <w:tcW w:w="2939" w:type="dxa"/>
            <w:shd w:val="clear" w:color="auto" w:fill="D0CECE"/>
            <w:vAlign w:val="center"/>
          </w:tcPr>
          <w:p w14:paraId="0DE4E7D6" w14:textId="77777777" w:rsidR="00CE04C0" w:rsidRPr="00586E58" w:rsidRDefault="00000000">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Abcam</w:t>
            </w:r>
          </w:p>
        </w:tc>
        <w:tc>
          <w:tcPr>
            <w:tcW w:w="2590" w:type="dxa"/>
            <w:shd w:val="clear" w:color="auto" w:fill="D0CECE"/>
            <w:vAlign w:val="center"/>
          </w:tcPr>
          <w:p w14:paraId="219EB2FE" w14:textId="5D86C014" w:rsidR="00CE04C0" w:rsidRPr="00586E58" w:rsidRDefault="00000000">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 xml:space="preserve">Cat# </w:t>
            </w:r>
            <w:r w:rsidR="001840A6" w:rsidRPr="001840A6">
              <w:rPr>
                <w:rFonts w:ascii="Times New Roman" w:eastAsia="宋体" w:hAnsi="Times New Roman" w:cs="Times New Roman"/>
                <w:bCs/>
                <w:lang w:eastAsia="zh-CN"/>
              </w:rPr>
              <w:t>ab195049</w:t>
            </w:r>
          </w:p>
        </w:tc>
      </w:tr>
      <w:tr w:rsidR="00E56F7B" w:rsidRPr="00586E58" w14:paraId="111F614D" w14:textId="77777777">
        <w:trPr>
          <w:trHeight w:hRule="exact" w:val="839"/>
        </w:trPr>
        <w:tc>
          <w:tcPr>
            <w:tcW w:w="2835" w:type="dxa"/>
            <w:shd w:val="clear" w:color="auto" w:fill="D0CECE"/>
            <w:vAlign w:val="center"/>
          </w:tcPr>
          <w:p w14:paraId="7FEC0EBD" w14:textId="0E05B01B"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val="en-CA" w:eastAsia="zh-CN"/>
              </w:rPr>
            </w:pPr>
            <w:r w:rsidRPr="00586E58">
              <w:rPr>
                <w:rFonts w:ascii="Times New Roman" w:eastAsia="宋体" w:hAnsi="Times New Roman" w:cs="Times New Roman"/>
                <w:bCs/>
                <w:lang w:val="en-CA" w:eastAsia="zh-CN"/>
              </w:rPr>
              <w:t>Rabbit</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monoclonal</w:t>
            </w:r>
            <w:r w:rsidRPr="00586E58">
              <w:rPr>
                <w:rFonts w:ascii="Times New Roman" w:eastAsia="宋体" w:hAnsi="Times New Roman" w:cs="Times New Roman"/>
                <w:bCs/>
                <w:lang w:eastAsia="zh-CN"/>
              </w:rPr>
              <w:t xml:space="preserve"> anti-</w:t>
            </w:r>
            <w:r w:rsidRPr="00E56F7B">
              <w:rPr>
                <w:rFonts w:ascii="Times New Roman" w:eastAsia="宋体" w:hAnsi="Times New Roman" w:cs="Times New Roman"/>
                <w:bCs/>
                <w:lang w:eastAsia="zh-CN"/>
              </w:rPr>
              <w:t>RPS6</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antibody</w:t>
            </w:r>
          </w:p>
        </w:tc>
        <w:tc>
          <w:tcPr>
            <w:tcW w:w="2939" w:type="dxa"/>
            <w:shd w:val="clear" w:color="auto" w:fill="D0CECE"/>
            <w:vAlign w:val="center"/>
          </w:tcPr>
          <w:p w14:paraId="1DFE584E" w14:textId="3ADFDA15"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Abcam</w:t>
            </w:r>
          </w:p>
        </w:tc>
        <w:tc>
          <w:tcPr>
            <w:tcW w:w="2590" w:type="dxa"/>
            <w:shd w:val="clear" w:color="auto" w:fill="D0CECE"/>
            <w:vAlign w:val="center"/>
          </w:tcPr>
          <w:p w14:paraId="418E74B0" w14:textId="479B1BDD"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w:t>
            </w:r>
            <w:r w:rsidRPr="00586E58">
              <w:rPr>
                <w:rFonts w:ascii="Times New Roman" w:eastAsia="Times New Roman" w:hAnsi="Times New Roman" w:cs="Times New Roman"/>
                <w:bCs/>
                <w:lang w:eastAsia="zh-CN"/>
              </w:rPr>
              <w:t xml:space="preserve"> </w:t>
            </w:r>
            <w:r w:rsidRPr="00E56F7B">
              <w:rPr>
                <w:rFonts w:ascii="Times New Roman" w:eastAsia="宋体" w:hAnsi="Times New Roman" w:cs="Times New Roman"/>
                <w:bCs/>
                <w:lang w:eastAsia="zh-CN"/>
              </w:rPr>
              <w:t>ab225676</w:t>
            </w:r>
          </w:p>
        </w:tc>
      </w:tr>
      <w:tr w:rsidR="00E56F7B" w:rsidRPr="00586E58" w14:paraId="5621D713" w14:textId="77777777" w:rsidTr="00E56F7B">
        <w:trPr>
          <w:trHeight w:hRule="exact" w:val="1120"/>
        </w:trPr>
        <w:tc>
          <w:tcPr>
            <w:tcW w:w="2835" w:type="dxa"/>
            <w:shd w:val="clear" w:color="auto" w:fill="D0CECE"/>
            <w:vAlign w:val="center"/>
          </w:tcPr>
          <w:p w14:paraId="4F4C32D6" w14:textId="35584A5D"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val="en-CA" w:eastAsia="zh-CN"/>
              </w:rPr>
            </w:pPr>
            <w:r w:rsidRPr="00586E58">
              <w:rPr>
                <w:rFonts w:ascii="Times New Roman" w:eastAsia="宋体" w:hAnsi="Times New Roman" w:cs="Times New Roman"/>
                <w:bCs/>
                <w:lang w:val="en-CA" w:eastAsia="zh-CN"/>
              </w:rPr>
              <w:t>Rabbit</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monoclonal</w:t>
            </w:r>
            <w:r w:rsidRPr="00586E58">
              <w:rPr>
                <w:rFonts w:ascii="Times New Roman" w:eastAsia="宋体" w:hAnsi="Times New Roman" w:cs="Times New Roman"/>
                <w:bCs/>
                <w:lang w:eastAsia="zh-CN"/>
              </w:rPr>
              <w:t xml:space="preserve"> anti</w:t>
            </w:r>
            <w:r>
              <w:rPr>
                <w:rFonts w:ascii="Times New Roman" w:eastAsia="宋体" w:hAnsi="Times New Roman" w:cs="Times New Roman"/>
                <w:bCs/>
                <w:lang w:eastAsia="zh-CN"/>
              </w:rPr>
              <w:t>-</w:t>
            </w:r>
            <w:r w:rsidRPr="00E56F7B">
              <w:rPr>
                <w:rFonts w:ascii="Times New Roman" w:eastAsia="宋体" w:hAnsi="Times New Roman" w:cs="Times New Roman"/>
                <w:bCs/>
                <w:lang w:eastAsia="zh-CN"/>
              </w:rPr>
              <w:t>RPS6 (phospho S240 + S244)</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antibody</w:t>
            </w:r>
          </w:p>
        </w:tc>
        <w:tc>
          <w:tcPr>
            <w:tcW w:w="2939" w:type="dxa"/>
            <w:shd w:val="clear" w:color="auto" w:fill="D0CECE"/>
            <w:vAlign w:val="center"/>
          </w:tcPr>
          <w:p w14:paraId="394727F0" w14:textId="08EB859C"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Abcam</w:t>
            </w:r>
          </w:p>
        </w:tc>
        <w:tc>
          <w:tcPr>
            <w:tcW w:w="2590" w:type="dxa"/>
            <w:shd w:val="clear" w:color="auto" w:fill="D0CECE"/>
            <w:vAlign w:val="center"/>
          </w:tcPr>
          <w:p w14:paraId="79D4071D" w14:textId="4E716632"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 ab76003</w:t>
            </w:r>
          </w:p>
        </w:tc>
      </w:tr>
      <w:tr w:rsidR="00E56F7B" w:rsidRPr="00586E58" w14:paraId="7B85E462" w14:textId="77777777">
        <w:trPr>
          <w:trHeight w:hRule="exact" w:val="1452"/>
        </w:trPr>
        <w:tc>
          <w:tcPr>
            <w:tcW w:w="2835" w:type="dxa"/>
            <w:shd w:val="clear" w:color="auto" w:fill="D0CECE"/>
            <w:vAlign w:val="center"/>
          </w:tcPr>
          <w:p w14:paraId="657B8ECC"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Cs/>
                <w:lang w:val="en-CA" w:eastAsia="zh-CN"/>
              </w:rPr>
              <w:t>Rabbit</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monoclonal</w:t>
            </w:r>
            <w:r w:rsidRPr="00586E58">
              <w:rPr>
                <w:rFonts w:ascii="Times New Roman" w:eastAsia="宋体" w:hAnsi="Times New Roman" w:cs="Times New Roman"/>
                <w:bCs/>
                <w:lang w:eastAsia="zh-CN"/>
              </w:rPr>
              <w:t xml:space="preserve"> Anti-ERK1 (Phospho T202 + Y204) + ERK2 (Phospho T185 + Y187) antibody </w:t>
            </w:r>
          </w:p>
        </w:tc>
        <w:tc>
          <w:tcPr>
            <w:tcW w:w="2939" w:type="dxa"/>
            <w:shd w:val="clear" w:color="auto" w:fill="D0CECE"/>
            <w:vAlign w:val="center"/>
          </w:tcPr>
          <w:p w14:paraId="50220432"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Abcam</w:t>
            </w:r>
          </w:p>
        </w:tc>
        <w:tc>
          <w:tcPr>
            <w:tcW w:w="2590" w:type="dxa"/>
            <w:shd w:val="clear" w:color="auto" w:fill="D0CECE"/>
            <w:vAlign w:val="center"/>
          </w:tcPr>
          <w:p w14:paraId="4407D512"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 ab278538</w:t>
            </w:r>
          </w:p>
        </w:tc>
      </w:tr>
      <w:tr w:rsidR="00E56F7B" w:rsidRPr="00586E58" w14:paraId="10F50165" w14:textId="77777777">
        <w:trPr>
          <w:trHeight w:hRule="exact" w:val="833"/>
        </w:trPr>
        <w:tc>
          <w:tcPr>
            <w:tcW w:w="2835" w:type="dxa"/>
            <w:shd w:val="clear" w:color="auto" w:fill="D0CECE"/>
            <w:vAlign w:val="center"/>
          </w:tcPr>
          <w:p w14:paraId="5A97836E"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Cs/>
                <w:lang w:val="en-CA" w:eastAsia="zh-CN"/>
              </w:rPr>
              <w:t>Rabbit</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polyclonal</w:t>
            </w:r>
            <w:r w:rsidRPr="00586E58">
              <w:rPr>
                <w:rFonts w:ascii="Times New Roman" w:eastAsia="宋体" w:hAnsi="Times New Roman" w:cs="Times New Roman"/>
                <w:bCs/>
                <w:lang w:eastAsia="zh-CN"/>
              </w:rPr>
              <w:t xml:space="preserve"> anti- ERK1/2 </w:t>
            </w:r>
            <w:r w:rsidRPr="00586E58">
              <w:rPr>
                <w:rFonts w:ascii="Times New Roman" w:eastAsia="宋体" w:hAnsi="Times New Roman" w:cs="Times New Roman"/>
                <w:bCs/>
                <w:lang w:val="en-CA" w:eastAsia="zh-CN"/>
              </w:rPr>
              <w:t>antibody</w:t>
            </w:r>
          </w:p>
        </w:tc>
        <w:tc>
          <w:tcPr>
            <w:tcW w:w="2939" w:type="dxa"/>
            <w:shd w:val="clear" w:color="auto" w:fill="D0CECE"/>
            <w:vAlign w:val="center"/>
          </w:tcPr>
          <w:p w14:paraId="0199E84F"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Abcam</w:t>
            </w:r>
          </w:p>
        </w:tc>
        <w:tc>
          <w:tcPr>
            <w:tcW w:w="2590" w:type="dxa"/>
            <w:shd w:val="clear" w:color="auto" w:fill="D0CECE"/>
            <w:vAlign w:val="center"/>
          </w:tcPr>
          <w:p w14:paraId="0871CDE8"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 ab196883</w:t>
            </w:r>
          </w:p>
        </w:tc>
      </w:tr>
      <w:tr w:rsidR="00E56F7B" w:rsidRPr="00586E58" w14:paraId="2827C620" w14:textId="77777777">
        <w:trPr>
          <w:trHeight w:hRule="exact" w:val="1281"/>
        </w:trPr>
        <w:tc>
          <w:tcPr>
            <w:tcW w:w="2835" w:type="dxa"/>
            <w:shd w:val="clear" w:color="auto" w:fill="D0CECE"/>
            <w:vAlign w:val="center"/>
          </w:tcPr>
          <w:p w14:paraId="224342F1"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Cs/>
                <w:lang w:val="en-CA" w:eastAsia="zh-CN"/>
              </w:rPr>
              <w:t>Rabbit</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polyclonal</w:t>
            </w:r>
            <w:r w:rsidRPr="00586E58">
              <w:rPr>
                <w:rFonts w:ascii="Times New Roman" w:eastAsia="宋体" w:hAnsi="Times New Roman" w:cs="Times New Roman"/>
                <w:bCs/>
                <w:lang w:eastAsia="zh-CN"/>
              </w:rPr>
              <w:t xml:space="preserve"> Anti-AKT1 + AKT2 + AKT3 (phospho S472 + S473 + S474)</w:t>
            </w:r>
            <w:r w:rsidRPr="00586E58">
              <w:rPr>
                <w:rFonts w:ascii="Times New Roman" w:eastAsia="宋体" w:hAnsi="Times New Roman" w:cs="Times New Roman"/>
                <w:bCs/>
                <w:lang w:val="en-CA" w:eastAsia="zh-CN"/>
              </w:rPr>
              <w:t xml:space="preserve"> antibody</w:t>
            </w:r>
          </w:p>
        </w:tc>
        <w:tc>
          <w:tcPr>
            <w:tcW w:w="2939" w:type="dxa"/>
            <w:shd w:val="clear" w:color="auto" w:fill="D0CECE"/>
            <w:vAlign w:val="center"/>
          </w:tcPr>
          <w:p w14:paraId="096BDF13"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Abcam</w:t>
            </w:r>
          </w:p>
        </w:tc>
        <w:tc>
          <w:tcPr>
            <w:tcW w:w="2590" w:type="dxa"/>
            <w:shd w:val="clear" w:color="auto" w:fill="D0CECE"/>
            <w:vAlign w:val="center"/>
          </w:tcPr>
          <w:p w14:paraId="0A598AA0"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 ab192623</w:t>
            </w:r>
          </w:p>
        </w:tc>
      </w:tr>
      <w:tr w:rsidR="00E56F7B" w:rsidRPr="00586E58" w14:paraId="5721553F" w14:textId="77777777">
        <w:trPr>
          <w:trHeight w:hRule="exact" w:val="1191"/>
        </w:trPr>
        <w:tc>
          <w:tcPr>
            <w:tcW w:w="2835" w:type="dxa"/>
            <w:shd w:val="clear" w:color="auto" w:fill="D0CECE"/>
            <w:vAlign w:val="center"/>
          </w:tcPr>
          <w:p w14:paraId="18E878FB"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Cs/>
                <w:lang w:val="en-CA" w:eastAsia="zh-CN"/>
              </w:rPr>
              <w:t>Rabbit</w:t>
            </w:r>
            <w:r w:rsidRPr="00586E58">
              <w:rPr>
                <w:rFonts w:ascii="Times New Roman" w:eastAsia="宋体" w:hAnsi="Times New Roman" w:cs="Times New Roman"/>
                <w:bCs/>
                <w:lang w:eastAsia="zh-CN"/>
              </w:rPr>
              <w:t xml:space="preserve"> </w:t>
            </w:r>
            <w:r w:rsidRPr="00586E58">
              <w:rPr>
                <w:rFonts w:ascii="Times New Roman" w:eastAsia="宋体" w:hAnsi="Times New Roman" w:cs="Times New Roman"/>
                <w:bCs/>
                <w:lang w:val="en-CA" w:eastAsia="zh-CN"/>
              </w:rPr>
              <w:t>polyclonal</w:t>
            </w:r>
            <w:r w:rsidRPr="00586E58">
              <w:rPr>
                <w:rFonts w:ascii="Times New Roman" w:eastAsia="宋体" w:hAnsi="Times New Roman" w:cs="Times New Roman"/>
                <w:bCs/>
                <w:lang w:eastAsia="zh-CN"/>
              </w:rPr>
              <w:t xml:space="preserve"> anti- Anti-AKT1 + AKT2 + AKT3 </w:t>
            </w:r>
            <w:r w:rsidRPr="00586E58">
              <w:rPr>
                <w:rFonts w:ascii="Times New Roman" w:eastAsia="宋体" w:hAnsi="Times New Roman" w:cs="Times New Roman"/>
                <w:bCs/>
                <w:lang w:val="en-CA" w:eastAsia="zh-CN"/>
              </w:rPr>
              <w:t>antibody</w:t>
            </w:r>
          </w:p>
        </w:tc>
        <w:tc>
          <w:tcPr>
            <w:tcW w:w="2939" w:type="dxa"/>
            <w:shd w:val="clear" w:color="auto" w:fill="D0CECE"/>
            <w:vAlign w:val="center"/>
          </w:tcPr>
          <w:p w14:paraId="2975EB9F"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Abcam</w:t>
            </w:r>
          </w:p>
        </w:tc>
        <w:tc>
          <w:tcPr>
            <w:tcW w:w="2590" w:type="dxa"/>
            <w:shd w:val="clear" w:color="auto" w:fill="D0CECE"/>
            <w:vAlign w:val="center"/>
          </w:tcPr>
          <w:p w14:paraId="2BDCF7F6"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 ab179463</w:t>
            </w:r>
          </w:p>
        </w:tc>
      </w:tr>
      <w:tr w:rsidR="00E56F7B" w:rsidRPr="00586E58" w14:paraId="31A47AB6" w14:textId="77777777">
        <w:trPr>
          <w:trHeight w:hRule="exact" w:val="510"/>
        </w:trPr>
        <w:tc>
          <w:tcPr>
            <w:tcW w:w="8364" w:type="dxa"/>
            <w:gridSpan w:val="3"/>
            <w:vAlign w:val="center"/>
          </w:tcPr>
          <w:p w14:paraId="34D02EE9"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
                <w:bCs/>
                <w:lang w:eastAsia="zh-CN"/>
              </w:rPr>
              <w:t>Chemicals and Reagents</w:t>
            </w:r>
          </w:p>
        </w:tc>
      </w:tr>
      <w:tr w:rsidR="00E56F7B" w:rsidRPr="00586E58" w14:paraId="1646B80B" w14:textId="77777777">
        <w:trPr>
          <w:trHeight w:hRule="exact" w:val="510"/>
        </w:trPr>
        <w:tc>
          <w:tcPr>
            <w:tcW w:w="2835" w:type="dxa"/>
            <w:shd w:val="clear" w:color="auto" w:fill="D0CECE"/>
            <w:vAlign w:val="center"/>
          </w:tcPr>
          <w:p w14:paraId="0E045856"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Ravoxertinib</w:t>
            </w:r>
          </w:p>
        </w:tc>
        <w:tc>
          <w:tcPr>
            <w:tcW w:w="2939" w:type="dxa"/>
            <w:shd w:val="clear" w:color="auto" w:fill="D0CECE"/>
            <w:vAlign w:val="center"/>
          </w:tcPr>
          <w:p w14:paraId="57BD81E7"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MCE</w:t>
            </w:r>
          </w:p>
        </w:tc>
        <w:tc>
          <w:tcPr>
            <w:tcW w:w="2590" w:type="dxa"/>
            <w:shd w:val="clear" w:color="auto" w:fill="D0CECE"/>
            <w:vAlign w:val="center"/>
          </w:tcPr>
          <w:p w14:paraId="1C2D70A2"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 1453848-26-4</w:t>
            </w:r>
          </w:p>
        </w:tc>
      </w:tr>
      <w:tr w:rsidR="00E56F7B" w:rsidRPr="00586E58" w14:paraId="5DCF0841" w14:textId="77777777">
        <w:trPr>
          <w:trHeight w:hRule="exact" w:val="510"/>
        </w:trPr>
        <w:tc>
          <w:tcPr>
            <w:tcW w:w="2835" w:type="dxa"/>
            <w:shd w:val="clear" w:color="auto" w:fill="D0CECE"/>
            <w:vAlign w:val="center"/>
          </w:tcPr>
          <w:p w14:paraId="3C0F28A6"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poly-L-lysine/laminin</w:t>
            </w:r>
          </w:p>
        </w:tc>
        <w:tc>
          <w:tcPr>
            <w:tcW w:w="2939" w:type="dxa"/>
            <w:shd w:val="clear" w:color="auto" w:fill="D0CECE"/>
            <w:vAlign w:val="center"/>
          </w:tcPr>
          <w:p w14:paraId="2C9746B7"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Merck</w:t>
            </w:r>
          </w:p>
        </w:tc>
        <w:tc>
          <w:tcPr>
            <w:tcW w:w="2590" w:type="dxa"/>
            <w:shd w:val="clear" w:color="auto" w:fill="D0CECE"/>
            <w:vAlign w:val="center"/>
          </w:tcPr>
          <w:p w14:paraId="4280AF39"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 25988-63-0</w:t>
            </w:r>
          </w:p>
        </w:tc>
      </w:tr>
      <w:tr w:rsidR="00E56F7B" w:rsidRPr="00586E58" w14:paraId="19815749" w14:textId="77777777">
        <w:trPr>
          <w:trHeight w:hRule="exact" w:val="510"/>
        </w:trPr>
        <w:tc>
          <w:tcPr>
            <w:tcW w:w="2835" w:type="dxa"/>
            <w:shd w:val="clear" w:color="auto" w:fill="D0CECE"/>
            <w:vAlign w:val="center"/>
          </w:tcPr>
          <w:p w14:paraId="6A7C8AB0"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DMEM</w:t>
            </w:r>
          </w:p>
        </w:tc>
        <w:tc>
          <w:tcPr>
            <w:tcW w:w="2939" w:type="dxa"/>
            <w:shd w:val="clear" w:color="auto" w:fill="D0CECE"/>
            <w:vAlign w:val="center"/>
          </w:tcPr>
          <w:p w14:paraId="46E1836A"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GIBCO</w:t>
            </w:r>
          </w:p>
        </w:tc>
        <w:tc>
          <w:tcPr>
            <w:tcW w:w="2590" w:type="dxa"/>
            <w:shd w:val="clear" w:color="auto" w:fill="D0CECE"/>
            <w:vAlign w:val="center"/>
          </w:tcPr>
          <w:p w14:paraId="547B4E8D"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Cat# 11965-092</w:t>
            </w:r>
          </w:p>
        </w:tc>
      </w:tr>
      <w:tr w:rsidR="00E56F7B" w:rsidRPr="00586E58" w14:paraId="4AAAC063" w14:textId="77777777">
        <w:trPr>
          <w:trHeight w:hRule="exact" w:val="510"/>
        </w:trPr>
        <w:tc>
          <w:tcPr>
            <w:tcW w:w="2835" w:type="dxa"/>
            <w:shd w:val="clear" w:color="auto" w:fill="D0CECE"/>
            <w:vAlign w:val="center"/>
          </w:tcPr>
          <w:p w14:paraId="11FE39C1"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Fetal bovine serum</w:t>
            </w:r>
          </w:p>
        </w:tc>
        <w:tc>
          <w:tcPr>
            <w:tcW w:w="2939" w:type="dxa"/>
            <w:shd w:val="clear" w:color="auto" w:fill="D0CECE"/>
            <w:vAlign w:val="center"/>
          </w:tcPr>
          <w:p w14:paraId="60FA575C"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GIBCO</w:t>
            </w:r>
          </w:p>
        </w:tc>
        <w:tc>
          <w:tcPr>
            <w:tcW w:w="2590" w:type="dxa"/>
            <w:shd w:val="clear" w:color="auto" w:fill="D0CECE"/>
            <w:vAlign w:val="center"/>
          </w:tcPr>
          <w:p w14:paraId="7EF651BD"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Cat# 10099-141</w:t>
            </w:r>
          </w:p>
        </w:tc>
      </w:tr>
      <w:tr w:rsidR="00E56F7B" w:rsidRPr="00586E58" w14:paraId="200B611E" w14:textId="77777777">
        <w:trPr>
          <w:trHeight w:hRule="exact" w:val="510"/>
        </w:trPr>
        <w:tc>
          <w:tcPr>
            <w:tcW w:w="2835" w:type="dxa"/>
            <w:shd w:val="clear" w:color="auto" w:fill="D0CECE"/>
            <w:vAlign w:val="center"/>
          </w:tcPr>
          <w:p w14:paraId="13A37234"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HBSS</w:t>
            </w:r>
          </w:p>
        </w:tc>
        <w:tc>
          <w:tcPr>
            <w:tcW w:w="2939" w:type="dxa"/>
            <w:shd w:val="clear" w:color="auto" w:fill="D0CECE"/>
            <w:vAlign w:val="center"/>
          </w:tcPr>
          <w:p w14:paraId="0060FF60"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Invitrogen</w:t>
            </w:r>
          </w:p>
        </w:tc>
        <w:tc>
          <w:tcPr>
            <w:tcW w:w="2590" w:type="dxa"/>
            <w:shd w:val="clear" w:color="auto" w:fill="D0CECE"/>
            <w:vAlign w:val="center"/>
          </w:tcPr>
          <w:p w14:paraId="2431A81F"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Cat# 14175103</w:t>
            </w:r>
          </w:p>
        </w:tc>
      </w:tr>
      <w:tr w:rsidR="00E56F7B" w:rsidRPr="00586E58" w14:paraId="26106F98" w14:textId="77777777">
        <w:trPr>
          <w:trHeight w:hRule="exact" w:val="510"/>
        </w:trPr>
        <w:tc>
          <w:tcPr>
            <w:tcW w:w="2835" w:type="dxa"/>
            <w:shd w:val="clear" w:color="auto" w:fill="D0CECE"/>
            <w:vAlign w:val="center"/>
          </w:tcPr>
          <w:p w14:paraId="6F997212"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Rho-Kinase-IN-1</w:t>
            </w:r>
          </w:p>
        </w:tc>
        <w:tc>
          <w:tcPr>
            <w:tcW w:w="2939" w:type="dxa"/>
            <w:shd w:val="clear" w:color="auto" w:fill="D0CECE"/>
            <w:vAlign w:val="center"/>
          </w:tcPr>
          <w:p w14:paraId="6CBA02E4"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MCE</w:t>
            </w:r>
          </w:p>
        </w:tc>
        <w:tc>
          <w:tcPr>
            <w:tcW w:w="2590" w:type="dxa"/>
            <w:shd w:val="clear" w:color="auto" w:fill="D0CECE"/>
            <w:vAlign w:val="center"/>
          </w:tcPr>
          <w:p w14:paraId="370DC377"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Cat# 1035094-83-7</w:t>
            </w:r>
          </w:p>
        </w:tc>
      </w:tr>
      <w:tr w:rsidR="00E56F7B" w:rsidRPr="00586E58" w14:paraId="10869EB3" w14:textId="77777777">
        <w:trPr>
          <w:trHeight w:hRule="exact" w:val="510"/>
        </w:trPr>
        <w:tc>
          <w:tcPr>
            <w:tcW w:w="2835" w:type="dxa"/>
            <w:shd w:val="clear" w:color="auto" w:fill="D0CECE"/>
            <w:vAlign w:val="center"/>
          </w:tcPr>
          <w:p w14:paraId="5F95D902"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BSA</w:t>
            </w:r>
          </w:p>
        </w:tc>
        <w:tc>
          <w:tcPr>
            <w:tcW w:w="2939" w:type="dxa"/>
            <w:shd w:val="clear" w:color="auto" w:fill="D0CECE"/>
            <w:vAlign w:val="center"/>
          </w:tcPr>
          <w:p w14:paraId="12B303D0"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Sigma-Aldrich</w:t>
            </w:r>
          </w:p>
        </w:tc>
        <w:tc>
          <w:tcPr>
            <w:tcW w:w="2590" w:type="dxa"/>
            <w:shd w:val="clear" w:color="auto" w:fill="D0CECE"/>
            <w:vAlign w:val="center"/>
          </w:tcPr>
          <w:p w14:paraId="78A5ED1E"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Cat# B2064</w:t>
            </w:r>
          </w:p>
        </w:tc>
      </w:tr>
      <w:tr w:rsidR="00E56F7B" w:rsidRPr="00586E58" w14:paraId="103F4A9A" w14:textId="77777777">
        <w:trPr>
          <w:trHeight w:hRule="exact" w:val="510"/>
        </w:trPr>
        <w:tc>
          <w:tcPr>
            <w:tcW w:w="2835" w:type="dxa"/>
            <w:shd w:val="clear" w:color="auto" w:fill="D0CECE"/>
            <w:vAlign w:val="center"/>
          </w:tcPr>
          <w:p w14:paraId="1782E3D0"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hAnsi="Times New Roman" w:cs="Times New Roman"/>
                <w:lang w:val="en-CA"/>
              </w:rPr>
              <w:t>β-Mercaptoethanol (BME)</w:t>
            </w:r>
          </w:p>
        </w:tc>
        <w:tc>
          <w:tcPr>
            <w:tcW w:w="2939" w:type="dxa"/>
            <w:shd w:val="clear" w:color="auto" w:fill="D0CECE"/>
            <w:vAlign w:val="center"/>
          </w:tcPr>
          <w:p w14:paraId="136A718A"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Merck</w:t>
            </w:r>
          </w:p>
        </w:tc>
        <w:tc>
          <w:tcPr>
            <w:tcW w:w="2590" w:type="dxa"/>
            <w:shd w:val="clear" w:color="auto" w:fill="D0CECE"/>
            <w:vAlign w:val="center"/>
          </w:tcPr>
          <w:p w14:paraId="75927FD7"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 xml:space="preserve">Cat# </w:t>
            </w:r>
            <w:r w:rsidRPr="00586E58">
              <w:rPr>
                <w:rFonts w:ascii="Times New Roman" w:eastAsia="宋体" w:hAnsi="Times New Roman" w:cs="Times New Roman"/>
                <w:bCs/>
                <w:lang w:eastAsia="zh-CN"/>
              </w:rPr>
              <w:t>60-24-2</w:t>
            </w:r>
          </w:p>
        </w:tc>
      </w:tr>
      <w:tr w:rsidR="00E56F7B" w:rsidRPr="00586E58" w14:paraId="150F07FC" w14:textId="77777777">
        <w:trPr>
          <w:trHeight w:hRule="exact" w:val="706"/>
        </w:trPr>
        <w:tc>
          <w:tcPr>
            <w:tcW w:w="2835" w:type="dxa"/>
            <w:shd w:val="clear" w:color="auto" w:fill="D0CECE"/>
            <w:vAlign w:val="center"/>
          </w:tcPr>
          <w:p w14:paraId="671DB435"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Penicillin-streptomycin, liquid</w:t>
            </w:r>
          </w:p>
        </w:tc>
        <w:tc>
          <w:tcPr>
            <w:tcW w:w="2939" w:type="dxa"/>
            <w:shd w:val="clear" w:color="auto" w:fill="D0CECE"/>
            <w:vAlign w:val="center"/>
          </w:tcPr>
          <w:p w14:paraId="79975348"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Invitrogen</w:t>
            </w:r>
          </w:p>
        </w:tc>
        <w:tc>
          <w:tcPr>
            <w:tcW w:w="2590" w:type="dxa"/>
            <w:shd w:val="clear" w:color="auto" w:fill="D0CECE"/>
            <w:vAlign w:val="center"/>
          </w:tcPr>
          <w:p w14:paraId="3D62DEED"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Cat# 15140122</w:t>
            </w:r>
          </w:p>
        </w:tc>
      </w:tr>
      <w:tr w:rsidR="00E56F7B" w:rsidRPr="00586E58" w14:paraId="381C636F" w14:textId="77777777">
        <w:trPr>
          <w:trHeight w:hRule="exact" w:val="510"/>
        </w:trPr>
        <w:tc>
          <w:tcPr>
            <w:tcW w:w="2835" w:type="dxa"/>
            <w:shd w:val="clear" w:color="auto" w:fill="D0CECE"/>
            <w:vAlign w:val="center"/>
          </w:tcPr>
          <w:p w14:paraId="7CB218DF"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RIPA</w:t>
            </w:r>
          </w:p>
        </w:tc>
        <w:tc>
          <w:tcPr>
            <w:tcW w:w="2939" w:type="dxa"/>
            <w:shd w:val="clear" w:color="auto" w:fill="D0CECE"/>
            <w:vAlign w:val="center"/>
          </w:tcPr>
          <w:p w14:paraId="57712A68"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BioVision</w:t>
            </w:r>
          </w:p>
        </w:tc>
        <w:tc>
          <w:tcPr>
            <w:tcW w:w="2590" w:type="dxa"/>
            <w:shd w:val="clear" w:color="auto" w:fill="D0CECE"/>
            <w:vAlign w:val="center"/>
          </w:tcPr>
          <w:p w14:paraId="2B74BA50"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Cat# 2114-500</w:t>
            </w:r>
          </w:p>
        </w:tc>
      </w:tr>
      <w:tr w:rsidR="00E56F7B" w:rsidRPr="00586E58" w14:paraId="323D7A5A" w14:textId="77777777">
        <w:trPr>
          <w:trHeight w:hRule="exact" w:val="678"/>
        </w:trPr>
        <w:tc>
          <w:tcPr>
            <w:tcW w:w="2835" w:type="dxa"/>
            <w:shd w:val="clear" w:color="auto" w:fill="D0CECE"/>
            <w:vAlign w:val="center"/>
          </w:tcPr>
          <w:p w14:paraId="341F6108"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LightCycler 480 SYBR Green</w:t>
            </w:r>
          </w:p>
        </w:tc>
        <w:tc>
          <w:tcPr>
            <w:tcW w:w="2939" w:type="dxa"/>
            <w:shd w:val="clear" w:color="auto" w:fill="D0CECE"/>
            <w:vAlign w:val="center"/>
          </w:tcPr>
          <w:p w14:paraId="32DA433A"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Roche</w:t>
            </w:r>
          </w:p>
        </w:tc>
        <w:tc>
          <w:tcPr>
            <w:tcW w:w="2590" w:type="dxa"/>
            <w:shd w:val="clear" w:color="auto" w:fill="D0CECE"/>
            <w:vAlign w:val="center"/>
          </w:tcPr>
          <w:p w14:paraId="7A51E14F"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Cat# 4887352001</w:t>
            </w:r>
          </w:p>
        </w:tc>
      </w:tr>
      <w:tr w:rsidR="00E56F7B" w:rsidRPr="00586E58" w14:paraId="35DB7E9C" w14:textId="77777777">
        <w:trPr>
          <w:trHeight w:hRule="exact" w:val="819"/>
        </w:trPr>
        <w:tc>
          <w:tcPr>
            <w:tcW w:w="2835" w:type="dxa"/>
            <w:shd w:val="clear" w:color="auto" w:fill="D0CECE"/>
            <w:vAlign w:val="center"/>
          </w:tcPr>
          <w:p w14:paraId="7B8BA2D6"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FastQuant RT Super Mix Tiangen</w:t>
            </w:r>
          </w:p>
        </w:tc>
        <w:tc>
          <w:tcPr>
            <w:tcW w:w="2939" w:type="dxa"/>
            <w:shd w:val="clear" w:color="auto" w:fill="D0CECE"/>
            <w:vAlign w:val="center"/>
          </w:tcPr>
          <w:p w14:paraId="36F2EB45"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Biotech</w:t>
            </w:r>
          </w:p>
        </w:tc>
        <w:tc>
          <w:tcPr>
            <w:tcW w:w="2590" w:type="dxa"/>
            <w:shd w:val="clear" w:color="auto" w:fill="D0CECE"/>
            <w:vAlign w:val="center"/>
          </w:tcPr>
          <w:p w14:paraId="203895E7"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Cat# KR108</w:t>
            </w:r>
          </w:p>
        </w:tc>
      </w:tr>
      <w:tr w:rsidR="00E56F7B" w:rsidRPr="00586E58" w14:paraId="130C774E" w14:textId="77777777">
        <w:trPr>
          <w:trHeight w:hRule="exact" w:val="741"/>
        </w:trPr>
        <w:tc>
          <w:tcPr>
            <w:tcW w:w="2835" w:type="dxa"/>
            <w:shd w:val="clear" w:color="auto" w:fill="D0CECE"/>
            <w:vAlign w:val="center"/>
          </w:tcPr>
          <w:p w14:paraId="4094E949"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ECL Western Blotting Substrate</w:t>
            </w:r>
          </w:p>
        </w:tc>
        <w:tc>
          <w:tcPr>
            <w:tcW w:w="2939" w:type="dxa"/>
            <w:shd w:val="clear" w:color="auto" w:fill="D0CECE"/>
            <w:vAlign w:val="center"/>
          </w:tcPr>
          <w:p w14:paraId="2BC65B5B"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Bio-rad</w:t>
            </w:r>
          </w:p>
        </w:tc>
        <w:tc>
          <w:tcPr>
            <w:tcW w:w="2590" w:type="dxa"/>
            <w:shd w:val="clear" w:color="auto" w:fill="D0CECE"/>
            <w:vAlign w:val="center"/>
          </w:tcPr>
          <w:p w14:paraId="73AB709F"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lang w:eastAsia="zh-CN"/>
              </w:rPr>
              <w:t>Cat# 1705060</w:t>
            </w:r>
          </w:p>
        </w:tc>
      </w:tr>
      <w:tr w:rsidR="00E56F7B" w:rsidRPr="00586E58" w14:paraId="7F6EDF64" w14:textId="77777777">
        <w:trPr>
          <w:trHeight w:hRule="exact" w:val="625"/>
        </w:trPr>
        <w:tc>
          <w:tcPr>
            <w:tcW w:w="2835" w:type="dxa"/>
            <w:shd w:val="clear" w:color="auto" w:fill="D0CECE"/>
            <w:vAlign w:val="center"/>
          </w:tcPr>
          <w:p w14:paraId="6049A268"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val="en-CA" w:eastAsia="zh-CN"/>
              </w:rPr>
            </w:pPr>
            <w:r w:rsidRPr="00586E58">
              <w:rPr>
                <w:rFonts w:ascii="Times New Roman" w:eastAsia="宋体" w:hAnsi="Times New Roman" w:cs="Times New Roman"/>
                <w:lang w:val="en-CA" w:eastAsia="zh-CN"/>
              </w:rPr>
              <w:t>TRIzol</w:t>
            </w:r>
          </w:p>
        </w:tc>
        <w:tc>
          <w:tcPr>
            <w:tcW w:w="2939" w:type="dxa"/>
            <w:shd w:val="clear" w:color="auto" w:fill="D0CECE"/>
            <w:vAlign w:val="center"/>
          </w:tcPr>
          <w:p w14:paraId="03E85D08"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val="en-CA" w:eastAsia="zh-CN"/>
              </w:rPr>
              <w:t>Invitrogen</w:t>
            </w:r>
          </w:p>
        </w:tc>
        <w:tc>
          <w:tcPr>
            <w:tcW w:w="2590" w:type="dxa"/>
            <w:shd w:val="clear" w:color="auto" w:fill="D0CECE"/>
            <w:vAlign w:val="center"/>
          </w:tcPr>
          <w:p w14:paraId="0445A8F1"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val="en-CA" w:eastAsia="zh-CN"/>
              </w:rPr>
              <w:t>15596018</w:t>
            </w:r>
          </w:p>
        </w:tc>
      </w:tr>
      <w:tr w:rsidR="00E56F7B" w:rsidRPr="00586E58" w14:paraId="66B14726" w14:textId="77777777">
        <w:trPr>
          <w:trHeight w:hRule="exact" w:val="510"/>
        </w:trPr>
        <w:tc>
          <w:tcPr>
            <w:tcW w:w="8364" w:type="dxa"/>
            <w:gridSpan w:val="3"/>
            <w:shd w:val="clear" w:color="auto" w:fill="auto"/>
            <w:vAlign w:val="center"/>
          </w:tcPr>
          <w:p w14:paraId="5B7D0839"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
                <w:bCs/>
                <w:lang w:eastAsia="zh-CN"/>
              </w:rPr>
              <w:t>Critical Commercial Assays</w:t>
            </w:r>
          </w:p>
        </w:tc>
      </w:tr>
      <w:tr w:rsidR="00E56F7B" w:rsidRPr="00586E58" w14:paraId="67238E6D" w14:textId="77777777">
        <w:trPr>
          <w:trHeight w:hRule="exact" w:val="510"/>
        </w:trPr>
        <w:tc>
          <w:tcPr>
            <w:tcW w:w="2835" w:type="dxa"/>
            <w:shd w:val="clear" w:color="auto" w:fill="D0CECE"/>
            <w:vAlign w:val="center"/>
          </w:tcPr>
          <w:p w14:paraId="3A0371D8"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Quant One Step qRT-PCR</w:t>
            </w:r>
          </w:p>
        </w:tc>
        <w:tc>
          <w:tcPr>
            <w:tcW w:w="2939" w:type="dxa"/>
            <w:shd w:val="clear" w:color="auto" w:fill="D0CECE"/>
            <w:vAlign w:val="center"/>
          </w:tcPr>
          <w:p w14:paraId="31333AAB"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Tiangen</w:t>
            </w:r>
          </w:p>
        </w:tc>
        <w:tc>
          <w:tcPr>
            <w:tcW w:w="2590" w:type="dxa"/>
            <w:shd w:val="clear" w:color="auto" w:fill="D0CECE"/>
            <w:vAlign w:val="center"/>
          </w:tcPr>
          <w:p w14:paraId="155E8BBD"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Cat# FP303-01</w:t>
            </w:r>
          </w:p>
        </w:tc>
      </w:tr>
      <w:tr w:rsidR="00E56F7B" w:rsidRPr="00586E58" w14:paraId="52AD6707" w14:textId="77777777">
        <w:trPr>
          <w:trHeight w:hRule="exact" w:val="1112"/>
        </w:trPr>
        <w:tc>
          <w:tcPr>
            <w:tcW w:w="2835" w:type="dxa"/>
            <w:shd w:val="clear" w:color="auto" w:fill="D0CECE"/>
            <w:vAlign w:val="center"/>
          </w:tcPr>
          <w:p w14:paraId="5A1BD159"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Quant-iT PicoGreen dsDNA Assay Kit</w:t>
            </w:r>
          </w:p>
        </w:tc>
        <w:tc>
          <w:tcPr>
            <w:tcW w:w="2939" w:type="dxa"/>
            <w:shd w:val="clear" w:color="auto" w:fill="D0CECE"/>
            <w:vAlign w:val="center"/>
          </w:tcPr>
          <w:p w14:paraId="783B36CB"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Invitrogen</w:t>
            </w:r>
          </w:p>
        </w:tc>
        <w:tc>
          <w:tcPr>
            <w:tcW w:w="2590" w:type="dxa"/>
            <w:shd w:val="clear" w:color="auto" w:fill="D0CECE"/>
            <w:vAlign w:val="center"/>
          </w:tcPr>
          <w:p w14:paraId="12B2066E"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P11495</w:t>
            </w:r>
          </w:p>
        </w:tc>
      </w:tr>
      <w:tr w:rsidR="00E56F7B" w:rsidRPr="00586E58" w14:paraId="16E1565F" w14:textId="77777777">
        <w:trPr>
          <w:trHeight w:hRule="exact" w:val="855"/>
        </w:trPr>
        <w:tc>
          <w:tcPr>
            <w:tcW w:w="2835" w:type="dxa"/>
            <w:shd w:val="clear" w:color="auto" w:fill="D0CECE"/>
            <w:vAlign w:val="center"/>
          </w:tcPr>
          <w:p w14:paraId="615652CE"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Chromium Single Cell 30 Reagent Kits v3</w:t>
            </w:r>
          </w:p>
        </w:tc>
        <w:tc>
          <w:tcPr>
            <w:tcW w:w="2939" w:type="dxa"/>
            <w:shd w:val="clear" w:color="auto" w:fill="D0CECE"/>
            <w:vAlign w:val="center"/>
          </w:tcPr>
          <w:p w14:paraId="47B38BD1"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 xml:space="preserve">10X Genomics </w:t>
            </w:r>
          </w:p>
        </w:tc>
        <w:tc>
          <w:tcPr>
            <w:tcW w:w="2590" w:type="dxa"/>
            <w:shd w:val="clear" w:color="auto" w:fill="D0CECE"/>
            <w:vAlign w:val="center"/>
          </w:tcPr>
          <w:p w14:paraId="4E07A8BE"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Cs/>
                <w:lang w:eastAsia="zh-CN"/>
              </w:rPr>
            </w:pPr>
            <w:r w:rsidRPr="00586E58">
              <w:rPr>
                <w:rFonts w:ascii="Times New Roman" w:eastAsia="宋体" w:hAnsi="Times New Roman" w:cs="Times New Roman"/>
                <w:bCs/>
                <w:lang w:eastAsia="zh-CN"/>
              </w:rPr>
              <w:t>PN-1000092</w:t>
            </w:r>
          </w:p>
        </w:tc>
      </w:tr>
      <w:tr w:rsidR="00E56F7B" w:rsidRPr="00586E58" w14:paraId="703C3BF3" w14:textId="77777777">
        <w:trPr>
          <w:trHeight w:hRule="exact" w:val="510"/>
        </w:trPr>
        <w:tc>
          <w:tcPr>
            <w:tcW w:w="8364" w:type="dxa"/>
            <w:gridSpan w:val="3"/>
            <w:shd w:val="clear" w:color="auto" w:fill="auto"/>
            <w:vAlign w:val="center"/>
          </w:tcPr>
          <w:p w14:paraId="5DBB29B7"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b/>
                <w:bCs/>
                <w:lang w:eastAsia="zh-CN"/>
              </w:rPr>
              <w:t>Software and Algorithms</w:t>
            </w:r>
          </w:p>
        </w:tc>
      </w:tr>
      <w:tr w:rsidR="00E56F7B" w:rsidRPr="00586E58" w14:paraId="01500CF8" w14:textId="77777777">
        <w:trPr>
          <w:trHeight w:hRule="exact" w:val="795"/>
        </w:trPr>
        <w:tc>
          <w:tcPr>
            <w:tcW w:w="2835" w:type="dxa"/>
            <w:shd w:val="clear" w:color="auto" w:fill="D0CECE"/>
            <w:vAlign w:val="center"/>
          </w:tcPr>
          <w:p w14:paraId="51D4DDC0"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SPSS 17.0 software</w:t>
            </w:r>
          </w:p>
        </w:tc>
        <w:tc>
          <w:tcPr>
            <w:tcW w:w="2939" w:type="dxa"/>
            <w:shd w:val="clear" w:color="auto" w:fill="D0CECE"/>
            <w:vAlign w:val="center"/>
          </w:tcPr>
          <w:p w14:paraId="6E4BEDFB"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IBM</w:t>
            </w:r>
          </w:p>
        </w:tc>
        <w:tc>
          <w:tcPr>
            <w:tcW w:w="2590" w:type="dxa"/>
            <w:shd w:val="clear" w:color="auto" w:fill="D0CECE"/>
            <w:vAlign w:val="center"/>
          </w:tcPr>
          <w:p w14:paraId="71F5B137"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https://www.ibm.co</w:t>
            </w:r>
          </w:p>
          <w:p w14:paraId="799C6EB5"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m/account/reg/</w:t>
            </w:r>
          </w:p>
        </w:tc>
      </w:tr>
      <w:tr w:rsidR="00E56F7B" w:rsidRPr="00586E58" w14:paraId="73364272" w14:textId="77777777">
        <w:trPr>
          <w:trHeight w:hRule="exact" w:val="714"/>
        </w:trPr>
        <w:tc>
          <w:tcPr>
            <w:tcW w:w="2835" w:type="dxa"/>
            <w:shd w:val="clear" w:color="auto" w:fill="D0CECE"/>
            <w:vAlign w:val="center"/>
          </w:tcPr>
          <w:p w14:paraId="770E3944"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GraphPad. Prism. v6.01</w:t>
            </w:r>
          </w:p>
        </w:tc>
        <w:tc>
          <w:tcPr>
            <w:tcW w:w="2939" w:type="dxa"/>
            <w:shd w:val="clear" w:color="auto" w:fill="D0CECE"/>
            <w:vAlign w:val="center"/>
          </w:tcPr>
          <w:p w14:paraId="77B7E83A"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GraphPad Prism</w:t>
            </w:r>
          </w:p>
        </w:tc>
        <w:tc>
          <w:tcPr>
            <w:tcW w:w="2590" w:type="dxa"/>
            <w:shd w:val="clear" w:color="auto" w:fill="D0CECE"/>
            <w:vAlign w:val="center"/>
          </w:tcPr>
          <w:p w14:paraId="6554EE7B"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https://www.graph</w:t>
            </w:r>
          </w:p>
          <w:p w14:paraId="064DD6CE"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pad.com/</w:t>
            </w:r>
          </w:p>
        </w:tc>
      </w:tr>
      <w:tr w:rsidR="00E56F7B" w:rsidRPr="00586E58" w14:paraId="6006D6A3" w14:textId="77777777">
        <w:trPr>
          <w:trHeight w:hRule="exact" w:val="691"/>
        </w:trPr>
        <w:tc>
          <w:tcPr>
            <w:tcW w:w="2835" w:type="dxa"/>
            <w:shd w:val="clear" w:color="auto" w:fill="D0CECE"/>
            <w:vAlign w:val="center"/>
          </w:tcPr>
          <w:p w14:paraId="03A016AA"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7500 Real Time PCR System</w:t>
            </w:r>
          </w:p>
        </w:tc>
        <w:tc>
          <w:tcPr>
            <w:tcW w:w="2939" w:type="dxa"/>
            <w:shd w:val="clear" w:color="auto" w:fill="D0CECE"/>
            <w:vAlign w:val="center"/>
          </w:tcPr>
          <w:p w14:paraId="2F9225FD"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Applied Biosystems</w:t>
            </w:r>
          </w:p>
        </w:tc>
        <w:tc>
          <w:tcPr>
            <w:tcW w:w="2590" w:type="dxa"/>
            <w:shd w:val="clear" w:color="auto" w:fill="D0CECE"/>
            <w:vAlign w:val="center"/>
          </w:tcPr>
          <w:p w14:paraId="14C83786"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N/A</w:t>
            </w:r>
          </w:p>
        </w:tc>
      </w:tr>
      <w:tr w:rsidR="00E56F7B" w:rsidRPr="00586E58" w14:paraId="32B981CC" w14:textId="77777777">
        <w:trPr>
          <w:trHeight w:hRule="exact" w:val="510"/>
        </w:trPr>
        <w:tc>
          <w:tcPr>
            <w:tcW w:w="2835" w:type="dxa"/>
            <w:shd w:val="clear" w:color="auto" w:fill="D0CECE"/>
            <w:vAlign w:val="center"/>
          </w:tcPr>
          <w:p w14:paraId="01650595"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b/>
                <w:bCs/>
                <w:lang w:eastAsia="zh-CN"/>
              </w:rPr>
            </w:pPr>
            <w:r w:rsidRPr="00586E58">
              <w:rPr>
                <w:rFonts w:ascii="Times New Roman" w:eastAsia="宋体" w:hAnsi="Times New Roman" w:cs="Times New Roman"/>
                <w:lang w:eastAsia="zh-CN"/>
              </w:rPr>
              <w:t>ImageJ</w:t>
            </w:r>
          </w:p>
        </w:tc>
        <w:tc>
          <w:tcPr>
            <w:tcW w:w="2939" w:type="dxa"/>
            <w:shd w:val="clear" w:color="auto" w:fill="D0CECE"/>
            <w:vAlign w:val="center"/>
          </w:tcPr>
          <w:p w14:paraId="1B93DADB"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NIH</w:t>
            </w:r>
          </w:p>
        </w:tc>
        <w:tc>
          <w:tcPr>
            <w:tcW w:w="2590" w:type="dxa"/>
            <w:shd w:val="clear" w:color="auto" w:fill="D0CECE"/>
            <w:vAlign w:val="center"/>
          </w:tcPr>
          <w:p w14:paraId="123FC01B" w14:textId="77777777" w:rsidR="00E56F7B" w:rsidRPr="00586E58" w:rsidRDefault="00E56F7B" w:rsidP="00E56F7B">
            <w:pPr>
              <w:widowControl w:val="0"/>
              <w:autoSpaceDE w:val="0"/>
              <w:autoSpaceDN w:val="0"/>
              <w:adjustRightInd w:val="0"/>
              <w:spacing w:line="276" w:lineRule="auto"/>
              <w:jc w:val="both"/>
              <w:rPr>
                <w:rFonts w:ascii="Times New Roman" w:eastAsia="宋体" w:hAnsi="Times New Roman" w:cs="Times New Roman"/>
                <w:lang w:eastAsia="zh-CN"/>
              </w:rPr>
            </w:pPr>
            <w:r w:rsidRPr="00586E58">
              <w:rPr>
                <w:rFonts w:ascii="Times New Roman" w:eastAsia="宋体" w:hAnsi="Times New Roman" w:cs="Times New Roman"/>
                <w:lang w:eastAsia="zh-CN"/>
              </w:rPr>
              <w:t>https://imagej.nih.gov/ij/</w:t>
            </w:r>
          </w:p>
        </w:tc>
      </w:tr>
    </w:tbl>
    <w:p w14:paraId="11B530DD" w14:textId="77777777" w:rsidR="00CE04C0" w:rsidRPr="00586E58" w:rsidRDefault="00CE04C0">
      <w:pPr>
        <w:pStyle w:val="SMHeading"/>
        <w:spacing w:before="0" w:after="0" w:line="360" w:lineRule="auto"/>
        <w:jc w:val="both"/>
      </w:pPr>
    </w:p>
    <w:p w14:paraId="6F203D86" w14:textId="77777777" w:rsidR="00CE04C0" w:rsidRPr="00586E58" w:rsidRDefault="00000000">
      <w:pPr>
        <w:pStyle w:val="SMHeading"/>
        <w:tabs>
          <w:tab w:val="left" w:pos="670"/>
        </w:tabs>
        <w:spacing w:before="480" w:after="0" w:line="360" w:lineRule="auto"/>
        <w:jc w:val="both"/>
        <w:rPr>
          <w:lang w:eastAsia="zh-CN"/>
        </w:rPr>
      </w:pPr>
      <w:r w:rsidRPr="00586E58">
        <w:rPr>
          <w:rFonts w:eastAsia="MS Mincho"/>
          <w:kern w:val="0"/>
        </w:rPr>
        <w:t>Supplementary Table S</w:t>
      </w:r>
      <w:r w:rsidRPr="00586E58">
        <w:rPr>
          <w:kern w:val="0"/>
          <w:lang w:eastAsia="zh-CN"/>
        </w:rPr>
        <w:t>2.</w:t>
      </w:r>
      <w:r w:rsidRPr="00586E58">
        <w:t xml:space="preserve"> Primers for RT-qPCR assay</w:t>
      </w:r>
    </w:p>
    <w:tbl>
      <w:tblPr>
        <w:tblW w:w="85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3118"/>
        <w:gridCol w:w="3544"/>
      </w:tblGrid>
      <w:tr w:rsidR="00CE04C0" w:rsidRPr="00586E58" w14:paraId="76A3207E" w14:textId="77777777">
        <w:trPr>
          <w:trHeight w:val="510"/>
        </w:trPr>
        <w:tc>
          <w:tcPr>
            <w:tcW w:w="1872" w:type="dxa"/>
            <w:vAlign w:val="center"/>
          </w:tcPr>
          <w:p w14:paraId="42E53ED2" w14:textId="77777777" w:rsidR="00CE04C0" w:rsidRPr="00586E58" w:rsidRDefault="00000000">
            <w:pPr>
              <w:spacing w:line="300" w:lineRule="exact"/>
              <w:jc w:val="both"/>
              <w:rPr>
                <w:rFonts w:ascii="Times New Roman" w:hAnsi="Times New Roman" w:cs="Times New Roman"/>
              </w:rPr>
            </w:pPr>
            <w:r w:rsidRPr="00586E58">
              <w:rPr>
                <w:rFonts w:ascii="Times New Roman" w:hAnsi="Times New Roman" w:cs="Times New Roman"/>
              </w:rPr>
              <w:t>Genes</w:t>
            </w:r>
          </w:p>
        </w:tc>
        <w:tc>
          <w:tcPr>
            <w:tcW w:w="3118" w:type="dxa"/>
            <w:vAlign w:val="center"/>
          </w:tcPr>
          <w:p w14:paraId="6FA7C731" w14:textId="77777777" w:rsidR="00CE04C0" w:rsidRPr="00586E58" w:rsidRDefault="00000000">
            <w:pPr>
              <w:spacing w:line="300" w:lineRule="exact"/>
              <w:jc w:val="both"/>
              <w:rPr>
                <w:rFonts w:ascii="Times New Roman" w:hAnsi="Times New Roman" w:cs="Times New Roman"/>
              </w:rPr>
            </w:pPr>
            <w:r w:rsidRPr="00586E58">
              <w:rPr>
                <w:rFonts w:ascii="Times New Roman" w:hAnsi="Times New Roman" w:cs="Times New Roman"/>
              </w:rPr>
              <w:t>Forward (</w:t>
            </w:r>
            <w:r w:rsidRPr="00586E58">
              <w:rPr>
                <w:rFonts w:ascii="Times New Roman" w:hAnsi="Times New Roman" w:cs="Times New Roman"/>
                <w:bCs/>
                <w:color w:val="000000"/>
              </w:rPr>
              <w:t>5'</w:t>
            </w:r>
            <w:r w:rsidRPr="00586E58">
              <w:rPr>
                <w:rFonts w:ascii="Times New Roman" w:hAnsi="Times New Roman" w:cs="Times New Roman"/>
              </w:rPr>
              <w:t>-</w:t>
            </w:r>
            <w:r w:rsidRPr="00586E58">
              <w:rPr>
                <w:rFonts w:ascii="Times New Roman" w:hAnsi="Times New Roman" w:cs="Times New Roman"/>
                <w:bCs/>
                <w:color w:val="000000"/>
              </w:rPr>
              <w:t>3'</w:t>
            </w:r>
            <w:r w:rsidRPr="00586E58">
              <w:rPr>
                <w:rFonts w:ascii="Times New Roman" w:hAnsi="Times New Roman" w:cs="Times New Roman"/>
              </w:rPr>
              <w:t>) primer</w:t>
            </w:r>
          </w:p>
        </w:tc>
        <w:tc>
          <w:tcPr>
            <w:tcW w:w="3544" w:type="dxa"/>
            <w:vAlign w:val="center"/>
          </w:tcPr>
          <w:p w14:paraId="129198E4" w14:textId="77777777" w:rsidR="00CE04C0" w:rsidRPr="00586E58" w:rsidRDefault="00000000">
            <w:pPr>
              <w:spacing w:line="300" w:lineRule="exact"/>
              <w:jc w:val="both"/>
              <w:rPr>
                <w:rFonts w:ascii="Times New Roman" w:hAnsi="Times New Roman" w:cs="Times New Roman"/>
              </w:rPr>
            </w:pPr>
            <w:r w:rsidRPr="00586E58">
              <w:rPr>
                <w:rFonts w:ascii="Times New Roman" w:hAnsi="Times New Roman" w:cs="Times New Roman"/>
              </w:rPr>
              <w:t>Reward (</w:t>
            </w:r>
            <w:r w:rsidRPr="00586E58">
              <w:rPr>
                <w:rFonts w:ascii="Times New Roman" w:hAnsi="Times New Roman" w:cs="Times New Roman"/>
                <w:bCs/>
                <w:color w:val="000000"/>
              </w:rPr>
              <w:t>5'</w:t>
            </w:r>
            <w:r w:rsidRPr="00586E58">
              <w:rPr>
                <w:rFonts w:ascii="Times New Roman" w:hAnsi="Times New Roman" w:cs="Times New Roman"/>
              </w:rPr>
              <w:t>-</w:t>
            </w:r>
            <w:r w:rsidRPr="00586E58">
              <w:rPr>
                <w:rFonts w:ascii="Times New Roman" w:hAnsi="Times New Roman" w:cs="Times New Roman"/>
                <w:bCs/>
                <w:color w:val="000000"/>
              </w:rPr>
              <w:t>3'</w:t>
            </w:r>
            <w:r w:rsidRPr="00586E58">
              <w:rPr>
                <w:rFonts w:ascii="Times New Roman" w:hAnsi="Times New Roman" w:cs="Times New Roman"/>
              </w:rPr>
              <w:t>) primer</w:t>
            </w:r>
          </w:p>
        </w:tc>
      </w:tr>
      <w:tr w:rsidR="00CE04C0" w:rsidRPr="00586E58" w14:paraId="08757347" w14:textId="77777777">
        <w:trPr>
          <w:trHeight w:val="510"/>
        </w:trPr>
        <w:tc>
          <w:tcPr>
            <w:tcW w:w="1872" w:type="dxa"/>
            <w:vAlign w:val="center"/>
          </w:tcPr>
          <w:p w14:paraId="58EF78C9" w14:textId="7FFEB0A5" w:rsidR="00CE04C0" w:rsidRPr="00586E58" w:rsidRDefault="00E56F7B">
            <w:pPr>
              <w:spacing w:line="300" w:lineRule="exact"/>
              <w:jc w:val="both"/>
              <w:rPr>
                <w:rFonts w:ascii="Times New Roman" w:hAnsi="Times New Roman" w:cs="Times New Roman"/>
                <w:i/>
              </w:rPr>
            </w:pPr>
            <w:r>
              <w:rPr>
                <w:rFonts w:ascii="Times New Roman" w:hAnsi="Times New Roman" w:cs="Times New Roman"/>
                <w:i/>
                <w:shd w:val="clear" w:color="auto" w:fill="FFFFFF"/>
              </w:rPr>
              <w:t>I</w:t>
            </w:r>
            <w:r>
              <w:rPr>
                <w:rFonts w:asciiTheme="minorEastAsia" w:eastAsiaTheme="minorEastAsia" w:hAnsiTheme="minorEastAsia" w:cs="Times New Roman" w:hint="eastAsia"/>
                <w:i/>
                <w:shd w:val="clear" w:color="auto" w:fill="FFFFFF"/>
                <w:lang w:eastAsia="zh-CN"/>
              </w:rPr>
              <w:t>g</w:t>
            </w:r>
            <w:r>
              <w:rPr>
                <w:rFonts w:ascii="Times New Roman" w:hAnsi="Times New Roman" w:cs="Times New Roman"/>
                <w:i/>
                <w:shd w:val="clear" w:color="auto" w:fill="FFFFFF"/>
              </w:rPr>
              <w:t>f2bp1</w:t>
            </w:r>
          </w:p>
        </w:tc>
        <w:tc>
          <w:tcPr>
            <w:tcW w:w="3118" w:type="dxa"/>
            <w:vAlign w:val="center"/>
          </w:tcPr>
          <w:p w14:paraId="75F9A9CF" w14:textId="77777777" w:rsidR="00CE04C0" w:rsidRPr="00586E58" w:rsidRDefault="00000000">
            <w:pPr>
              <w:spacing w:line="300" w:lineRule="exact"/>
              <w:jc w:val="both"/>
              <w:rPr>
                <w:rFonts w:ascii="Times New Roman" w:hAnsi="Times New Roman" w:cs="Times New Roman"/>
              </w:rPr>
            </w:pPr>
            <w:r w:rsidRPr="00586E58">
              <w:rPr>
                <w:rFonts w:ascii="Times New Roman" w:hAnsi="Times New Roman" w:cs="Times New Roman"/>
                <w:shd w:val="clear" w:color="auto" w:fill="FFFFFF"/>
              </w:rPr>
              <w:t>CTGGAGGTTCGACGTGAAG</w:t>
            </w:r>
          </w:p>
        </w:tc>
        <w:tc>
          <w:tcPr>
            <w:tcW w:w="3544" w:type="dxa"/>
            <w:vAlign w:val="center"/>
          </w:tcPr>
          <w:p w14:paraId="05F44E88" w14:textId="77777777" w:rsidR="00CE04C0" w:rsidRPr="00586E58" w:rsidRDefault="00000000">
            <w:pPr>
              <w:spacing w:line="300" w:lineRule="exact"/>
              <w:jc w:val="both"/>
              <w:rPr>
                <w:rFonts w:ascii="Times New Roman" w:hAnsi="Times New Roman" w:cs="Times New Roman"/>
                <w:shd w:val="clear" w:color="auto" w:fill="FFFFFF"/>
              </w:rPr>
            </w:pPr>
            <w:r w:rsidRPr="00586E58">
              <w:rPr>
                <w:rFonts w:ascii="Times New Roman" w:hAnsi="Times New Roman" w:cs="Times New Roman"/>
                <w:shd w:val="clear" w:color="auto" w:fill="FFFFFF"/>
              </w:rPr>
              <w:t>TCCTGGCAGAAATAGGCTTTC</w:t>
            </w:r>
          </w:p>
        </w:tc>
      </w:tr>
      <w:tr w:rsidR="00CE04C0" w:rsidRPr="00586E58" w14:paraId="29CFB889" w14:textId="77777777">
        <w:trPr>
          <w:trHeight w:val="510"/>
        </w:trPr>
        <w:tc>
          <w:tcPr>
            <w:tcW w:w="1872" w:type="dxa"/>
            <w:vAlign w:val="center"/>
          </w:tcPr>
          <w:p w14:paraId="1CD4234B" w14:textId="4123EBBB" w:rsidR="00CE04C0" w:rsidRPr="00586E58" w:rsidRDefault="00E56F7B">
            <w:pPr>
              <w:spacing w:line="300" w:lineRule="exact"/>
              <w:jc w:val="both"/>
              <w:rPr>
                <w:rFonts w:ascii="Times New Roman" w:hAnsi="Times New Roman" w:cs="Times New Roman"/>
                <w:i/>
              </w:rPr>
            </w:pPr>
            <w:r>
              <w:rPr>
                <w:rFonts w:ascii="Times New Roman" w:hAnsi="Times New Roman" w:cs="Times New Roman"/>
                <w:i/>
                <w:shd w:val="clear" w:color="auto" w:fill="FFFFFF"/>
              </w:rPr>
              <w:t>Arg1</w:t>
            </w:r>
          </w:p>
        </w:tc>
        <w:tc>
          <w:tcPr>
            <w:tcW w:w="3118" w:type="dxa"/>
            <w:vAlign w:val="center"/>
          </w:tcPr>
          <w:p w14:paraId="115AA614" w14:textId="77777777" w:rsidR="00CE04C0" w:rsidRPr="00586E58" w:rsidRDefault="00000000">
            <w:pPr>
              <w:spacing w:line="300" w:lineRule="exact"/>
              <w:jc w:val="both"/>
              <w:rPr>
                <w:rFonts w:ascii="Times New Roman" w:hAnsi="Times New Roman" w:cs="Times New Roman"/>
              </w:rPr>
            </w:pPr>
            <w:r w:rsidRPr="00586E58">
              <w:rPr>
                <w:rFonts w:ascii="Times New Roman" w:hAnsi="Times New Roman" w:cs="Times New Roman"/>
                <w:shd w:val="clear" w:color="auto" w:fill="FFFFFF"/>
              </w:rPr>
              <w:t>CAGTTTCCATTCATCTTCCAAGG</w:t>
            </w:r>
          </w:p>
        </w:tc>
        <w:tc>
          <w:tcPr>
            <w:tcW w:w="3544" w:type="dxa"/>
            <w:vAlign w:val="center"/>
          </w:tcPr>
          <w:p w14:paraId="5DA1F8B9" w14:textId="77777777" w:rsidR="00CE04C0" w:rsidRPr="00586E58" w:rsidRDefault="00000000">
            <w:pPr>
              <w:spacing w:line="300" w:lineRule="exact"/>
              <w:jc w:val="both"/>
              <w:rPr>
                <w:rFonts w:ascii="Times New Roman" w:hAnsi="Times New Roman" w:cs="Times New Roman"/>
                <w:shd w:val="clear" w:color="auto" w:fill="FFFFFF"/>
              </w:rPr>
            </w:pPr>
            <w:r w:rsidRPr="00586E58">
              <w:rPr>
                <w:rFonts w:ascii="Times New Roman" w:hAnsi="Times New Roman" w:cs="Times New Roman"/>
                <w:shd w:val="clear" w:color="auto" w:fill="FFFFFF"/>
              </w:rPr>
              <w:t>CATCACCGTCGAGTCAGC</w:t>
            </w:r>
          </w:p>
        </w:tc>
      </w:tr>
      <w:tr w:rsidR="00CE04C0" w:rsidRPr="00586E58" w14:paraId="5996490B" w14:textId="77777777">
        <w:trPr>
          <w:trHeight w:val="510"/>
        </w:trPr>
        <w:tc>
          <w:tcPr>
            <w:tcW w:w="1872" w:type="dxa"/>
            <w:tcBorders>
              <w:bottom w:val="single" w:sz="4" w:space="0" w:color="auto"/>
            </w:tcBorders>
            <w:vAlign w:val="center"/>
          </w:tcPr>
          <w:p w14:paraId="533BE840" w14:textId="77777777" w:rsidR="00CE04C0" w:rsidRPr="00586E58" w:rsidRDefault="00000000">
            <w:pPr>
              <w:spacing w:line="300" w:lineRule="exact"/>
              <w:jc w:val="both"/>
              <w:rPr>
                <w:rFonts w:ascii="Times New Roman" w:hAnsi="Times New Roman" w:cs="Times New Roman"/>
                <w:i/>
                <w:iCs/>
                <w:shd w:val="clear" w:color="auto" w:fill="FFFFFF"/>
              </w:rPr>
            </w:pPr>
            <w:r w:rsidRPr="00586E58">
              <w:rPr>
                <w:rFonts w:ascii="Times New Roman" w:hAnsi="Times New Roman" w:cs="Times New Roman"/>
                <w:i/>
                <w:iCs/>
                <w:shd w:val="clear" w:color="auto" w:fill="FFFFFF"/>
              </w:rPr>
              <w:t>Gapdh</w:t>
            </w:r>
          </w:p>
        </w:tc>
        <w:tc>
          <w:tcPr>
            <w:tcW w:w="3118" w:type="dxa"/>
            <w:tcBorders>
              <w:bottom w:val="single" w:sz="4" w:space="0" w:color="auto"/>
            </w:tcBorders>
            <w:vAlign w:val="center"/>
          </w:tcPr>
          <w:p w14:paraId="3C49C4C8" w14:textId="77777777" w:rsidR="00CE04C0" w:rsidRPr="00586E58" w:rsidRDefault="00000000">
            <w:pPr>
              <w:spacing w:line="300" w:lineRule="exact"/>
              <w:jc w:val="both"/>
              <w:rPr>
                <w:rFonts w:ascii="Times New Roman" w:hAnsi="Times New Roman" w:cs="Times New Roman"/>
              </w:rPr>
            </w:pPr>
            <w:r w:rsidRPr="00586E58">
              <w:rPr>
                <w:rFonts w:ascii="Times New Roman" w:hAnsi="Times New Roman" w:cs="Times New Roman"/>
              </w:rPr>
              <w:t>ACTCCAAGGCCACTTATCACC</w:t>
            </w:r>
          </w:p>
        </w:tc>
        <w:tc>
          <w:tcPr>
            <w:tcW w:w="3544" w:type="dxa"/>
            <w:tcBorders>
              <w:bottom w:val="single" w:sz="4" w:space="0" w:color="auto"/>
            </w:tcBorders>
            <w:vAlign w:val="center"/>
          </w:tcPr>
          <w:p w14:paraId="750EF33C" w14:textId="77777777" w:rsidR="00CE04C0" w:rsidRPr="00586E58" w:rsidRDefault="00000000">
            <w:pPr>
              <w:spacing w:line="300" w:lineRule="exact"/>
              <w:jc w:val="both"/>
              <w:rPr>
                <w:rFonts w:ascii="Times New Roman" w:hAnsi="Times New Roman" w:cs="Times New Roman"/>
              </w:rPr>
            </w:pPr>
            <w:r w:rsidRPr="00586E58">
              <w:rPr>
                <w:rFonts w:ascii="Times New Roman" w:hAnsi="Times New Roman" w:cs="Times New Roman"/>
              </w:rPr>
              <w:t>ATTGTTACCAACTGGGACGAA</w:t>
            </w:r>
          </w:p>
        </w:tc>
      </w:tr>
    </w:tbl>
    <w:p w14:paraId="757D1BC3" w14:textId="77777777" w:rsidR="00CE04C0" w:rsidRPr="00586E58" w:rsidRDefault="00CE04C0">
      <w:pPr>
        <w:rPr>
          <w:rFonts w:ascii="Times New Roman" w:hAnsi="Times New Roman" w:cs="Times New Roman"/>
        </w:rPr>
      </w:pPr>
    </w:p>
    <w:sectPr w:rsidR="00CE04C0" w:rsidRPr="00586E58">
      <w:footerReference w:type="default" r:id="rId11"/>
      <w:pgSz w:w="12240" w:h="15840"/>
      <w:pgMar w:top="1440" w:right="1797" w:bottom="1440" w:left="179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B30E8" w14:textId="77777777" w:rsidR="005D153F" w:rsidRDefault="005D153F">
      <w:r>
        <w:separator/>
      </w:r>
    </w:p>
  </w:endnote>
  <w:endnote w:type="continuationSeparator" w:id="0">
    <w:p w14:paraId="5AA4254D" w14:textId="77777777" w:rsidR="005D153F" w:rsidRDefault="005D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B79B4" w14:textId="77777777" w:rsidR="00CE04C0" w:rsidRDefault="00000000">
    <w:pPr>
      <w:pStyle w:val="a5"/>
      <w:ind w:right="180"/>
      <w:jc w:val="right"/>
    </w:pPr>
    <w:r>
      <w:fldChar w:fldCharType="begin"/>
    </w:r>
    <w:r>
      <w:instrText>PAGE   \* MERGEFORMAT</w:instrText>
    </w:r>
    <w:r>
      <w:fldChar w:fldCharType="separate"/>
    </w:r>
    <w:r>
      <w:rPr>
        <w:lang w:val="zh-CN" w:eastAsia="zh-CN"/>
      </w:rPr>
      <w:t>24</w:t>
    </w:r>
    <w:r>
      <w:rPr>
        <w:lang w:val="zh-CN" w:eastAsia="zh-CN"/>
      </w:rPr>
      <w:fldChar w:fldCharType="end"/>
    </w:r>
  </w:p>
  <w:p w14:paraId="44D8F4BD" w14:textId="77777777" w:rsidR="00CE04C0" w:rsidRDefault="00CE04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084F4" w14:textId="77777777" w:rsidR="005D153F" w:rsidRDefault="005D153F">
      <w:r>
        <w:separator/>
      </w:r>
    </w:p>
  </w:footnote>
  <w:footnote w:type="continuationSeparator" w:id="0">
    <w:p w14:paraId="72D937AF" w14:textId="77777777" w:rsidR="005D153F" w:rsidRDefault="005D15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20"/>
  <w:drawingGridVerticalSpacing w:val="156"/>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VhZjJkMDI0ZGRmYjU4YzM0NmI3YzJlODk5NjhlYWIifQ=="/>
  </w:docVars>
  <w:rsids>
    <w:rsidRoot w:val="00E73D13"/>
    <w:rsid w:val="000918EE"/>
    <w:rsid w:val="001840A6"/>
    <w:rsid w:val="0022091D"/>
    <w:rsid w:val="00273990"/>
    <w:rsid w:val="00293FEC"/>
    <w:rsid w:val="00450D6B"/>
    <w:rsid w:val="004F1D17"/>
    <w:rsid w:val="00586E58"/>
    <w:rsid w:val="005D153F"/>
    <w:rsid w:val="00625350"/>
    <w:rsid w:val="00867262"/>
    <w:rsid w:val="00A83414"/>
    <w:rsid w:val="00B4620D"/>
    <w:rsid w:val="00B935CF"/>
    <w:rsid w:val="00CE04C0"/>
    <w:rsid w:val="00DA05DE"/>
    <w:rsid w:val="00DC7537"/>
    <w:rsid w:val="00E00586"/>
    <w:rsid w:val="00E56F7B"/>
    <w:rsid w:val="00E73D13"/>
    <w:rsid w:val="00F15A34"/>
    <w:rsid w:val="00F415EC"/>
    <w:rsid w:val="0B614389"/>
    <w:rsid w:val="1FA35977"/>
    <w:rsid w:val="2CFB12A7"/>
    <w:rsid w:val="366B28CE"/>
    <w:rsid w:val="36E92171"/>
    <w:rsid w:val="46583751"/>
    <w:rsid w:val="475C1A9D"/>
    <w:rsid w:val="5CDD1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F8D41"/>
  <w15:docId w15:val="{1E5A6E0C-92E4-4396-8AD2-E0BD29108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line number" w:uiPriority="99"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Cambria" w:eastAsia="MS Mincho" w:hAnsi="Cambria" w:cs="Arial"/>
      <w:sz w:val="24"/>
      <w:szCs w:val="24"/>
      <w:lang w:val="en-US" w:eastAsia="en-US"/>
    </w:rPr>
  </w:style>
  <w:style w:type="paragraph" w:styleId="1">
    <w:name w:val="heading 1"/>
    <w:basedOn w:val="a"/>
    <w:next w:val="a"/>
    <w:link w:val="11"/>
    <w:uiPriority w:val="9"/>
    <w:qFormat/>
    <w:pPr>
      <w:keepNext/>
      <w:keepLines/>
      <w:spacing w:before="340" w:after="330" w:line="578" w:lineRule="auto"/>
      <w:outlineLvl w:val="0"/>
    </w:pPr>
    <w:rPr>
      <w:b/>
      <w:bCs/>
      <w:kern w:val="44"/>
      <w:sz w:val="44"/>
      <w:szCs w:val="44"/>
      <w:lang w:val="en-CA"/>
    </w:rPr>
  </w:style>
  <w:style w:type="paragraph" w:styleId="3">
    <w:name w:val="heading 3"/>
    <w:basedOn w:val="a"/>
    <w:next w:val="a"/>
    <w:uiPriority w:val="9"/>
    <w:qFormat/>
    <w:pPr>
      <w:spacing w:beforeAutospacing="1" w:afterAutospacing="1"/>
      <w:outlineLvl w:val="2"/>
    </w:pPr>
    <w:rPr>
      <w:rFonts w:ascii="宋体" w:eastAsia="宋体" w:hAnsi="宋体" w:cs="宋体" w:hint="eastAsia"/>
      <w:b/>
      <w:bCs/>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alloon Text"/>
    <w:basedOn w:val="a"/>
    <w:link w:val="10"/>
    <w:uiPriority w:val="99"/>
    <w:qFormat/>
    <w:rPr>
      <w:sz w:val="18"/>
      <w:szCs w:val="18"/>
      <w:lang w:val="en-CA"/>
    </w:rPr>
  </w:style>
  <w:style w:type="paragraph" w:styleId="a5">
    <w:name w:val="footer"/>
    <w:basedOn w:val="a"/>
    <w:link w:val="12"/>
    <w:uiPriority w:val="99"/>
    <w:qFormat/>
    <w:pPr>
      <w:tabs>
        <w:tab w:val="center" w:pos="4153"/>
        <w:tab w:val="right" w:pos="8306"/>
      </w:tabs>
      <w:snapToGrid w:val="0"/>
    </w:pPr>
    <w:rPr>
      <w:sz w:val="18"/>
      <w:szCs w:val="18"/>
      <w:lang w:val="en-CA"/>
    </w:rPr>
  </w:style>
  <w:style w:type="paragraph" w:styleId="a6">
    <w:name w:val="header"/>
    <w:basedOn w:val="a"/>
    <w:link w:val="13"/>
    <w:uiPriority w:val="99"/>
    <w:qFormat/>
    <w:pPr>
      <w:pBdr>
        <w:bottom w:val="single" w:sz="6" w:space="1" w:color="auto"/>
      </w:pBdr>
      <w:tabs>
        <w:tab w:val="center" w:pos="4153"/>
        <w:tab w:val="right" w:pos="8306"/>
      </w:tabs>
      <w:snapToGrid w:val="0"/>
      <w:jc w:val="center"/>
    </w:pPr>
    <w:rPr>
      <w:sz w:val="18"/>
      <w:szCs w:val="18"/>
      <w:lang w:val="en-CA"/>
    </w:rPr>
  </w:style>
  <w:style w:type="paragraph" w:styleId="a7">
    <w:name w:val="Normal (Web)"/>
    <w:basedOn w:val="a"/>
    <w:uiPriority w:val="99"/>
    <w:qFormat/>
    <w:pPr>
      <w:spacing w:before="100" w:beforeAutospacing="1" w:after="100" w:afterAutospacing="1"/>
    </w:pPr>
    <w:rPr>
      <w:rFonts w:ascii="宋体" w:eastAsia="宋体" w:hAnsi="宋体" w:cs="宋体"/>
      <w:lang w:eastAsia="zh-CN"/>
    </w:rPr>
  </w:style>
  <w:style w:type="character" w:styleId="a8">
    <w:name w:val="line number"/>
    <w:basedOn w:val="a0"/>
    <w:uiPriority w:val="99"/>
    <w:qFormat/>
  </w:style>
  <w:style w:type="character" w:styleId="a9">
    <w:name w:val="Hyperlink"/>
    <w:basedOn w:val="a0"/>
    <w:uiPriority w:val="99"/>
    <w:qFormat/>
    <w:rPr>
      <w:color w:val="0000FF"/>
      <w:u w:val="single"/>
    </w:rPr>
  </w:style>
  <w:style w:type="character" w:styleId="aa">
    <w:name w:val="annotation reference"/>
    <w:basedOn w:val="a0"/>
    <w:qFormat/>
    <w:rPr>
      <w:sz w:val="16"/>
      <w:szCs w:val="16"/>
    </w:rPr>
  </w:style>
  <w:style w:type="character" w:customStyle="1" w:styleId="12">
    <w:name w:val="页脚 字符1"/>
    <w:link w:val="a5"/>
    <w:uiPriority w:val="99"/>
    <w:qFormat/>
    <w:rPr>
      <w:rFonts w:ascii="Cambria" w:eastAsia="MS Mincho" w:hAnsi="Cambria" w:cs="Arial"/>
      <w:sz w:val="18"/>
      <w:szCs w:val="18"/>
      <w:lang w:eastAsia="en-US"/>
    </w:rPr>
  </w:style>
  <w:style w:type="paragraph" w:customStyle="1" w:styleId="SMHeading">
    <w:name w:val="SM Heading"/>
    <w:basedOn w:val="1"/>
    <w:qFormat/>
    <w:pPr>
      <w:keepLines w:val="0"/>
      <w:spacing w:before="240" w:after="60" w:line="240" w:lineRule="auto"/>
    </w:pPr>
    <w:rPr>
      <w:rFonts w:ascii="Times New Roman" w:eastAsia="等线" w:hAnsi="Times New Roman" w:cs="Times New Roman"/>
      <w:kern w:val="32"/>
      <w:sz w:val="24"/>
      <w:szCs w:val="24"/>
    </w:rPr>
  </w:style>
  <w:style w:type="character" w:customStyle="1" w:styleId="11">
    <w:name w:val="标题 1 字符1"/>
    <w:link w:val="1"/>
    <w:uiPriority w:val="9"/>
    <w:qFormat/>
    <w:rPr>
      <w:rFonts w:ascii="Cambria" w:eastAsia="MS Mincho" w:hAnsi="Cambria" w:cs="Arial"/>
      <w:b/>
      <w:bCs/>
      <w:kern w:val="44"/>
      <w:sz w:val="44"/>
      <w:szCs w:val="44"/>
      <w:lang w:eastAsia="en-US"/>
    </w:rPr>
  </w:style>
  <w:style w:type="character" w:customStyle="1" w:styleId="13">
    <w:name w:val="页眉 字符1"/>
    <w:link w:val="a6"/>
    <w:uiPriority w:val="99"/>
    <w:qFormat/>
    <w:rPr>
      <w:rFonts w:ascii="Cambria" w:eastAsia="MS Mincho" w:hAnsi="Cambria" w:cs="Arial"/>
      <w:sz w:val="18"/>
      <w:szCs w:val="18"/>
      <w:lang w:eastAsia="en-US"/>
    </w:rPr>
  </w:style>
  <w:style w:type="paragraph" w:customStyle="1" w:styleId="14">
    <w:name w:val="列出段落1"/>
    <w:basedOn w:val="a"/>
    <w:uiPriority w:val="34"/>
    <w:qFormat/>
    <w:pPr>
      <w:ind w:firstLineChars="200" w:firstLine="420"/>
    </w:pPr>
  </w:style>
  <w:style w:type="character" w:customStyle="1" w:styleId="10">
    <w:name w:val="批注框文本 字符1"/>
    <w:link w:val="a4"/>
    <w:uiPriority w:val="99"/>
    <w:qFormat/>
    <w:rPr>
      <w:rFonts w:ascii="Cambria" w:eastAsia="MS Mincho" w:hAnsi="Cambria" w:cs="Arial"/>
      <w:sz w:val="18"/>
      <w:szCs w:val="18"/>
      <w:lang w:eastAsia="en-US"/>
    </w:rPr>
  </w:style>
  <w:style w:type="character" w:customStyle="1" w:styleId="st">
    <w:name w:val="st"/>
    <w:qFormat/>
  </w:style>
  <w:style w:type="character" w:customStyle="1" w:styleId="ab">
    <w:name w:val="页脚 字符"/>
    <w:basedOn w:val="a0"/>
    <w:uiPriority w:val="99"/>
    <w:qFormat/>
    <w:rPr>
      <w:rFonts w:ascii="Cambria" w:eastAsia="MS Mincho" w:hAnsi="Cambria" w:cs="Arial"/>
      <w:kern w:val="0"/>
      <w:sz w:val="18"/>
      <w:szCs w:val="18"/>
      <w:lang w:eastAsia="en-US"/>
    </w:rPr>
  </w:style>
  <w:style w:type="character" w:customStyle="1" w:styleId="15">
    <w:name w:val="标题 1 字符"/>
    <w:basedOn w:val="a0"/>
    <w:uiPriority w:val="9"/>
    <w:qFormat/>
    <w:rPr>
      <w:rFonts w:ascii="Cambria" w:eastAsia="MS Mincho" w:hAnsi="Cambria" w:cs="Arial"/>
      <w:b/>
      <w:bCs/>
      <w:kern w:val="44"/>
      <w:sz w:val="44"/>
      <w:szCs w:val="44"/>
      <w:lang w:eastAsia="en-US"/>
    </w:rPr>
  </w:style>
  <w:style w:type="character" w:customStyle="1" w:styleId="ac">
    <w:name w:val="页眉 字符"/>
    <w:basedOn w:val="a0"/>
    <w:uiPriority w:val="99"/>
    <w:qFormat/>
    <w:rPr>
      <w:rFonts w:ascii="Cambria" w:eastAsia="MS Mincho" w:hAnsi="Cambria" w:cs="Arial"/>
      <w:kern w:val="0"/>
      <w:sz w:val="18"/>
      <w:szCs w:val="18"/>
      <w:lang w:eastAsia="en-US"/>
    </w:rPr>
  </w:style>
  <w:style w:type="character" w:customStyle="1" w:styleId="ad">
    <w:name w:val="批注框文本 字符"/>
    <w:basedOn w:val="a0"/>
    <w:uiPriority w:val="99"/>
    <w:qFormat/>
    <w:rPr>
      <w:rFonts w:ascii="Cambria" w:eastAsia="MS Mincho" w:hAnsi="Cambria" w:cs="Arial"/>
      <w:kern w:val="0"/>
      <w:sz w:val="18"/>
      <w:szCs w:val="18"/>
      <w:lang w:eastAsia="en-US"/>
    </w:rPr>
  </w:style>
  <w:style w:type="paragraph" w:styleId="ae">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79CBA2-5443-4485-AF15-B8BA920A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1393</Words>
  <Characters>7945</Characters>
  <Application>Microsoft Office Word</Application>
  <DocSecurity>0</DocSecurity>
  <Lines>66</Lines>
  <Paragraphs>18</Paragraphs>
  <ScaleCrop>false</ScaleCrop>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宇航 张</dc:creator>
  <cp:lastModifiedBy>webuser</cp:lastModifiedBy>
  <cp:revision>4</cp:revision>
  <cp:lastPrinted>2020-04-19T07:17:00Z</cp:lastPrinted>
  <dcterms:created xsi:type="dcterms:W3CDTF">2022-11-03T08:23:00Z</dcterms:created>
  <dcterms:modified xsi:type="dcterms:W3CDTF">2022-11-04T05:38:00Z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52A7022C41E147E4AE2F8D414A5FC662</vt:lpwstr>
  </property>
</Properties>
</file>