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8866" w14:textId="7FF5B5B0" w:rsidR="00CB57BB" w:rsidRPr="00663C3E" w:rsidRDefault="00CB57BB" w:rsidP="00CB57BB">
      <w:pPr>
        <w:spacing w:line="240" w:lineRule="auto"/>
        <w:jc w:val="both"/>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Supplementary File #2</w:t>
      </w:r>
    </w:p>
    <w:p w14:paraId="654DAC02" w14:textId="6AAFCB15" w:rsidR="00CB57BB" w:rsidRPr="00663C3E" w:rsidRDefault="00890A66" w:rsidP="00682CB9">
      <w:pPr>
        <w:spacing w:line="240" w:lineRule="auto"/>
        <w:jc w:val="both"/>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Correction of mortality levels</w:t>
      </w:r>
    </w:p>
    <w:p w14:paraId="286F41E9" w14:textId="77777777" w:rsidR="00890A66" w:rsidRPr="00663C3E" w:rsidRDefault="00890A66" w:rsidP="00890A66">
      <w:pPr>
        <w:pStyle w:val="NormalWeb"/>
        <w:shd w:val="clear" w:color="auto" w:fill="FFFFFF"/>
        <w:spacing w:before="0" w:beforeAutospacing="0" w:after="0" w:afterAutospacing="0" w:line="240" w:lineRule="auto"/>
        <w:jc w:val="both"/>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Initial settings</w:t>
      </w:r>
    </w:p>
    <w:p w14:paraId="4F40404A" w14:textId="3E6EE536" w:rsidR="00890A66" w:rsidRPr="00663C3E" w:rsidRDefault="00890A66" w:rsidP="00890A66">
      <w:pPr>
        <w:pStyle w:val="NormalWeb"/>
        <w:shd w:val="clear" w:color="auto" w:fill="FFFFFF"/>
        <w:spacing w:before="0" w:beforeAutospacing="0" w:after="0" w:afterAutospacing="0"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Studying the level and pattern of mortality</w:t>
      </w:r>
      <w:r w:rsidR="00FA3E8D" w:rsidRPr="00663C3E">
        <w:rPr>
          <w:rFonts w:asciiTheme="majorHAnsi" w:hAnsiTheme="majorHAnsi" w:cstheme="majorHAnsi"/>
          <w:color w:val="000000" w:themeColor="text1"/>
          <w:lang w:val="en-US"/>
        </w:rPr>
        <w:t xml:space="preserve"> and obtaining reliable estimates</w:t>
      </w:r>
      <w:r w:rsidRPr="00663C3E">
        <w:rPr>
          <w:rFonts w:asciiTheme="majorHAnsi" w:hAnsiTheme="majorHAnsi" w:cstheme="majorHAnsi"/>
          <w:color w:val="000000" w:themeColor="text1"/>
          <w:lang w:val="en-US"/>
        </w:rPr>
        <w:t xml:space="preserve"> is </w:t>
      </w:r>
      <w:r w:rsidR="00FA3E8D" w:rsidRPr="00663C3E">
        <w:rPr>
          <w:rFonts w:asciiTheme="majorHAnsi" w:hAnsiTheme="majorHAnsi" w:cstheme="majorHAnsi"/>
          <w:color w:val="000000" w:themeColor="text1"/>
          <w:lang w:val="en-US"/>
        </w:rPr>
        <w:t>essential</w:t>
      </w:r>
      <w:r w:rsidRPr="00663C3E">
        <w:rPr>
          <w:rFonts w:asciiTheme="majorHAnsi" w:hAnsiTheme="majorHAnsi" w:cstheme="majorHAnsi"/>
          <w:color w:val="000000" w:themeColor="text1"/>
          <w:lang w:val="en-US"/>
        </w:rPr>
        <w:t xml:space="preserve"> to understand demographic dynamics. In developing countries, </w:t>
      </w:r>
      <w:r w:rsidR="00FA3E8D" w:rsidRPr="00663C3E">
        <w:rPr>
          <w:rFonts w:asciiTheme="majorHAnsi" w:hAnsiTheme="majorHAnsi" w:cstheme="majorHAnsi"/>
          <w:color w:val="000000" w:themeColor="text1"/>
          <w:lang w:val="en-US"/>
        </w:rPr>
        <w:t>data quality has always compromised pattern estimation and knowledge of mortality levels</w:t>
      </w:r>
      <w:r w:rsidRPr="00663C3E">
        <w:rPr>
          <w:rFonts w:asciiTheme="majorHAnsi" w:hAnsiTheme="majorHAnsi" w:cstheme="majorHAnsi"/>
          <w:color w:val="000000" w:themeColor="text1"/>
          <w:lang w:val="en-US"/>
        </w:rPr>
        <w:t xml:space="preserve">. In the case of deaths, there are two main problems: the underreporting of deaths and the misclassification of causes of death. Both compromise the consistency and proper use of the registration of deaths from other causes. In this sense, it is always important to </w:t>
      </w:r>
      <w:r w:rsidR="00FA3E8D" w:rsidRPr="00663C3E">
        <w:rPr>
          <w:rFonts w:asciiTheme="majorHAnsi" w:hAnsiTheme="majorHAnsi" w:cstheme="majorHAnsi"/>
          <w:color w:val="000000" w:themeColor="text1"/>
          <w:lang w:val="en-US"/>
        </w:rPr>
        <w:t>diagnose</w:t>
      </w:r>
      <w:r w:rsidRPr="00663C3E">
        <w:rPr>
          <w:rFonts w:asciiTheme="majorHAnsi" w:hAnsiTheme="majorHAnsi" w:cstheme="majorHAnsi"/>
          <w:color w:val="000000" w:themeColor="text1"/>
          <w:lang w:val="en-US"/>
        </w:rPr>
        <w:t xml:space="preserve"> this quality to assess the need for correction when </w:t>
      </w:r>
      <w:r w:rsidR="00FA3E8D" w:rsidRPr="00663C3E">
        <w:rPr>
          <w:rFonts w:asciiTheme="majorHAnsi" w:hAnsiTheme="majorHAnsi" w:cstheme="majorHAnsi"/>
          <w:color w:val="000000" w:themeColor="text1"/>
          <w:lang w:val="en-US"/>
        </w:rPr>
        <w:t>underreporting or non-random errors exist</w:t>
      </w:r>
      <w:r w:rsidRPr="00663C3E">
        <w:rPr>
          <w:rFonts w:asciiTheme="majorHAnsi" w:hAnsiTheme="majorHAnsi" w:cstheme="majorHAnsi"/>
          <w:color w:val="000000" w:themeColor="text1"/>
          <w:lang w:val="en-US"/>
        </w:rPr>
        <w:t xml:space="preserve"> in the distribution of births and deaths, for example, by age group and sex. Therefore, the low quality of vital records in some regions makes it difficult to estimate mortality</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and the analysis of the profile of causes of death is </w:t>
      </w:r>
      <w:r w:rsidR="00FA3E8D" w:rsidRPr="00663C3E">
        <w:rPr>
          <w:rFonts w:asciiTheme="majorHAnsi" w:hAnsiTheme="majorHAnsi" w:cstheme="majorHAnsi"/>
          <w:color w:val="000000" w:themeColor="text1"/>
          <w:lang w:val="en-US"/>
        </w:rPr>
        <w:t xml:space="preserve">complicated. </w:t>
      </w:r>
      <w:proofErr w:type="gramStart"/>
      <w:r w:rsidR="00FA3E8D" w:rsidRPr="00663C3E">
        <w:rPr>
          <w:rFonts w:asciiTheme="majorHAnsi" w:hAnsiTheme="majorHAnsi" w:cstheme="majorHAnsi"/>
          <w:color w:val="000000" w:themeColor="text1"/>
          <w:lang w:val="en-US"/>
        </w:rPr>
        <w:t>T</w:t>
      </w:r>
      <w:r w:rsidRPr="00663C3E">
        <w:rPr>
          <w:rFonts w:asciiTheme="majorHAnsi" w:hAnsiTheme="majorHAnsi" w:cstheme="majorHAnsi"/>
          <w:color w:val="000000" w:themeColor="text1"/>
          <w:lang w:val="en-US"/>
        </w:rPr>
        <w:t>herefore</w:t>
      </w:r>
      <w:proofErr w:type="gramEnd"/>
      <w:r w:rsidRPr="00663C3E">
        <w:rPr>
          <w:rFonts w:asciiTheme="majorHAnsi" w:hAnsiTheme="majorHAnsi" w:cstheme="majorHAnsi"/>
          <w:color w:val="000000" w:themeColor="text1"/>
          <w:lang w:val="en-US"/>
        </w:rPr>
        <w:t xml:space="preserve"> it is necessary to correct the </w:t>
      </w:r>
      <w:r w:rsidR="00FA3E8D" w:rsidRPr="00663C3E">
        <w:rPr>
          <w:rFonts w:asciiTheme="majorHAnsi" w:hAnsiTheme="majorHAnsi" w:cstheme="majorHAnsi"/>
          <w:color w:val="000000" w:themeColor="text1"/>
          <w:lang w:val="en-US"/>
        </w:rPr>
        <w:t>end</w:t>
      </w:r>
      <w:r w:rsidRPr="00663C3E">
        <w:rPr>
          <w:rFonts w:asciiTheme="majorHAnsi" w:hAnsiTheme="majorHAnsi" w:cstheme="majorHAnsi"/>
          <w:color w:val="000000" w:themeColor="text1"/>
          <w:lang w:val="en-US"/>
        </w:rPr>
        <w:t>s.</w:t>
      </w:r>
    </w:p>
    <w:p w14:paraId="6EEF3D02" w14:textId="710A9142" w:rsidR="00890A66" w:rsidRPr="00663C3E" w:rsidRDefault="00890A66" w:rsidP="00890A66">
      <w:pPr>
        <w:pStyle w:val="NormalWeb"/>
        <w:shd w:val="clear" w:color="auto" w:fill="FFFFFF"/>
        <w:spacing w:before="0" w:beforeAutospacing="0" w:after="0" w:afterAutospacing="0"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In Brazil, analyzing the quality of information available in official statistics often becomes </w:t>
      </w:r>
      <w:r w:rsidR="00FA3E8D" w:rsidRPr="00663C3E">
        <w:rPr>
          <w:rFonts w:asciiTheme="majorHAnsi" w:hAnsiTheme="majorHAnsi" w:cstheme="majorHAnsi"/>
          <w:color w:val="000000" w:themeColor="text1"/>
          <w:lang w:val="en-US"/>
        </w:rPr>
        <w:t xml:space="preserve">challenging. There is misreported information from </w:t>
      </w:r>
      <w:r w:rsidRPr="00663C3E">
        <w:rPr>
          <w:rFonts w:asciiTheme="majorHAnsi" w:hAnsiTheme="majorHAnsi" w:cstheme="majorHAnsi"/>
          <w:color w:val="000000" w:themeColor="text1"/>
          <w:lang w:val="en-US"/>
        </w:rPr>
        <w:t xml:space="preserve">household surveys </w:t>
      </w:r>
      <w:r w:rsidR="00FA3E8D" w:rsidRPr="00663C3E">
        <w:rPr>
          <w:rFonts w:asciiTheme="majorHAnsi" w:hAnsiTheme="majorHAnsi" w:cstheme="majorHAnsi"/>
          <w:color w:val="000000" w:themeColor="text1"/>
          <w:lang w:val="en-US"/>
        </w:rPr>
        <w:t>and</w:t>
      </w:r>
      <w:r w:rsidRPr="00663C3E">
        <w:rPr>
          <w:rFonts w:asciiTheme="majorHAnsi" w:hAnsiTheme="majorHAnsi" w:cstheme="majorHAnsi"/>
          <w:color w:val="000000" w:themeColor="text1"/>
          <w:lang w:val="en-US"/>
        </w:rPr>
        <w:t xml:space="preserve"> administrative records, such as </w:t>
      </w:r>
      <w:r w:rsidR="00FA3E8D" w:rsidRPr="00663C3E">
        <w:rPr>
          <w:rFonts w:asciiTheme="majorHAnsi" w:hAnsiTheme="majorHAnsi" w:cstheme="majorHAnsi"/>
          <w:color w:val="000000" w:themeColor="text1"/>
          <w:lang w:val="en-US"/>
        </w:rPr>
        <w:t xml:space="preserve">mortality </w:t>
      </w:r>
      <w:r w:rsidRPr="00663C3E">
        <w:rPr>
          <w:rFonts w:asciiTheme="majorHAnsi" w:hAnsiTheme="majorHAnsi" w:cstheme="majorHAnsi"/>
          <w:color w:val="000000" w:themeColor="text1"/>
          <w:lang w:val="en-US"/>
        </w:rPr>
        <w:t>data obtained by the Mortality Information System (SIM). For all of them, there is a recognized improvement in the quality of known information</w:t>
      </w:r>
      <w:r w:rsidR="00FA3E8D" w:rsidRPr="00663C3E">
        <w:rPr>
          <w:rFonts w:asciiTheme="majorHAnsi" w:hAnsiTheme="majorHAnsi" w:cstheme="majorHAnsi"/>
          <w:color w:val="000000" w:themeColor="text1"/>
          <w:lang w:val="en-US"/>
        </w:rPr>
        <w:t xml:space="preserve"> and</w:t>
      </w:r>
      <w:r w:rsidRPr="00663C3E">
        <w:rPr>
          <w:rFonts w:asciiTheme="majorHAnsi" w:hAnsiTheme="majorHAnsi" w:cstheme="majorHAnsi"/>
          <w:color w:val="000000" w:themeColor="text1"/>
          <w:lang w:val="en-US"/>
        </w:rPr>
        <w:t xml:space="preserve"> its coverage (M</w:t>
      </w:r>
      <w:r w:rsidR="00D343EA" w:rsidRPr="00663C3E">
        <w:rPr>
          <w:rFonts w:asciiTheme="majorHAnsi" w:hAnsiTheme="majorHAnsi" w:cstheme="majorHAnsi"/>
          <w:color w:val="000000" w:themeColor="text1"/>
          <w:lang w:val="en-US"/>
        </w:rPr>
        <w:t>ello Jorge et al</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2007). However, this improvement is not uniform across countries or regions.</w:t>
      </w:r>
    </w:p>
    <w:p w14:paraId="6B0465AB" w14:textId="68DFFB46" w:rsidR="00890A66" w:rsidRPr="00663C3E" w:rsidRDefault="00890A66" w:rsidP="00890A66">
      <w:pPr>
        <w:pStyle w:val="NormalWeb"/>
        <w:shd w:val="clear" w:color="auto" w:fill="FFFFFF"/>
        <w:spacing w:before="0" w:beforeAutospacing="0" w:after="0" w:afterAutospacing="0"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Correction requires two steps: correction of the level of mortality (predicting an under-enumeration of total deaths) (</w:t>
      </w:r>
      <w:proofErr w:type="spellStart"/>
      <w:r w:rsidRPr="00663C3E">
        <w:rPr>
          <w:rFonts w:asciiTheme="majorHAnsi" w:hAnsiTheme="majorHAnsi" w:cstheme="majorHAnsi"/>
          <w:color w:val="000000" w:themeColor="text1"/>
          <w:lang w:val="en-US"/>
        </w:rPr>
        <w:t>Q</w:t>
      </w:r>
      <w:r w:rsidR="00D343EA" w:rsidRPr="00663C3E">
        <w:rPr>
          <w:rFonts w:asciiTheme="majorHAnsi" w:hAnsiTheme="majorHAnsi" w:cstheme="majorHAnsi"/>
          <w:color w:val="000000" w:themeColor="text1"/>
          <w:lang w:val="en-US"/>
        </w:rPr>
        <w:t>ueiróz</w:t>
      </w:r>
      <w:proofErr w:type="spellEnd"/>
      <w:r w:rsidR="00D343EA" w:rsidRPr="00663C3E">
        <w:rPr>
          <w:rFonts w:asciiTheme="majorHAnsi" w:hAnsiTheme="majorHAnsi" w:cstheme="majorHAnsi"/>
          <w:color w:val="000000" w:themeColor="text1"/>
          <w:lang w:val="en-US"/>
        </w:rPr>
        <w:t xml:space="preserve"> </w:t>
      </w:r>
      <w:r w:rsidRPr="00663C3E">
        <w:rPr>
          <w:rFonts w:asciiTheme="majorHAnsi" w:hAnsiTheme="majorHAnsi" w:cstheme="majorHAnsi"/>
          <w:color w:val="000000" w:themeColor="text1"/>
          <w:lang w:val="en-US"/>
        </w:rPr>
        <w:t>et al</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2017), and correction of information on causes of death, due to failure to fill in the cause of death, in the case of death reported as an ill-defined cause, or filling out garbage codes (M</w:t>
      </w:r>
      <w:r w:rsidR="00D343EA" w:rsidRPr="00663C3E">
        <w:rPr>
          <w:rFonts w:asciiTheme="majorHAnsi" w:hAnsiTheme="majorHAnsi" w:cstheme="majorHAnsi"/>
          <w:color w:val="000000" w:themeColor="text1"/>
          <w:lang w:val="en-US"/>
        </w:rPr>
        <w:t>athers</w:t>
      </w:r>
      <w:r w:rsidRPr="00663C3E">
        <w:rPr>
          <w:rFonts w:asciiTheme="majorHAnsi" w:hAnsiTheme="majorHAnsi" w:cstheme="majorHAnsi"/>
          <w:color w:val="000000" w:themeColor="text1"/>
          <w:lang w:val="en-US"/>
        </w:rPr>
        <w:t xml:space="preserve"> et al</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2005; </w:t>
      </w:r>
      <w:proofErr w:type="spellStart"/>
      <w:r w:rsidRPr="00663C3E">
        <w:rPr>
          <w:rFonts w:asciiTheme="majorHAnsi" w:hAnsiTheme="majorHAnsi" w:cstheme="majorHAnsi"/>
          <w:color w:val="000000" w:themeColor="text1"/>
          <w:lang w:val="en-US"/>
        </w:rPr>
        <w:t>L</w:t>
      </w:r>
      <w:r w:rsidR="00D343EA" w:rsidRPr="00663C3E">
        <w:rPr>
          <w:rFonts w:asciiTheme="majorHAnsi" w:hAnsiTheme="majorHAnsi" w:cstheme="majorHAnsi"/>
          <w:color w:val="000000" w:themeColor="text1"/>
          <w:lang w:val="en-US"/>
        </w:rPr>
        <w:t>aurenti</w:t>
      </w:r>
      <w:proofErr w:type="spellEnd"/>
      <w:r w:rsidRPr="00663C3E">
        <w:rPr>
          <w:rFonts w:asciiTheme="majorHAnsi" w:hAnsiTheme="majorHAnsi" w:cstheme="majorHAnsi"/>
          <w:color w:val="000000" w:themeColor="text1"/>
          <w:lang w:val="en-US"/>
        </w:rPr>
        <w:t xml:space="preserve"> et al</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2008).</w:t>
      </w:r>
    </w:p>
    <w:p w14:paraId="22BD3959" w14:textId="5C2A56B8" w:rsidR="00890A66" w:rsidRPr="00663C3E" w:rsidRDefault="00890A66" w:rsidP="00890A66">
      <w:pPr>
        <w:pStyle w:val="NormalWeb"/>
        <w:shd w:val="clear" w:color="auto" w:fill="FFFFFF"/>
        <w:spacing w:before="0" w:beforeAutospacing="0" w:after="0" w:afterAutospacing="0"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For the present analysis, we used death data from Brazil for 2000 and 2010, obtained by the Mortality Information System (SIM/SUS). Additionally, we </w:t>
      </w:r>
      <w:r w:rsidR="00FA3E8D" w:rsidRPr="00663C3E">
        <w:rPr>
          <w:rFonts w:asciiTheme="majorHAnsi" w:hAnsiTheme="majorHAnsi" w:cstheme="majorHAnsi"/>
          <w:color w:val="000000" w:themeColor="text1"/>
          <w:lang w:val="en-US"/>
        </w:rPr>
        <w:t>got</w:t>
      </w:r>
      <w:r w:rsidRPr="00663C3E">
        <w:rPr>
          <w:rFonts w:asciiTheme="majorHAnsi" w:hAnsiTheme="majorHAnsi" w:cstheme="majorHAnsi"/>
          <w:color w:val="000000" w:themeColor="text1"/>
          <w:lang w:val="en-US"/>
        </w:rPr>
        <w:t xml:space="preserve"> data referring to the population by age group from census data from the IBGE for the same period. In general, by comparing the distribution of deaths by age and the age distribution of the population, it is possible to obtain the age pattern of mortality in a time interval, including the displacement of this pattern along the cohorts, in typically not stable populations (M</w:t>
      </w:r>
      <w:r w:rsidR="00D343EA" w:rsidRPr="00663C3E">
        <w:rPr>
          <w:rFonts w:asciiTheme="majorHAnsi" w:hAnsiTheme="majorHAnsi" w:cstheme="majorHAnsi"/>
          <w:color w:val="000000" w:themeColor="text1"/>
          <w:lang w:val="en-US"/>
        </w:rPr>
        <w:t>oultrie</w:t>
      </w:r>
      <w:r w:rsidRPr="00663C3E">
        <w:rPr>
          <w:rFonts w:asciiTheme="majorHAnsi" w:hAnsiTheme="majorHAnsi" w:cstheme="majorHAnsi"/>
          <w:color w:val="000000" w:themeColor="text1"/>
          <w:lang w:val="en-US"/>
        </w:rPr>
        <w:t xml:space="preserve"> et al</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2013).</w:t>
      </w:r>
    </w:p>
    <w:p w14:paraId="504DD848" w14:textId="77777777" w:rsidR="00890A66" w:rsidRPr="00663C3E" w:rsidRDefault="00890A66" w:rsidP="00890A66">
      <w:pPr>
        <w:pStyle w:val="NormalWeb"/>
        <w:shd w:val="clear" w:color="auto" w:fill="FFFFFF"/>
        <w:spacing w:before="0" w:beforeAutospacing="0" w:after="0" w:afterAutospacing="0" w:line="240" w:lineRule="auto"/>
        <w:jc w:val="both"/>
        <w:rPr>
          <w:rFonts w:asciiTheme="majorHAnsi" w:hAnsiTheme="majorHAnsi" w:cstheme="majorHAnsi"/>
          <w:color w:val="000000" w:themeColor="text1"/>
          <w:lang w:val="en-US"/>
        </w:rPr>
      </w:pPr>
    </w:p>
    <w:p w14:paraId="556F30E6" w14:textId="77777777" w:rsidR="00890A66" w:rsidRPr="00663C3E" w:rsidRDefault="00890A66" w:rsidP="00890A66">
      <w:pPr>
        <w:pStyle w:val="NormalWeb"/>
        <w:shd w:val="clear" w:color="auto" w:fill="FFFFFF"/>
        <w:spacing w:before="0" w:beforeAutospacing="0" w:after="0" w:afterAutospacing="0" w:line="240" w:lineRule="auto"/>
        <w:jc w:val="both"/>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Level correction for deaths</w:t>
      </w:r>
    </w:p>
    <w:p w14:paraId="4BFBF422" w14:textId="3538D5C4" w:rsidR="00890A66" w:rsidRPr="00663C3E" w:rsidRDefault="00890A66" w:rsidP="00890A66">
      <w:pPr>
        <w:pStyle w:val="NormalWeb"/>
        <w:shd w:val="clear" w:color="auto" w:fill="FFFFFF"/>
        <w:spacing w:before="0" w:beforeAutospacing="0" w:after="0" w:afterAutospacing="0"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Among the techniques used to assess the death record, three stand out: the balancing equation, General Growth Balance (GGB) (HILL, 1987); that of extinct generations, Synthetic Extinct Generation (SEG) (B</w:t>
      </w:r>
      <w:r w:rsidR="00D343EA" w:rsidRPr="00663C3E">
        <w:rPr>
          <w:rFonts w:asciiTheme="majorHAnsi" w:hAnsiTheme="majorHAnsi" w:cstheme="majorHAnsi"/>
          <w:color w:val="000000" w:themeColor="text1"/>
          <w:lang w:val="en-US"/>
        </w:rPr>
        <w:t>ennet &amp; Horiuchi</w:t>
      </w:r>
      <w:r w:rsidRPr="00663C3E">
        <w:rPr>
          <w:rFonts w:asciiTheme="majorHAnsi" w:hAnsiTheme="majorHAnsi" w:cstheme="majorHAnsi"/>
          <w:color w:val="000000" w:themeColor="text1"/>
          <w:lang w:val="en-US"/>
        </w:rPr>
        <w:t>, 1981); and the Adjusted Extinct Generations (SEG-adj) (H</w:t>
      </w:r>
      <w:r w:rsidR="00D343EA" w:rsidRPr="00663C3E">
        <w:rPr>
          <w:rFonts w:asciiTheme="majorHAnsi" w:hAnsiTheme="majorHAnsi" w:cstheme="majorHAnsi"/>
          <w:color w:val="000000" w:themeColor="text1"/>
          <w:lang w:val="en-US"/>
        </w:rPr>
        <w:t>ill</w:t>
      </w:r>
      <w:r w:rsidRPr="00663C3E">
        <w:rPr>
          <w:rFonts w:asciiTheme="majorHAnsi" w:hAnsiTheme="majorHAnsi" w:cstheme="majorHAnsi"/>
          <w:color w:val="000000" w:themeColor="text1"/>
          <w:lang w:val="en-US"/>
        </w:rPr>
        <w:t xml:space="preserve"> et al., 2009). In all of them, </w:t>
      </w:r>
      <w:r w:rsidR="00FA3E8D" w:rsidRPr="00663C3E">
        <w:rPr>
          <w:rFonts w:asciiTheme="majorHAnsi" w:hAnsiTheme="majorHAnsi" w:cstheme="majorHAnsi"/>
          <w:color w:val="000000" w:themeColor="text1"/>
          <w:lang w:val="en-US"/>
        </w:rPr>
        <w:t>some presuppositions</w:t>
      </w:r>
      <w:r w:rsidRPr="00663C3E">
        <w:rPr>
          <w:rFonts w:asciiTheme="majorHAnsi" w:hAnsiTheme="majorHAnsi" w:cstheme="majorHAnsi"/>
          <w:color w:val="000000" w:themeColor="text1"/>
          <w:lang w:val="en-US"/>
        </w:rPr>
        <w:t xml:space="preserve"> cannot be ignored: it is considered, first, that the population is closed; in addition, it is assumed that the degree of coverage of deaths is constant by age; still, the degree of coverage of the population count is cons</w:t>
      </w:r>
      <w:r w:rsidR="00FA3E8D" w:rsidRPr="00663C3E">
        <w:rPr>
          <w:rFonts w:asciiTheme="majorHAnsi" w:hAnsiTheme="majorHAnsi" w:cstheme="majorHAnsi"/>
          <w:color w:val="000000" w:themeColor="text1"/>
          <w:lang w:val="en-US"/>
        </w:rPr>
        <w:t>iste</w:t>
      </w:r>
      <w:r w:rsidRPr="00663C3E">
        <w:rPr>
          <w:rFonts w:asciiTheme="majorHAnsi" w:hAnsiTheme="majorHAnsi" w:cstheme="majorHAnsi"/>
          <w:color w:val="000000" w:themeColor="text1"/>
          <w:lang w:val="en-US"/>
        </w:rPr>
        <w:t>nt by age; finally, the ages of the living and the dead are declared without errors. It is worth noting that these methods use data from two different periods</w:t>
      </w:r>
      <w:r w:rsidR="00FA3E8D" w:rsidRPr="00663C3E">
        <w:rPr>
          <w:rFonts w:asciiTheme="majorHAnsi" w:hAnsiTheme="majorHAnsi" w:cstheme="majorHAnsi"/>
          <w:color w:val="000000" w:themeColor="text1"/>
          <w:lang w:val="en-US"/>
        </w:rPr>
        <w:t xml:space="preserve"> to capture changes that occurred over time, indirectly estimating the cohort effect,</w:t>
      </w:r>
      <w:r w:rsidRPr="00663C3E">
        <w:rPr>
          <w:rFonts w:asciiTheme="majorHAnsi" w:hAnsiTheme="majorHAnsi" w:cstheme="majorHAnsi"/>
          <w:color w:val="000000" w:themeColor="text1"/>
          <w:lang w:val="en-US"/>
        </w:rPr>
        <w:t xml:space="preserve"> not just the period effect. In other words, the advantage of these three methods </w:t>
      </w:r>
      <w:r w:rsidR="00FA3E8D" w:rsidRPr="00663C3E">
        <w:rPr>
          <w:rFonts w:asciiTheme="majorHAnsi" w:hAnsiTheme="majorHAnsi" w:cstheme="majorHAnsi"/>
          <w:color w:val="000000" w:themeColor="text1"/>
          <w:lang w:val="en-US"/>
        </w:rPr>
        <w:t>concerning</w:t>
      </w:r>
      <w:r w:rsidRPr="00663C3E">
        <w:rPr>
          <w:rFonts w:asciiTheme="majorHAnsi" w:hAnsiTheme="majorHAnsi" w:cstheme="majorHAnsi"/>
          <w:color w:val="000000" w:themeColor="text1"/>
          <w:lang w:val="en-US"/>
        </w:rPr>
        <w:t xml:space="preserve"> the previous formulations for correcting the underreporting of deaths is precisely the flexibility of the assumption of a stable population.</w:t>
      </w:r>
    </w:p>
    <w:p w14:paraId="26A8B59C" w14:textId="0F10B5CE" w:rsidR="00CB57BB" w:rsidRPr="00663C3E" w:rsidRDefault="00CB57BB" w:rsidP="00890A66">
      <w:pPr>
        <w:spacing w:line="240" w:lineRule="auto"/>
        <w:jc w:val="both"/>
        <w:rPr>
          <w:rFonts w:asciiTheme="majorHAnsi" w:hAnsiTheme="majorHAnsi" w:cstheme="majorHAnsi"/>
          <w:color w:val="000000" w:themeColor="text1"/>
          <w:lang w:val="en-US"/>
        </w:rPr>
      </w:pPr>
    </w:p>
    <w:p w14:paraId="38A89E4E" w14:textId="77777777" w:rsidR="00890A66" w:rsidRPr="00663C3E" w:rsidRDefault="00890A66" w:rsidP="00890A66">
      <w:pPr>
        <w:spacing w:line="240" w:lineRule="auto"/>
        <w:jc w:val="both"/>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General Growth Balance Method (GGB)</w:t>
      </w:r>
    </w:p>
    <w:p w14:paraId="37CDF499" w14:textId="7ABEECC4" w:rsidR="00890A66" w:rsidRPr="00663C3E" w:rsidRDefault="00890A66" w:rsidP="00682CB9">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lastRenderedPageBreak/>
        <w:t>The GGB method proposed by Hill in 1987 is based on the compensating equation</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that is, it defines the growth rate from the difference between the entry and exit rates of the population. </w:t>
      </w:r>
      <w:r w:rsidR="00FA3E8D" w:rsidRPr="00663C3E">
        <w:rPr>
          <w:rFonts w:asciiTheme="majorHAnsi" w:hAnsiTheme="majorHAnsi" w:cstheme="majorHAnsi"/>
          <w:color w:val="000000" w:themeColor="text1"/>
          <w:lang w:val="en-US"/>
        </w:rPr>
        <w:t>Since</w:t>
      </w:r>
      <w:r w:rsidRPr="00663C3E">
        <w:rPr>
          <w:rFonts w:asciiTheme="majorHAnsi" w:hAnsiTheme="majorHAnsi" w:cstheme="majorHAnsi"/>
          <w:color w:val="000000" w:themeColor="text1"/>
          <w:lang w:val="en-US"/>
        </w:rPr>
        <w:t xml:space="preserve"> this is a closed population, entries are represented by births and exits by deaths. In this case, if the mortality estimate can be estimated from two population censuses and compared with a direct mortality estimate using the registration or enumeration of deaths from the demographic census, the degree of coverage of the death registry can be estimated from the relationship between these two quantities. </w:t>
      </w:r>
      <w:r w:rsidR="00FA3E8D" w:rsidRPr="00663C3E">
        <w:rPr>
          <w:rFonts w:asciiTheme="majorHAnsi" w:hAnsiTheme="majorHAnsi" w:cstheme="majorHAnsi"/>
          <w:color w:val="000000" w:themeColor="text1"/>
          <w:lang w:val="en-US"/>
        </w:rPr>
        <w:t>Therefore, it is possible</w:t>
      </w:r>
      <w:r w:rsidRPr="00663C3E">
        <w:rPr>
          <w:rFonts w:asciiTheme="majorHAnsi" w:hAnsiTheme="majorHAnsi" w:cstheme="majorHAnsi"/>
          <w:color w:val="000000" w:themeColor="text1"/>
          <w:lang w:val="en-US"/>
        </w:rPr>
        <w:t xml:space="preserve"> to estimate the variation of coverage for the analyzed period.</w:t>
      </w:r>
    </w:p>
    <w:p w14:paraId="732D5863" w14:textId="4B4CC5CA" w:rsidR="00890A66" w:rsidRPr="00663C3E" w:rsidRDefault="00890A66" w:rsidP="00682CB9">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The first step of the method consists of accumulating the population (N(x+)) in the two periods and the deaths (D(x+)) from the most advanced age groups to the youngest in each age group.</w:t>
      </w:r>
    </w:p>
    <w:p w14:paraId="2DA4C0C2" w14:textId="6EC6C0DE" w:rsidR="00890A66" w:rsidRPr="00663C3E" w:rsidRDefault="00890A66" w:rsidP="00FA3E8D">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It is considered that A is the initial age of the open interval, and x is the initial age of each interval, varying every </w:t>
      </w:r>
      <w:r w:rsidR="00FA3E8D" w:rsidRPr="00663C3E">
        <w:rPr>
          <w:rFonts w:asciiTheme="majorHAnsi" w:hAnsiTheme="majorHAnsi" w:cstheme="majorHAnsi"/>
          <w:color w:val="000000" w:themeColor="text1"/>
          <w:lang w:val="en-US"/>
        </w:rPr>
        <w:t>five</w:t>
      </w:r>
      <w:r w:rsidRPr="00663C3E">
        <w:rPr>
          <w:rFonts w:asciiTheme="majorHAnsi" w:hAnsiTheme="majorHAnsi" w:cstheme="majorHAnsi"/>
          <w:color w:val="000000" w:themeColor="text1"/>
          <w:lang w:val="en-US"/>
        </w:rPr>
        <w:t xml:space="preserve"> years, starting from zero. The calculation is done </w:t>
      </w:r>
      <w:r w:rsidR="00FA3E8D" w:rsidRPr="00663C3E">
        <w:rPr>
          <w:rFonts w:asciiTheme="majorHAnsi" w:hAnsiTheme="majorHAnsi" w:cstheme="majorHAnsi"/>
          <w:color w:val="000000" w:themeColor="text1"/>
          <w:lang w:val="en-US"/>
        </w:rPr>
        <w:t>similarl</w:t>
      </w:r>
      <w:r w:rsidRPr="00663C3E">
        <w:rPr>
          <w:rFonts w:asciiTheme="majorHAnsi" w:hAnsiTheme="majorHAnsi" w:cstheme="majorHAnsi"/>
          <w:color w:val="000000" w:themeColor="text1"/>
          <w:lang w:val="en-US"/>
        </w:rPr>
        <w:t xml:space="preserve">y for deaths. Next, it is necessary to calculate an estimate of person-years (L(x)) in each age group. The time measures considered for this calculation are t1 and t2, </w:t>
      </w:r>
      <w:r w:rsidR="00FA3E8D" w:rsidRPr="00663C3E">
        <w:rPr>
          <w:rFonts w:asciiTheme="majorHAnsi" w:hAnsiTheme="majorHAnsi" w:cstheme="majorHAnsi"/>
          <w:color w:val="000000" w:themeColor="text1"/>
          <w:lang w:val="en-US"/>
        </w:rPr>
        <w:t>representing</w:t>
      </w:r>
      <w:r w:rsidRPr="00663C3E">
        <w:rPr>
          <w:rFonts w:asciiTheme="majorHAnsi" w:hAnsiTheme="majorHAnsi" w:cstheme="majorHAnsi"/>
          <w:color w:val="000000" w:themeColor="text1"/>
          <w:lang w:val="en-US"/>
        </w:rPr>
        <w:t xml:space="preserve"> the initial and final observation period (in this case, 2000 and 2010). With this information, it is possible to estimate the number of people born in the period. The relationship between the difference between the inflows and the growth rate (e(a+) – r(a+)) and deaths (d(a+)) is expected to be perfect. Any discrepancy between these indicators represents coverage problems. </w:t>
      </w:r>
      <w:r w:rsidR="00FA3E8D" w:rsidRPr="00663C3E">
        <w:rPr>
          <w:rFonts w:asciiTheme="majorHAnsi" w:hAnsiTheme="majorHAnsi" w:cstheme="majorHAnsi"/>
          <w:color w:val="000000" w:themeColor="text1"/>
          <w:lang w:val="en-US"/>
        </w:rPr>
        <w:t>It</w:t>
      </w:r>
      <w:r w:rsidRPr="00663C3E">
        <w:rPr>
          <w:rFonts w:asciiTheme="majorHAnsi" w:hAnsiTheme="majorHAnsi" w:cstheme="majorHAnsi"/>
          <w:color w:val="000000" w:themeColor="text1"/>
          <w:lang w:val="en-US"/>
        </w:rPr>
        <w:t xml:space="preserve"> is possible to estimate an intercept that captures any variation in coverage between the two censuses</w:t>
      </w:r>
      <w:r w:rsidR="00FA3E8D" w:rsidRPr="00663C3E">
        <w:rPr>
          <w:rFonts w:asciiTheme="majorHAnsi" w:hAnsiTheme="majorHAnsi" w:cstheme="majorHAnsi"/>
          <w:color w:val="000000" w:themeColor="text1"/>
          <w:lang w:val="en-US"/>
        </w:rPr>
        <w:t xml:space="preserve"> from the relationship between the difference in the entry rate and the growth rate with the mortality rate in each age group. Also, we can </w:t>
      </w:r>
      <w:r w:rsidRPr="00663C3E">
        <w:rPr>
          <w:rFonts w:asciiTheme="majorHAnsi" w:hAnsiTheme="majorHAnsi" w:cstheme="majorHAnsi"/>
          <w:color w:val="000000" w:themeColor="text1"/>
          <w:lang w:val="en-US"/>
        </w:rPr>
        <w:t xml:space="preserve">estimate a slope that </w:t>
      </w:r>
      <w:r w:rsidR="00FA3E8D" w:rsidRPr="00663C3E">
        <w:rPr>
          <w:rFonts w:asciiTheme="majorHAnsi" w:hAnsiTheme="majorHAnsi" w:cstheme="majorHAnsi"/>
          <w:color w:val="000000" w:themeColor="text1"/>
          <w:lang w:val="en-US"/>
        </w:rPr>
        <w:t>indicates</w:t>
      </w:r>
      <w:r w:rsidRPr="00663C3E">
        <w:rPr>
          <w:rFonts w:asciiTheme="majorHAnsi" w:hAnsiTheme="majorHAnsi" w:cstheme="majorHAnsi"/>
          <w:color w:val="000000" w:themeColor="text1"/>
          <w:lang w:val="en-US"/>
        </w:rPr>
        <w:t xml:space="preserve"> the degree of coverage of the death record </w:t>
      </w:r>
      <w:r w:rsidR="00FA3E8D" w:rsidRPr="00663C3E">
        <w:rPr>
          <w:rFonts w:asciiTheme="majorHAnsi" w:hAnsiTheme="majorHAnsi" w:cstheme="majorHAnsi"/>
          <w:color w:val="000000" w:themeColor="text1"/>
          <w:lang w:val="en-US"/>
        </w:rPr>
        <w:t>concerning</w:t>
      </w:r>
      <w:r w:rsidRPr="00663C3E">
        <w:rPr>
          <w:rFonts w:asciiTheme="majorHAnsi" w:hAnsiTheme="majorHAnsi" w:cstheme="majorHAnsi"/>
          <w:color w:val="000000" w:themeColor="text1"/>
          <w:lang w:val="en-US"/>
        </w:rPr>
        <w:t xml:space="preserve"> the average coverage of both censuses (</w:t>
      </w:r>
      <w:proofErr w:type="spellStart"/>
      <w:r w:rsidRPr="00663C3E">
        <w:rPr>
          <w:rFonts w:asciiTheme="majorHAnsi" w:hAnsiTheme="majorHAnsi" w:cstheme="majorHAnsi"/>
          <w:color w:val="000000" w:themeColor="text1"/>
          <w:lang w:val="en-US"/>
        </w:rPr>
        <w:t>Q</w:t>
      </w:r>
      <w:r w:rsidR="00D343EA" w:rsidRPr="00663C3E">
        <w:rPr>
          <w:rFonts w:asciiTheme="majorHAnsi" w:hAnsiTheme="majorHAnsi" w:cstheme="majorHAnsi"/>
          <w:color w:val="000000" w:themeColor="text1"/>
          <w:lang w:val="en-US"/>
        </w:rPr>
        <w:t>ueiróz</w:t>
      </w:r>
      <w:proofErr w:type="spellEnd"/>
      <w:r w:rsidR="00D343EA" w:rsidRPr="00663C3E">
        <w:rPr>
          <w:rFonts w:asciiTheme="majorHAnsi" w:hAnsiTheme="majorHAnsi" w:cstheme="majorHAnsi"/>
          <w:color w:val="000000" w:themeColor="text1"/>
          <w:lang w:val="en-US"/>
        </w:rPr>
        <w:t xml:space="preserve"> &amp; Sawyer</w:t>
      </w:r>
      <w:r w:rsidRPr="00663C3E">
        <w:rPr>
          <w:rFonts w:asciiTheme="majorHAnsi" w:hAnsiTheme="majorHAnsi" w:cstheme="majorHAnsi"/>
          <w:color w:val="000000" w:themeColor="text1"/>
          <w:lang w:val="en-US"/>
        </w:rPr>
        <w:t>, 2012).</w:t>
      </w:r>
    </w:p>
    <w:p w14:paraId="5F54BEC7" w14:textId="71C561E8" w:rsidR="00FA3E8D" w:rsidRPr="00663C3E" w:rsidRDefault="00890A66" w:rsidP="00682CB9">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Figure 1 explains this relationship in Brazil between 2000 and 2010. For better performance of the method, ages between 5 and 65 years are considered for the estimates of the correction factor of mortality rates due to random fluctuations in the number of deaths or the population in some age groups (M</w:t>
      </w:r>
      <w:r w:rsidR="00D343EA" w:rsidRPr="00663C3E">
        <w:rPr>
          <w:rFonts w:asciiTheme="majorHAnsi" w:hAnsiTheme="majorHAnsi" w:cstheme="majorHAnsi"/>
          <w:color w:val="000000" w:themeColor="text1"/>
          <w:lang w:val="en-US"/>
        </w:rPr>
        <w:t>oultrie</w:t>
      </w:r>
      <w:r w:rsidRPr="00663C3E">
        <w:rPr>
          <w:rFonts w:asciiTheme="majorHAnsi" w:hAnsiTheme="majorHAnsi" w:cstheme="majorHAnsi"/>
          <w:color w:val="000000" w:themeColor="text1"/>
          <w:lang w:val="en-US"/>
        </w:rPr>
        <w:t xml:space="preserve"> et al</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2013). </w:t>
      </w:r>
      <w:r w:rsidR="00FA3E8D" w:rsidRPr="00663C3E">
        <w:rPr>
          <w:rFonts w:asciiTheme="majorHAnsi" w:hAnsiTheme="majorHAnsi" w:cstheme="majorHAnsi"/>
          <w:color w:val="000000" w:themeColor="text1"/>
          <w:lang w:val="en-US"/>
        </w:rPr>
        <w:t>After that, we excluded</w:t>
      </w:r>
      <w:r w:rsidRPr="00663C3E">
        <w:rPr>
          <w:rFonts w:asciiTheme="majorHAnsi" w:hAnsiTheme="majorHAnsi" w:cstheme="majorHAnsi"/>
          <w:color w:val="000000" w:themeColor="text1"/>
          <w:lang w:val="en-US"/>
        </w:rPr>
        <w:t xml:space="preserve"> the points and then </w:t>
      </w:r>
      <w:r w:rsidR="00FA3E8D" w:rsidRPr="00663C3E">
        <w:rPr>
          <w:rFonts w:asciiTheme="majorHAnsi" w:hAnsiTheme="majorHAnsi" w:cstheme="majorHAnsi"/>
          <w:color w:val="000000" w:themeColor="text1"/>
          <w:lang w:val="en-US"/>
        </w:rPr>
        <w:t>calculated the standard deviation to</w:t>
      </w:r>
      <w:r w:rsidRPr="00663C3E">
        <w:rPr>
          <w:rFonts w:asciiTheme="majorHAnsi" w:hAnsiTheme="majorHAnsi" w:cstheme="majorHAnsi"/>
          <w:color w:val="000000" w:themeColor="text1"/>
          <w:lang w:val="en-US"/>
        </w:rPr>
        <w:t xml:space="preserve"> calculate the degree of data coverage between the years 2000 and 2010. </w:t>
      </w:r>
      <w:r w:rsidR="00FA3E8D" w:rsidRPr="00663C3E">
        <w:rPr>
          <w:rFonts w:asciiTheme="majorHAnsi" w:hAnsiTheme="majorHAnsi" w:cstheme="majorHAnsi"/>
          <w:color w:val="000000" w:themeColor="text1"/>
          <w:lang w:val="en-US"/>
        </w:rPr>
        <w:t>We highlight</w:t>
      </w:r>
      <w:r w:rsidRPr="00663C3E">
        <w:rPr>
          <w:rFonts w:asciiTheme="majorHAnsi" w:hAnsiTheme="majorHAnsi" w:cstheme="majorHAnsi"/>
          <w:color w:val="000000" w:themeColor="text1"/>
          <w:lang w:val="en-US"/>
        </w:rPr>
        <w:t xml:space="preserve"> the two outliers are represented by the extreme age groups, with an </w:t>
      </w:r>
      <w:r w:rsidR="00FA3E8D" w:rsidRPr="00663C3E">
        <w:rPr>
          <w:rFonts w:asciiTheme="majorHAnsi" w:hAnsiTheme="majorHAnsi" w:cstheme="majorHAnsi"/>
          <w:color w:val="000000" w:themeColor="text1"/>
          <w:lang w:val="en-US"/>
        </w:rPr>
        <w:t>essential</w:t>
      </w:r>
      <w:r w:rsidRPr="00663C3E">
        <w:rPr>
          <w:rFonts w:asciiTheme="majorHAnsi" w:hAnsiTheme="majorHAnsi" w:cstheme="majorHAnsi"/>
          <w:color w:val="000000" w:themeColor="text1"/>
          <w:lang w:val="en-US"/>
        </w:rPr>
        <w:t xml:space="preserve"> under-enumeration in the 0 to 4 years range and an equally important </w:t>
      </w:r>
      <w:r w:rsidR="0086419B" w:rsidRPr="00663C3E">
        <w:rPr>
          <w:rFonts w:asciiTheme="majorHAnsi" w:hAnsiTheme="majorHAnsi" w:cstheme="majorHAnsi"/>
          <w:color w:val="000000" w:themeColor="text1"/>
          <w:lang w:val="en-US"/>
        </w:rPr>
        <w:t>over</w:t>
      </w:r>
      <w:r w:rsidR="00FA3E8D" w:rsidRPr="00663C3E">
        <w:rPr>
          <w:rFonts w:asciiTheme="majorHAnsi" w:hAnsiTheme="majorHAnsi" w:cstheme="majorHAnsi"/>
          <w:color w:val="000000" w:themeColor="text1"/>
          <w:lang w:val="en-US"/>
        </w:rPr>
        <w:t>-</w:t>
      </w:r>
      <w:r w:rsidR="0086419B" w:rsidRPr="00663C3E">
        <w:rPr>
          <w:rFonts w:asciiTheme="majorHAnsi" w:hAnsiTheme="majorHAnsi" w:cstheme="majorHAnsi"/>
          <w:color w:val="000000" w:themeColor="text1"/>
          <w:lang w:val="en-US"/>
        </w:rPr>
        <w:t>numbering</w:t>
      </w:r>
      <w:r w:rsidRPr="00663C3E">
        <w:rPr>
          <w:rFonts w:asciiTheme="majorHAnsi" w:hAnsiTheme="majorHAnsi" w:cstheme="majorHAnsi"/>
          <w:color w:val="000000" w:themeColor="text1"/>
          <w:lang w:val="en-US"/>
        </w:rPr>
        <w:t xml:space="preserve"> in the open range of 80 years and over (dark highlighted points). We exclude these groups f</w:t>
      </w:r>
      <w:r w:rsidR="00FA3E8D" w:rsidRPr="00663C3E">
        <w:rPr>
          <w:rFonts w:asciiTheme="majorHAnsi" w:hAnsiTheme="majorHAnsi" w:cstheme="majorHAnsi"/>
          <w:color w:val="000000" w:themeColor="text1"/>
          <w:lang w:val="en-US"/>
        </w:rPr>
        <w:t>rom</w:t>
      </w:r>
      <w:r w:rsidRPr="00663C3E">
        <w:rPr>
          <w:rFonts w:asciiTheme="majorHAnsi" w:hAnsiTheme="majorHAnsi" w:cstheme="majorHAnsi"/>
          <w:color w:val="000000" w:themeColor="text1"/>
          <w:lang w:val="en-US"/>
        </w:rPr>
        <w:t xml:space="preserve"> the calculations.</w:t>
      </w:r>
    </w:p>
    <w:p w14:paraId="24839072" w14:textId="4DADD830" w:rsidR="00890A66" w:rsidRPr="00663C3E" w:rsidRDefault="00890A66" w:rsidP="00682CB9">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Regarding adult mortality, for males</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there is a slight under-enumeration in the groups between 20 to 24 and 30 to 34 years old, with points below the expected line. The age groups between 35 and 39 years old to 70 to 74 years old remained very close to the line adjusted by the selected points, and the group from 79 to 75 years old shows a slight </w:t>
      </w:r>
      <w:r w:rsidR="0086419B" w:rsidRPr="00663C3E">
        <w:rPr>
          <w:rFonts w:asciiTheme="majorHAnsi" w:hAnsiTheme="majorHAnsi" w:cstheme="majorHAnsi"/>
          <w:color w:val="000000" w:themeColor="text1"/>
          <w:lang w:val="en-US"/>
        </w:rPr>
        <w:t>over</w:t>
      </w:r>
      <w:r w:rsidR="00FA3E8D" w:rsidRPr="00663C3E">
        <w:rPr>
          <w:rFonts w:asciiTheme="majorHAnsi" w:hAnsiTheme="majorHAnsi" w:cstheme="majorHAnsi"/>
          <w:color w:val="000000" w:themeColor="text1"/>
          <w:lang w:val="en-US"/>
        </w:rPr>
        <w:t>-</w:t>
      </w:r>
      <w:r w:rsidR="0086419B" w:rsidRPr="00663C3E">
        <w:rPr>
          <w:rFonts w:asciiTheme="majorHAnsi" w:hAnsiTheme="majorHAnsi" w:cstheme="majorHAnsi"/>
          <w:color w:val="000000" w:themeColor="text1"/>
          <w:lang w:val="en-US"/>
        </w:rPr>
        <w:t>enumeration</w:t>
      </w:r>
      <w:r w:rsidRPr="00663C3E">
        <w:rPr>
          <w:rFonts w:asciiTheme="majorHAnsi" w:hAnsiTheme="majorHAnsi" w:cstheme="majorHAnsi"/>
          <w:color w:val="000000" w:themeColor="text1"/>
          <w:lang w:val="en-US"/>
        </w:rPr>
        <w:t xml:space="preserve">. It is important to emphasize, however, that these </w:t>
      </w:r>
      <w:r w:rsidR="00FA3E8D" w:rsidRPr="00663C3E">
        <w:rPr>
          <w:rFonts w:asciiTheme="majorHAnsi" w:hAnsiTheme="majorHAnsi" w:cstheme="majorHAnsi"/>
          <w:color w:val="000000" w:themeColor="text1"/>
          <w:lang w:val="en-US"/>
        </w:rPr>
        <w:t>differences</w:t>
      </w:r>
      <w:r w:rsidRPr="00663C3E">
        <w:rPr>
          <w:rFonts w:asciiTheme="majorHAnsi" w:hAnsiTheme="majorHAnsi" w:cstheme="majorHAnsi"/>
          <w:color w:val="000000" w:themeColor="text1"/>
          <w:lang w:val="en-US"/>
        </w:rPr>
        <w:t xml:space="preserve"> do not justify the exclusion of these bands. For women, a similar sub-enumeration relationship can be observed for the groups between 30 and 34 years old and 40 to 44 years old. There was no overestimation for any age group except for the one previously excluded. We emphasize that the information </w:t>
      </w:r>
      <w:r w:rsidR="00FA3E8D" w:rsidRPr="00663C3E">
        <w:rPr>
          <w:rFonts w:asciiTheme="majorHAnsi" w:hAnsiTheme="majorHAnsi" w:cstheme="majorHAnsi"/>
          <w:color w:val="000000" w:themeColor="text1"/>
          <w:lang w:val="en-US"/>
        </w:rPr>
        <w:t>is of good quality, especially fo</w:t>
      </w:r>
      <w:r w:rsidRPr="00663C3E">
        <w:rPr>
          <w:rFonts w:asciiTheme="majorHAnsi" w:hAnsiTheme="majorHAnsi" w:cstheme="majorHAnsi"/>
          <w:color w:val="000000" w:themeColor="text1"/>
          <w:lang w:val="en-US"/>
        </w:rPr>
        <w:t>r 2010.</w:t>
      </w:r>
    </w:p>
    <w:p w14:paraId="0F1B51AB" w14:textId="57DE2A37" w:rsidR="00890A66" w:rsidRPr="00663C3E" w:rsidRDefault="00890A66" w:rsidP="00682CB9">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It is important to note, therefore, that there were no outliers in the adult age group. The line that describes the expected number of deaths is stable at almost all age group points. This is possibl</w:t>
      </w:r>
      <w:r w:rsidR="00FA3E8D" w:rsidRPr="00663C3E">
        <w:rPr>
          <w:rFonts w:asciiTheme="majorHAnsi" w:hAnsiTheme="majorHAnsi" w:cstheme="majorHAnsi"/>
          <w:color w:val="000000" w:themeColor="text1"/>
          <w:lang w:val="en-US"/>
        </w:rPr>
        <w:t>e since we use data from the Mortality Information System, not</w:t>
      </w:r>
      <w:r w:rsidRPr="00663C3E">
        <w:rPr>
          <w:rFonts w:asciiTheme="majorHAnsi" w:hAnsiTheme="majorHAnsi" w:cstheme="majorHAnsi"/>
          <w:color w:val="000000" w:themeColor="text1"/>
          <w:lang w:val="en-US"/>
        </w:rPr>
        <w:t xml:space="preserve"> Population Censuses. For these data, since the 2000s, there has been a federative pact </w:t>
      </w:r>
      <w:r w:rsidRPr="00663C3E">
        <w:rPr>
          <w:rFonts w:asciiTheme="majorHAnsi" w:hAnsiTheme="majorHAnsi" w:cstheme="majorHAnsi"/>
          <w:color w:val="000000" w:themeColor="text1"/>
          <w:lang w:val="en-US"/>
        </w:rPr>
        <w:lastRenderedPageBreak/>
        <w:t>(therefore, involving the federal government, states</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and municipalities to reduce the magnitude of ill-defined causes and the active search for death records (F</w:t>
      </w:r>
      <w:r w:rsidR="00D343EA" w:rsidRPr="00663C3E">
        <w:rPr>
          <w:rFonts w:asciiTheme="majorHAnsi" w:hAnsiTheme="majorHAnsi" w:cstheme="majorHAnsi"/>
          <w:color w:val="000000" w:themeColor="text1"/>
          <w:lang w:val="en-US"/>
        </w:rPr>
        <w:t xml:space="preserve">rias &amp; </w:t>
      </w:r>
      <w:proofErr w:type="spellStart"/>
      <w:r w:rsidR="00D343EA" w:rsidRPr="00663C3E">
        <w:rPr>
          <w:rFonts w:asciiTheme="majorHAnsi" w:hAnsiTheme="majorHAnsi" w:cstheme="majorHAnsi"/>
          <w:color w:val="000000" w:themeColor="text1"/>
          <w:lang w:val="en-US"/>
        </w:rPr>
        <w:t>Szwarcwald</w:t>
      </w:r>
      <w:proofErr w:type="spellEnd"/>
      <w:r w:rsidRPr="00663C3E">
        <w:rPr>
          <w:rFonts w:asciiTheme="majorHAnsi" w:hAnsiTheme="majorHAnsi" w:cstheme="majorHAnsi"/>
          <w:color w:val="000000" w:themeColor="text1"/>
          <w:lang w:val="en-US"/>
        </w:rPr>
        <w:t>, 2014; A</w:t>
      </w:r>
      <w:r w:rsidR="00D343EA" w:rsidRPr="00663C3E">
        <w:rPr>
          <w:rFonts w:asciiTheme="majorHAnsi" w:hAnsiTheme="majorHAnsi" w:cstheme="majorHAnsi"/>
          <w:color w:val="000000" w:themeColor="text1"/>
          <w:lang w:val="en-US"/>
        </w:rPr>
        <w:t xml:space="preserve">lmeida &amp; </w:t>
      </w:r>
      <w:proofErr w:type="spellStart"/>
      <w:r w:rsidR="00D343EA" w:rsidRPr="00663C3E">
        <w:rPr>
          <w:rFonts w:asciiTheme="majorHAnsi" w:hAnsiTheme="majorHAnsi" w:cstheme="majorHAnsi"/>
          <w:color w:val="000000" w:themeColor="text1"/>
          <w:lang w:val="en-US"/>
        </w:rPr>
        <w:t>Szwarcwald</w:t>
      </w:r>
      <w:proofErr w:type="spellEnd"/>
      <w:r w:rsidRPr="00663C3E">
        <w:rPr>
          <w:rFonts w:asciiTheme="majorHAnsi" w:hAnsiTheme="majorHAnsi" w:cstheme="majorHAnsi"/>
          <w:color w:val="000000" w:themeColor="text1"/>
          <w:lang w:val="en-US"/>
        </w:rPr>
        <w:t>, 2017), with overall coverage estimated at more than 95% between 2000 and 2010, and with a reduction of more than 50% in ill-defined causes (L</w:t>
      </w:r>
      <w:r w:rsidR="00D343EA" w:rsidRPr="00663C3E">
        <w:rPr>
          <w:rFonts w:asciiTheme="majorHAnsi" w:hAnsiTheme="majorHAnsi" w:cstheme="majorHAnsi"/>
          <w:color w:val="000000" w:themeColor="text1"/>
          <w:lang w:val="en-US"/>
        </w:rPr>
        <w:t>ima et</w:t>
      </w:r>
      <w:r w:rsidRPr="00663C3E">
        <w:rPr>
          <w:rFonts w:asciiTheme="majorHAnsi" w:hAnsiTheme="majorHAnsi" w:cstheme="majorHAnsi"/>
          <w:color w:val="000000" w:themeColor="text1"/>
          <w:lang w:val="en-US"/>
        </w:rPr>
        <w:t xml:space="preserve"> al</w:t>
      </w:r>
      <w:r w:rsidR="00FA3E8D"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2014). </w:t>
      </w:r>
      <w:r w:rsidR="0086419B" w:rsidRPr="00663C3E">
        <w:rPr>
          <w:rFonts w:asciiTheme="majorHAnsi" w:hAnsiTheme="majorHAnsi" w:cstheme="majorHAnsi"/>
          <w:color w:val="000000" w:themeColor="text1"/>
          <w:lang w:val="en-US"/>
        </w:rPr>
        <w:t>Intercensal</w:t>
      </w:r>
      <w:r w:rsidRPr="00663C3E">
        <w:rPr>
          <w:rFonts w:asciiTheme="majorHAnsi" w:hAnsiTheme="majorHAnsi" w:cstheme="majorHAnsi"/>
          <w:color w:val="000000" w:themeColor="text1"/>
          <w:lang w:val="en-US"/>
        </w:rPr>
        <w:t xml:space="preserve"> coverage was 99.1% and 98.9%, respectively, for men and women.</w:t>
      </w:r>
    </w:p>
    <w:p w14:paraId="733D55C0" w14:textId="77777777" w:rsidR="00890A66" w:rsidRPr="00663C3E" w:rsidRDefault="00890A66" w:rsidP="00890A66">
      <w:pPr>
        <w:spacing w:line="240" w:lineRule="auto"/>
        <w:jc w:val="both"/>
        <w:rPr>
          <w:rFonts w:asciiTheme="majorHAnsi" w:hAnsiTheme="majorHAnsi" w:cstheme="majorHAnsi"/>
          <w:color w:val="000000" w:themeColor="text1"/>
          <w:lang w:val="en-US"/>
        </w:rPr>
      </w:pPr>
    </w:p>
    <w:p w14:paraId="0A98C929" w14:textId="77777777" w:rsidR="00890A66" w:rsidRPr="00663C3E" w:rsidRDefault="00890A66" w:rsidP="00890A66">
      <w:pPr>
        <w:spacing w:line="240" w:lineRule="auto"/>
        <w:jc w:val="both"/>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Synthetic Extinct Generations (SEG) Method</w:t>
      </w:r>
    </w:p>
    <w:p w14:paraId="2269F08E" w14:textId="0C4B185B" w:rsidR="00890A66" w:rsidRPr="00663C3E" w:rsidRDefault="00890A66" w:rsidP="00890A66">
      <w:pPr>
        <w:spacing w:line="240" w:lineRule="auto"/>
        <w:ind w:firstLine="708"/>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Bennett and Horiuchi's (1981) method, called the extinct generations (SEG) method, uses age-specific growth rates to convert a</w:t>
      </w:r>
      <w:r w:rsidR="00EC5F87" w:rsidRPr="00663C3E">
        <w:rPr>
          <w:rFonts w:asciiTheme="majorHAnsi" w:hAnsiTheme="majorHAnsi" w:cstheme="majorHAnsi"/>
          <w:color w:val="000000" w:themeColor="text1"/>
          <w:lang w:val="en-US"/>
        </w:rPr>
        <w:t xml:space="preserve"> population's age distribution of deaths into an age distribu</w:t>
      </w:r>
      <w:r w:rsidRPr="00663C3E">
        <w:rPr>
          <w:rFonts w:asciiTheme="majorHAnsi" w:hAnsiTheme="majorHAnsi" w:cstheme="majorHAnsi"/>
          <w:color w:val="000000" w:themeColor="text1"/>
          <w:lang w:val="en-US"/>
        </w:rPr>
        <w:t xml:space="preserve">tion. The author argues that, in a stationary population, the deaths observed from age x are equal to the population at age x, adjusted by the population growth rate by age range. In this way, the deaths of a population at age x+ </w:t>
      </w:r>
      <w:r w:rsidR="00EC5F87" w:rsidRPr="00663C3E">
        <w:rPr>
          <w:rFonts w:asciiTheme="majorHAnsi" w:hAnsiTheme="majorHAnsi" w:cstheme="majorHAnsi"/>
          <w:color w:val="000000" w:themeColor="text1"/>
          <w:lang w:val="en-US"/>
        </w:rPr>
        <w:t>estimate</w:t>
      </w:r>
      <w:r w:rsidRPr="00663C3E">
        <w:rPr>
          <w:rFonts w:asciiTheme="majorHAnsi" w:hAnsiTheme="majorHAnsi" w:cstheme="majorHAnsi"/>
          <w:color w:val="000000" w:themeColor="text1"/>
          <w:lang w:val="en-US"/>
        </w:rPr>
        <w:t xml:space="preserve"> the population at age x. The age-specific population growth rates are then used to adjust the number of deaths from the stationary population to a non-stable population. Finally, the degree of coverage of the death registry corresponds to the ratio between the estimated deaths by the population over age x and the population observed over age x (</w:t>
      </w:r>
      <w:proofErr w:type="spellStart"/>
      <w:r w:rsidRPr="00663C3E">
        <w:rPr>
          <w:rFonts w:asciiTheme="majorHAnsi" w:hAnsiTheme="majorHAnsi" w:cstheme="majorHAnsi"/>
          <w:color w:val="000000" w:themeColor="text1"/>
          <w:lang w:val="en-US"/>
        </w:rPr>
        <w:t>Q</w:t>
      </w:r>
      <w:r w:rsidR="00D343EA" w:rsidRPr="00663C3E">
        <w:rPr>
          <w:rFonts w:asciiTheme="majorHAnsi" w:hAnsiTheme="majorHAnsi" w:cstheme="majorHAnsi"/>
          <w:color w:val="000000" w:themeColor="text1"/>
          <w:lang w:val="en-US"/>
        </w:rPr>
        <w:t>ueiróz</w:t>
      </w:r>
      <w:proofErr w:type="spellEnd"/>
      <w:r w:rsidR="00D343EA" w:rsidRPr="00663C3E">
        <w:rPr>
          <w:rFonts w:asciiTheme="majorHAnsi" w:hAnsiTheme="majorHAnsi" w:cstheme="majorHAnsi"/>
          <w:color w:val="000000" w:themeColor="text1"/>
          <w:lang w:val="en-US"/>
        </w:rPr>
        <w:t xml:space="preserve"> &amp;Sawyer</w:t>
      </w:r>
      <w:r w:rsidRPr="00663C3E">
        <w:rPr>
          <w:rFonts w:asciiTheme="majorHAnsi" w:hAnsiTheme="majorHAnsi" w:cstheme="majorHAnsi"/>
          <w:color w:val="000000" w:themeColor="text1"/>
          <w:lang w:val="en-US"/>
        </w:rPr>
        <w:t>, 2012).</w:t>
      </w:r>
    </w:p>
    <w:p w14:paraId="553E3613" w14:textId="5D85994A" w:rsidR="00890A66" w:rsidRPr="00663C3E" w:rsidRDefault="00890A66" w:rsidP="00890A66">
      <w:pPr>
        <w:spacing w:line="240" w:lineRule="auto"/>
        <w:ind w:firstLine="708"/>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There are differences in the adjustment of each track. </w:t>
      </w:r>
      <w:r w:rsidR="00EC5F87" w:rsidRPr="00663C3E">
        <w:rPr>
          <w:rFonts w:asciiTheme="majorHAnsi" w:hAnsiTheme="majorHAnsi" w:cstheme="majorHAnsi"/>
          <w:color w:val="000000" w:themeColor="text1"/>
          <w:lang w:val="en-US"/>
        </w:rPr>
        <w:t>F</w:t>
      </w:r>
      <w:r w:rsidRPr="00663C3E">
        <w:rPr>
          <w:rFonts w:asciiTheme="majorHAnsi" w:hAnsiTheme="majorHAnsi" w:cstheme="majorHAnsi"/>
          <w:color w:val="000000" w:themeColor="text1"/>
          <w:lang w:val="en-US"/>
        </w:rPr>
        <w:t>irst, growth within the age group is calculated</w:t>
      </w:r>
      <w:r w:rsidR="00EC5F87" w:rsidRPr="00663C3E">
        <w:rPr>
          <w:rFonts w:asciiTheme="majorHAnsi" w:hAnsiTheme="majorHAnsi" w:cstheme="majorHAnsi"/>
          <w:color w:val="000000" w:themeColor="text1"/>
          <w:lang w:val="en-US"/>
        </w:rPr>
        <w:t>. S</w:t>
      </w:r>
      <w:r w:rsidRPr="00663C3E">
        <w:rPr>
          <w:rFonts w:asciiTheme="majorHAnsi" w:hAnsiTheme="majorHAnsi" w:cstheme="majorHAnsi"/>
          <w:color w:val="000000" w:themeColor="text1"/>
          <w:lang w:val="en-US"/>
        </w:rPr>
        <w:t xml:space="preserve">econd, the effect of net migration is subtracted, while a term is added that represents the annual growth rate between 2000 and 2010. </w:t>
      </w:r>
      <w:r w:rsidR="00EC5F87" w:rsidRPr="00663C3E">
        <w:rPr>
          <w:rFonts w:asciiTheme="majorHAnsi" w:hAnsiTheme="majorHAnsi" w:cstheme="majorHAnsi"/>
          <w:color w:val="000000" w:themeColor="text1"/>
          <w:lang w:val="en-US"/>
        </w:rPr>
        <w:t>The estimate is made from interpolation using model tables for the open interval</w:t>
      </w:r>
      <w:r w:rsidRPr="00663C3E">
        <w:rPr>
          <w:rFonts w:asciiTheme="majorHAnsi" w:hAnsiTheme="majorHAnsi" w:cstheme="majorHAnsi"/>
          <w:color w:val="000000" w:themeColor="text1"/>
          <w:lang w:val="en-US"/>
        </w:rPr>
        <w:t xml:space="preserve">. </w:t>
      </w:r>
      <w:r w:rsidR="00EC5F87" w:rsidRPr="00663C3E">
        <w:rPr>
          <w:rFonts w:asciiTheme="majorHAnsi" w:hAnsiTheme="majorHAnsi" w:cstheme="majorHAnsi"/>
          <w:color w:val="000000" w:themeColor="text1"/>
          <w:lang w:val="en-US"/>
        </w:rPr>
        <w:t>We then calculated t</w:t>
      </w:r>
      <w:r w:rsidRPr="00663C3E">
        <w:rPr>
          <w:rFonts w:asciiTheme="majorHAnsi" w:hAnsiTheme="majorHAnsi" w:cstheme="majorHAnsi"/>
          <w:color w:val="000000" w:themeColor="text1"/>
          <w:lang w:val="en-US"/>
        </w:rPr>
        <w:t xml:space="preserve">he degree of coverage of deaths. First, </w:t>
      </w:r>
      <w:r w:rsidR="00EC5F87" w:rsidRPr="00663C3E">
        <w:rPr>
          <w:rFonts w:asciiTheme="majorHAnsi" w:hAnsiTheme="majorHAnsi" w:cstheme="majorHAnsi"/>
          <w:color w:val="000000" w:themeColor="text1"/>
          <w:lang w:val="en-US"/>
        </w:rPr>
        <w:t xml:space="preserve">we computed </w:t>
      </w:r>
      <w:r w:rsidRPr="00663C3E">
        <w:rPr>
          <w:rFonts w:asciiTheme="majorHAnsi" w:hAnsiTheme="majorHAnsi" w:cstheme="majorHAnsi"/>
          <w:color w:val="000000" w:themeColor="text1"/>
          <w:lang w:val="en-US"/>
        </w:rPr>
        <w:t xml:space="preserve">coverage within each age group. </w:t>
      </w:r>
      <w:r w:rsidR="00EC5F87" w:rsidRPr="00663C3E">
        <w:rPr>
          <w:rFonts w:asciiTheme="majorHAnsi" w:hAnsiTheme="majorHAnsi" w:cstheme="majorHAnsi"/>
          <w:color w:val="000000" w:themeColor="text1"/>
          <w:lang w:val="en-US"/>
        </w:rPr>
        <w:t xml:space="preserve">We calculated </w:t>
      </w:r>
      <w:r w:rsidRPr="00663C3E">
        <w:rPr>
          <w:rFonts w:asciiTheme="majorHAnsi" w:hAnsiTheme="majorHAnsi" w:cstheme="majorHAnsi"/>
          <w:color w:val="000000" w:themeColor="text1"/>
          <w:lang w:val="en-US"/>
        </w:rPr>
        <w:t>the total coverage from each initial age interval to the open interval</w:t>
      </w:r>
      <w:r w:rsidR="00EC5F87" w:rsidRPr="00663C3E">
        <w:rPr>
          <w:rFonts w:asciiTheme="majorHAnsi" w:hAnsiTheme="majorHAnsi" w:cstheme="majorHAnsi"/>
          <w:color w:val="000000" w:themeColor="text1"/>
          <w:lang w:val="en-US"/>
        </w:rPr>
        <w:t>. F</w:t>
      </w:r>
      <w:r w:rsidRPr="00663C3E">
        <w:rPr>
          <w:rFonts w:asciiTheme="majorHAnsi" w:hAnsiTheme="majorHAnsi" w:cstheme="majorHAnsi"/>
          <w:color w:val="000000" w:themeColor="text1"/>
          <w:lang w:val="en-US"/>
        </w:rPr>
        <w:t xml:space="preserve">inally, </w:t>
      </w:r>
      <w:r w:rsidR="00EC5F87" w:rsidRPr="00663C3E">
        <w:rPr>
          <w:rFonts w:asciiTheme="majorHAnsi" w:hAnsiTheme="majorHAnsi" w:cstheme="majorHAnsi"/>
          <w:color w:val="000000" w:themeColor="text1"/>
          <w:lang w:val="en-US"/>
        </w:rPr>
        <w:t xml:space="preserve">we defined </w:t>
      </w:r>
      <w:r w:rsidRPr="00663C3E">
        <w:rPr>
          <w:rFonts w:asciiTheme="majorHAnsi" w:hAnsiTheme="majorHAnsi" w:cstheme="majorHAnsi"/>
          <w:color w:val="000000" w:themeColor="text1"/>
          <w:lang w:val="en-US"/>
        </w:rPr>
        <w:t xml:space="preserve">the degree of coverage, specifying the age interval used for this purpose. For Brazil, </w:t>
      </w:r>
      <w:r w:rsidR="00EC5F87" w:rsidRPr="00663C3E">
        <w:rPr>
          <w:rFonts w:asciiTheme="majorHAnsi" w:hAnsiTheme="majorHAnsi" w:cstheme="majorHAnsi"/>
          <w:color w:val="000000" w:themeColor="text1"/>
          <w:lang w:val="en-US"/>
        </w:rPr>
        <w:t xml:space="preserve">we considered </w:t>
      </w:r>
      <w:r w:rsidRPr="00663C3E">
        <w:rPr>
          <w:rFonts w:asciiTheme="majorHAnsi" w:hAnsiTheme="majorHAnsi" w:cstheme="majorHAnsi"/>
          <w:color w:val="000000" w:themeColor="text1"/>
          <w:lang w:val="en-US"/>
        </w:rPr>
        <w:t>the range from 20 to 74 years.</w:t>
      </w:r>
    </w:p>
    <w:p w14:paraId="4EAD6379" w14:textId="77777777" w:rsidR="00890A66" w:rsidRPr="00663C3E" w:rsidRDefault="00890A66" w:rsidP="00890A66">
      <w:pPr>
        <w:spacing w:line="240" w:lineRule="auto"/>
        <w:ind w:firstLine="708"/>
        <w:jc w:val="both"/>
        <w:rPr>
          <w:rFonts w:asciiTheme="majorHAnsi" w:hAnsiTheme="majorHAnsi" w:cstheme="majorHAnsi"/>
          <w:color w:val="000000" w:themeColor="text1"/>
          <w:lang w:val="en-US"/>
        </w:rPr>
      </w:pPr>
    </w:p>
    <w:p w14:paraId="6CCDFA5D" w14:textId="77777777" w:rsidR="00890A66" w:rsidRPr="00663C3E" w:rsidRDefault="00890A66" w:rsidP="00890A66">
      <w:pPr>
        <w:spacing w:line="240" w:lineRule="auto"/>
        <w:jc w:val="both"/>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Synthetic Extinct Generations Adjusted (adjusted SEG) or adjusted or hybrid Extinct Generation method</w:t>
      </w:r>
    </w:p>
    <w:p w14:paraId="350AA0B8" w14:textId="6B63432B" w:rsidR="00890A66" w:rsidRPr="00663C3E" w:rsidRDefault="00890A66" w:rsidP="00890A66">
      <w:pPr>
        <w:spacing w:line="240" w:lineRule="auto"/>
        <w:ind w:firstLine="708"/>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Hill, You</w:t>
      </w:r>
      <w:r w:rsidR="00EC5F87"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and Choi in 2009 proposed that the combination of the methods of Hill (1987) and Bennett and Horiuchi can be more robust than the application of the two methods separately. From this</w:t>
      </w:r>
      <w:r w:rsidR="00EC5F87"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they define the adjusted SEG method, which consists of applying the GGB method to obtain estimates of the change in census coverage (k1/k2) and then using this estimate to adjust one of the two demographic censuses (population enumeration). Then, </w:t>
      </w:r>
      <w:r w:rsidR="00FA548A" w:rsidRPr="00663C3E">
        <w:rPr>
          <w:rFonts w:asciiTheme="majorHAnsi" w:hAnsiTheme="majorHAnsi" w:cstheme="majorHAnsi"/>
          <w:color w:val="000000" w:themeColor="text1"/>
          <w:lang w:val="en-US"/>
        </w:rPr>
        <w:t xml:space="preserve">we applied </w:t>
      </w:r>
      <w:r w:rsidRPr="00663C3E">
        <w:rPr>
          <w:rFonts w:asciiTheme="majorHAnsi" w:hAnsiTheme="majorHAnsi" w:cstheme="majorHAnsi"/>
          <w:color w:val="000000" w:themeColor="text1"/>
          <w:lang w:val="en-US"/>
        </w:rPr>
        <w:t>the SEG method of Bennett and Horiuchi</w:t>
      </w:r>
      <w:r w:rsidR="00FA548A" w:rsidRPr="00663C3E">
        <w:rPr>
          <w:rFonts w:asciiTheme="majorHAnsi" w:hAnsiTheme="majorHAnsi" w:cstheme="majorHAnsi"/>
          <w:color w:val="000000" w:themeColor="text1"/>
          <w:lang w:val="en-US"/>
        </w:rPr>
        <w:t xml:space="preserve"> and</w:t>
      </w:r>
      <w:r w:rsidR="00EC5F87" w:rsidRPr="00663C3E">
        <w:rPr>
          <w:rFonts w:asciiTheme="majorHAnsi" w:hAnsiTheme="majorHAnsi" w:cstheme="majorHAnsi"/>
          <w:color w:val="000000" w:themeColor="text1"/>
          <w:lang w:val="en-US"/>
        </w:rPr>
        <w:t xml:space="preserve"> used</w:t>
      </w:r>
      <w:r w:rsidRPr="00663C3E">
        <w:rPr>
          <w:rFonts w:asciiTheme="majorHAnsi" w:hAnsiTheme="majorHAnsi" w:cstheme="majorHAnsi"/>
          <w:color w:val="000000" w:themeColor="text1"/>
          <w:lang w:val="en-US"/>
        </w:rPr>
        <w:t xml:space="preserve"> the adjusted population to obtain the degree of coverage of the mortality data.</w:t>
      </w:r>
    </w:p>
    <w:p w14:paraId="73C49213" w14:textId="78A80501" w:rsidR="00890A66" w:rsidRPr="00663C3E" w:rsidRDefault="00890A66" w:rsidP="00890A66">
      <w:pPr>
        <w:spacing w:line="240" w:lineRule="auto"/>
        <w:ind w:firstLine="708"/>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The present analysis applied the SEG method adjusted for total Brazil according to sex. Figure 2 shows a trend of better coverage at younger ages and lower coverage at older ages. </w:t>
      </w:r>
      <w:proofErr w:type="gramStart"/>
      <w:r w:rsidRPr="00663C3E">
        <w:rPr>
          <w:rFonts w:asciiTheme="majorHAnsi" w:hAnsiTheme="majorHAnsi" w:cstheme="majorHAnsi"/>
          <w:color w:val="000000" w:themeColor="text1"/>
          <w:lang w:val="en-US"/>
        </w:rPr>
        <w:t>Similar to</w:t>
      </w:r>
      <w:proofErr w:type="gramEnd"/>
      <w:r w:rsidRPr="00663C3E">
        <w:rPr>
          <w:rFonts w:asciiTheme="majorHAnsi" w:hAnsiTheme="majorHAnsi" w:cstheme="majorHAnsi"/>
          <w:color w:val="000000" w:themeColor="text1"/>
          <w:lang w:val="en-US"/>
        </w:rPr>
        <w:t xml:space="preserve"> the visual inspection of the GGB method (Figure 1), the curves with the coverages exclude the age group from 0 to 4 years and the open range of 80 years and over. </w:t>
      </w:r>
      <w:r w:rsidR="00FA548A" w:rsidRPr="00663C3E">
        <w:rPr>
          <w:rFonts w:asciiTheme="majorHAnsi" w:hAnsiTheme="majorHAnsi" w:cstheme="majorHAnsi"/>
          <w:color w:val="000000" w:themeColor="text1"/>
          <w:lang w:val="en-US"/>
        </w:rPr>
        <w:t xml:space="preserve">Generally, we believe this is </w:t>
      </w:r>
      <w:r w:rsidRPr="00663C3E">
        <w:rPr>
          <w:rFonts w:asciiTheme="majorHAnsi" w:hAnsiTheme="majorHAnsi" w:cstheme="majorHAnsi"/>
          <w:color w:val="000000" w:themeColor="text1"/>
          <w:lang w:val="en-US"/>
        </w:rPr>
        <w:t>due to better information accuracy in young adults (</w:t>
      </w:r>
      <w:proofErr w:type="spellStart"/>
      <w:r w:rsidRPr="00663C3E">
        <w:rPr>
          <w:rFonts w:asciiTheme="majorHAnsi" w:hAnsiTheme="majorHAnsi" w:cstheme="majorHAnsi"/>
          <w:color w:val="000000" w:themeColor="text1"/>
          <w:lang w:val="en-US"/>
        </w:rPr>
        <w:t>Q</w:t>
      </w:r>
      <w:r w:rsidR="00D343EA" w:rsidRPr="00663C3E">
        <w:rPr>
          <w:rFonts w:asciiTheme="majorHAnsi" w:hAnsiTheme="majorHAnsi" w:cstheme="majorHAnsi"/>
          <w:color w:val="000000" w:themeColor="text1"/>
          <w:lang w:val="en-US"/>
        </w:rPr>
        <w:t>ueiróz</w:t>
      </w:r>
      <w:proofErr w:type="spellEnd"/>
      <w:r w:rsidR="00D343EA" w:rsidRPr="00663C3E">
        <w:rPr>
          <w:rFonts w:asciiTheme="majorHAnsi" w:hAnsiTheme="majorHAnsi" w:cstheme="majorHAnsi"/>
          <w:color w:val="000000" w:themeColor="text1"/>
          <w:lang w:val="en-US"/>
        </w:rPr>
        <w:t xml:space="preserve"> </w:t>
      </w:r>
      <w:r w:rsidRPr="00663C3E">
        <w:rPr>
          <w:rFonts w:asciiTheme="majorHAnsi" w:hAnsiTheme="majorHAnsi" w:cstheme="majorHAnsi"/>
          <w:color w:val="000000" w:themeColor="text1"/>
          <w:lang w:val="en-US"/>
        </w:rPr>
        <w:t>et al</w:t>
      </w:r>
      <w:r w:rsidR="00FA548A"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2017). The SEG method estimated a degree of coverage c = 98% for men and 96% for women. Already the SEG-adjusted average coverage becomes 96% for men and 93% for women.</w:t>
      </w:r>
    </w:p>
    <w:p w14:paraId="3EA640F9" w14:textId="0A79E11A" w:rsidR="007550C9" w:rsidRPr="00663C3E" w:rsidRDefault="00890A66" w:rsidP="00890A66">
      <w:pPr>
        <w:spacing w:line="240" w:lineRule="auto"/>
        <w:ind w:firstLine="708"/>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Regarding </w:t>
      </w:r>
      <w:r w:rsidR="007550C9" w:rsidRPr="00663C3E">
        <w:rPr>
          <w:rFonts w:asciiTheme="majorHAnsi" w:hAnsiTheme="majorHAnsi" w:cstheme="majorHAnsi"/>
          <w:color w:val="000000" w:themeColor="text1"/>
          <w:lang w:val="en-US"/>
        </w:rPr>
        <w:t>applying</w:t>
      </w:r>
      <w:r w:rsidRPr="00663C3E">
        <w:rPr>
          <w:rFonts w:asciiTheme="majorHAnsi" w:hAnsiTheme="majorHAnsi" w:cstheme="majorHAnsi"/>
          <w:color w:val="000000" w:themeColor="text1"/>
          <w:lang w:val="en-US"/>
        </w:rPr>
        <w:t xml:space="preserve"> the three different methods, </w:t>
      </w:r>
      <w:r w:rsidR="007550C9" w:rsidRPr="00663C3E">
        <w:rPr>
          <w:rFonts w:asciiTheme="majorHAnsi" w:hAnsiTheme="majorHAnsi" w:cstheme="majorHAnsi"/>
          <w:color w:val="000000" w:themeColor="text1"/>
          <w:lang w:val="en-US"/>
        </w:rPr>
        <w:t>we</w:t>
      </w:r>
      <w:r w:rsidRPr="00663C3E">
        <w:rPr>
          <w:rFonts w:asciiTheme="majorHAnsi" w:hAnsiTheme="majorHAnsi" w:cstheme="majorHAnsi"/>
          <w:color w:val="000000" w:themeColor="text1"/>
          <w:lang w:val="en-US"/>
        </w:rPr>
        <w:t xml:space="preserve"> observed that the results are relatively similar, all with a degree of coverage above 90% for both sexes. </w:t>
      </w:r>
      <w:r w:rsidR="007550C9" w:rsidRPr="00663C3E">
        <w:rPr>
          <w:rFonts w:asciiTheme="majorHAnsi" w:hAnsiTheme="majorHAnsi" w:cstheme="majorHAnsi"/>
          <w:color w:val="000000" w:themeColor="text1"/>
          <w:lang w:val="en-US"/>
        </w:rPr>
        <w:t>The three methods required as input are the age distributions of the population from two censuses and the deaths recorded</w:t>
      </w:r>
      <w:r w:rsidRPr="00663C3E">
        <w:rPr>
          <w:rFonts w:asciiTheme="majorHAnsi" w:hAnsiTheme="majorHAnsi" w:cstheme="majorHAnsi"/>
          <w:color w:val="000000" w:themeColor="text1"/>
          <w:lang w:val="en-US"/>
        </w:rPr>
        <w:t xml:space="preserve"> by age. Ultimately, they all provide a correction factor that </w:t>
      </w:r>
      <w:r w:rsidR="007550C9" w:rsidRPr="00663C3E">
        <w:rPr>
          <w:rFonts w:asciiTheme="majorHAnsi" w:hAnsiTheme="majorHAnsi" w:cstheme="majorHAnsi"/>
          <w:color w:val="000000" w:themeColor="text1"/>
          <w:lang w:val="en-US"/>
        </w:rPr>
        <w:t>we</w:t>
      </w:r>
      <w:r w:rsidRPr="00663C3E">
        <w:rPr>
          <w:rFonts w:asciiTheme="majorHAnsi" w:hAnsiTheme="majorHAnsi" w:cstheme="majorHAnsi"/>
          <w:color w:val="000000" w:themeColor="text1"/>
          <w:lang w:val="en-US"/>
        </w:rPr>
        <w:t xml:space="preserve"> multiplied by </w:t>
      </w:r>
      <w:r w:rsidRPr="00663C3E">
        <w:rPr>
          <w:rFonts w:asciiTheme="majorHAnsi" w:hAnsiTheme="majorHAnsi" w:cstheme="majorHAnsi"/>
          <w:color w:val="000000" w:themeColor="text1"/>
          <w:lang w:val="en-US"/>
        </w:rPr>
        <w:lastRenderedPageBreak/>
        <w:t xml:space="preserve">the observed adult mortality rates to obtain the corrected adult mortality rates. Since the SEG method </w:t>
      </w:r>
      <w:r w:rsidR="007550C9" w:rsidRPr="00663C3E">
        <w:rPr>
          <w:rFonts w:asciiTheme="majorHAnsi" w:hAnsiTheme="majorHAnsi" w:cstheme="majorHAnsi"/>
          <w:color w:val="000000" w:themeColor="text1"/>
          <w:lang w:val="en-US"/>
        </w:rPr>
        <w:t>estimates</w:t>
      </w:r>
      <w:r w:rsidRPr="00663C3E">
        <w:rPr>
          <w:rFonts w:asciiTheme="majorHAnsi" w:hAnsiTheme="majorHAnsi" w:cstheme="majorHAnsi"/>
          <w:color w:val="000000" w:themeColor="text1"/>
          <w:lang w:val="en-US"/>
        </w:rPr>
        <w:t xml:space="preserve"> the completeness of the death record for the two census years, it considers the cumulative effect of growth rates and deaths. Because of this, this method seems to be less sensitive to an eventual coverage differential by age group, unlike the GGB method (A</w:t>
      </w:r>
      <w:r w:rsidR="00D343EA" w:rsidRPr="00663C3E">
        <w:rPr>
          <w:rFonts w:asciiTheme="majorHAnsi" w:hAnsiTheme="majorHAnsi" w:cstheme="majorHAnsi"/>
          <w:color w:val="000000" w:themeColor="text1"/>
          <w:lang w:val="en-US"/>
        </w:rPr>
        <w:t>dair &amp; Lopez</w:t>
      </w:r>
      <w:r w:rsidRPr="00663C3E">
        <w:rPr>
          <w:rFonts w:asciiTheme="majorHAnsi" w:hAnsiTheme="majorHAnsi" w:cstheme="majorHAnsi"/>
          <w:color w:val="000000" w:themeColor="text1"/>
          <w:lang w:val="en-US"/>
        </w:rPr>
        <w:t>, 2018).</w:t>
      </w:r>
    </w:p>
    <w:p w14:paraId="78724429" w14:textId="476A0103" w:rsidR="004548BB" w:rsidRPr="00663C3E" w:rsidRDefault="00890A66" w:rsidP="00890A66">
      <w:pPr>
        <w:spacing w:line="240" w:lineRule="auto"/>
        <w:ind w:firstLine="708"/>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On the other hand, the GGB and adjusted SEG methods </w:t>
      </w:r>
      <w:r w:rsidR="007550C9" w:rsidRPr="00663C3E">
        <w:rPr>
          <w:rFonts w:asciiTheme="majorHAnsi" w:hAnsiTheme="majorHAnsi" w:cstheme="majorHAnsi"/>
          <w:color w:val="000000" w:themeColor="text1"/>
          <w:lang w:val="en-US"/>
        </w:rPr>
        <w:t>estimate</w:t>
      </w:r>
      <w:r w:rsidRPr="00663C3E">
        <w:rPr>
          <w:rFonts w:asciiTheme="majorHAnsi" w:hAnsiTheme="majorHAnsi" w:cstheme="majorHAnsi"/>
          <w:color w:val="000000" w:themeColor="text1"/>
          <w:lang w:val="en-US"/>
        </w:rPr>
        <w:t xml:space="preserve"> the completeness of census year </w:t>
      </w:r>
      <w:r w:rsidR="007550C9" w:rsidRPr="00663C3E">
        <w:rPr>
          <w:rFonts w:asciiTheme="majorHAnsi" w:hAnsiTheme="majorHAnsi" w:cstheme="majorHAnsi"/>
          <w:color w:val="000000" w:themeColor="text1"/>
          <w:lang w:val="en-US"/>
        </w:rPr>
        <w:t>two</w:t>
      </w:r>
      <w:r w:rsidRPr="00663C3E">
        <w:rPr>
          <w:rFonts w:asciiTheme="majorHAnsi" w:hAnsiTheme="majorHAnsi" w:cstheme="majorHAnsi"/>
          <w:color w:val="000000" w:themeColor="text1"/>
          <w:lang w:val="en-US"/>
        </w:rPr>
        <w:t xml:space="preserve"> </w:t>
      </w:r>
      <w:r w:rsidR="007550C9" w:rsidRPr="00663C3E">
        <w:rPr>
          <w:rFonts w:asciiTheme="majorHAnsi" w:hAnsiTheme="majorHAnsi" w:cstheme="majorHAnsi"/>
          <w:color w:val="000000" w:themeColor="text1"/>
          <w:lang w:val="en-US"/>
        </w:rPr>
        <w:t>concerning</w:t>
      </w:r>
      <w:r w:rsidRPr="00663C3E">
        <w:rPr>
          <w:rFonts w:asciiTheme="majorHAnsi" w:hAnsiTheme="majorHAnsi" w:cstheme="majorHAnsi"/>
          <w:color w:val="000000" w:themeColor="text1"/>
          <w:lang w:val="en-US"/>
        </w:rPr>
        <w:t xml:space="preserve"> census year 1. Due to the nature of the calculations, the GGB has the advantage of considering changes in coverage between the analysis periods. While the GGB method estimates a sub-enumeration of one of the two input populations </w:t>
      </w:r>
      <w:r w:rsidR="007550C9" w:rsidRPr="00663C3E">
        <w:rPr>
          <w:rFonts w:asciiTheme="majorHAnsi" w:hAnsiTheme="majorHAnsi" w:cstheme="majorHAnsi"/>
          <w:color w:val="000000" w:themeColor="text1"/>
          <w:lang w:val="en-US"/>
        </w:rPr>
        <w:t>concerning</w:t>
      </w:r>
      <w:r w:rsidRPr="00663C3E">
        <w:rPr>
          <w:rFonts w:asciiTheme="majorHAnsi" w:hAnsiTheme="majorHAnsi" w:cstheme="majorHAnsi"/>
          <w:color w:val="000000" w:themeColor="text1"/>
          <w:lang w:val="en-US"/>
        </w:rPr>
        <w:t xml:space="preserve"> the other and applies this correction, the SEG method applies a correction to one of the populations through the period growth rate. In this case, the decision of which population is given considering the direction of the growth rate. </w:t>
      </w:r>
      <w:r w:rsidR="007550C9" w:rsidRPr="00663C3E">
        <w:rPr>
          <w:rFonts w:asciiTheme="majorHAnsi" w:hAnsiTheme="majorHAnsi" w:cstheme="majorHAnsi"/>
          <w:color w:val="000000" w:themeColor="text1"/>
          <w:lang w:val="en-US"/>
        </w:rPr>
        <w:t>I</w:t>
      </w:r>
      <w:r w:rsidRPr="00663C3E">
        <w:rPr>
          <w:rFonts w:asciiTheme="majorHAnsi" w:hAnsiTheme="majorHAnsi" w:cstheme="majorHAnsi"/>
          <w:color w:val="000000" w:themeColor="text1"/>
          <w:lang w:val="en-US"/>
        </w:rPr>
        <w:t>f there is growth, the final population is adjusted; if there is a decline, it is adjusted to the initial population (M</w:t>
      </w:r>
      <w:r w:rsidR="00D343EA" w:rsidRPr="00663C3E">
        <w:rPr>
          <w:rFonts w:asciiTheme="majorHAnsi" w:hAnsiTheme="majorHAnsi" w:cstheme="majorHAnsi"/>
          <w:color w:val="000000" w:themeColor="text1"/>
          <w:lang w:val="en-US"/>
        </w:rPr>
        <w:t xml:space="preserve">urray </w:t>
      </w:r>
      <w:r w:rsidRPr="00663C3E">
        <w:rPr>
          <w:rFonts w:asciiTheme="majorHAnsi" w:hAnsiTheme="majorHAnsi" w:cstheme="majorHAnsi"/>
          <w:color w:val="000000" w:themeColor="text1"/>
          <w:lang w:val="en-US"/>
        </w:rPr>
        <w:t>et al</w:t>
      </w:r>
      <w:r w:rsidR="007550C9"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2010).</w:t>
      </w:r>
    </w:p>
    <w:p w14:paraId="52F028AF" w14:textId="04817509" w:rsidR="00890A66" w:rsidRPr="00663C3E" w:rsidRDefault="00890A66" w:rsidP="00890A66">
      <w:pPr>
        <w:spacing w:line="240" w:lineRule="auto"/>
        <w:ind w:firstLine="708"/>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We designed the visual inspection of the steps of each method, presented in the previous figures, in simple data sheets. The </w:t>
      </w:r>
      <w:r w:rsidR="007550C9" w:rsidRPr="00663C3E">
        <w:rPr>
          <w:rFonts w:asciiTheme="majorHAnsi" w:hAnsiTheme="majorHAnsi" w:cstheme="majorHAnsi"/>
          <w:color w:val="000000" w:themeColor="text1"/>
          <w:lang w:val="en-US"/>
        </w:rPr>
        <w:t>statistic</w:t>
      </w:r>
      <w:r w:rsidRPr="00663C3E">
        <w:rPr>
          <w:rFonts w:asciiTheme="majorHAnsi" w:hAnsiTheme="majorHAnsi" w:cstheme="majorHAnsi"/>
          <w:color w:val="000000" w:themeColor="text1"/>
          <w:lang w:val="en-US"/>
        </w:rPr>
        <w:t xml:space="preserve">s suggest that the results of the SEG and adjusted SEG methods confirm the analysis presented by the GGB method. </w:t>
      </w:r>
      <w:r w:rsidR="007550C9" w:rsidRPr="00663C3E">
        <w:rPr>
          <w:rFonts w:asciiTheme="majorHAnsi" w:hAnsiTheme="majorHAnsi" w:cstheme="majorHAnsi"/>
          <w:color w:val="000000" w:themeColor="text1"/>
          <w:lang w:val="en-US"/>
        </w:rPr>
        <w:t>T</w:t>
      </w:r>
      <w:r w:rsidRPr="00663C3E">
        <w:rPr>
          <w:rFonts w:asciiTheme="majorHAnsi" w:hAnsiTheme="majorHAnsi" w:cstheme="majorHAnsi"/>
          <w:color w:val="000000" w:themeColor="text1"/>
          <w:lang w:val="en-US"/>
        </w:rPr>
        <w:t xml:space="preserve">o prove this statement, we used the R package DDM (Death Registration Coverage Estimation, version 1.0-0) to obtain accurate estimates. The estimates presented by the routine of the package described </w:t>
      </w:r>
      <w:proofErr w:type="gramStart"/>
      <w:r w:rsidRPr="00663C3E">
        <w:rPr>
          <w:rFonts w:asciiTheme="majorHAnsi" w:hAnsiTheme="majorHAnsi" w:cstheme="majorHAnsi"/>
          <w:color w:val="000000" w:themeColor="text1"/>
          <w:lang w:val="en-US"/>
        </w:rPr>
        <w:t>were:</w:t>
      </w:r>
      <w:proofErr w:type="gramEnd"/>
      <w:r w:rsidRPr="00663C3E">
        <w:rPr>
          <w:rFonts w:asciiTheme="majorHAnsi" w:hAnsiTheme="majorHAnsi" w:cstheme="majorHAnsi"/>
          <w:color w:val="000000" w:themeColor="text1"/>
          <w:lang w:val="en-US"/>
        </w:rPr>
        <w:t xml:space="preserve"> for males, the GGB </w:t>
      </w:r>
      <w:r w:rsidR="007550C9" w:rsidRPr="00663C3E">
        <w:rPr>
          <w:rFonts w:asciiTheme="majorHAnsi" w:hAnsiTheme="majorHAnsi" w:cstheme="majorHAnsi"/>
          <w:color w:val="000000" w:themeColor="text1"/>
          <w:lang w:val="en-US"/>
        </w:rPr>
        <w:t>show</w:t>
      </w:r>
      <w:r w:rsidRPr="00663C3E">
        <w:rPr>
          <w:rFonts w:asciiTheme="majorHAnsi" w:hAnsiTheme="majorHAnsi" w:cstheme="majorHAnsi"/>
          <w:color w:val="000000" w:themeColor="text1"/>
          <w:lang w:val="en-US"/>
        </w:rPr>
        <w:t>ed coverage of 100.1%, SEG 97.4%</w:t>
      </w:r>
      <w:r w:rsidR="008B6CF2"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and adjusted SEG 93.6%; for females, the GGB obtained coverage of 98.4%, the SEG 96.2%</w:t>
      </w:r>
      <w:r w:rsidR="008B6CF2"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and the adjusted SEG 91.9%. Finally, we choose the adjusted SEG method. It is important to emphasize that although the demographic methods used previously are used for data obtained in the demographic censuses, we performed the analysis with data from the Mortality Information System through DATASUS (SIM/DATASUS). </w:t>
      </w:r>
      <w:r w:rsidR="008B6CF2" w:rsidRPr="00663C3E">
        <w:rPr>
          <w:rFonts w:asciiTheme="majorHAnsi" w:hAnsiTheme="majorHAnsi" w:cstheme="majorHAnsi"/>
          <w:color w:val="000000" w:themeColor="text1"/>
          <w:lang w:val="en-US"/>
        </w:rPr>
        <w:t>Generally</w:t>
      </w:r>
      <w:r w:rsidRPr="00663C3E">
        <w:rPr>
          <w:rFonts w:asciiTheme="majorHAnsi" w:hAnsiTheme="majorHAnsi" w:cstheme="majorHAnsi"/>
          <w:color w:val="000000" w:themeColor="text1"/>
          <w:lang w:val="en-US"/>
        </w:rPr>
        <w:t>, th</w:t>
      </w:r>
      <w:r w:rsidR="008B6CF2" w:rsidRPr="00663C3E">
        <w:rPr>
          <w:rFonts w:asciiTheme="majorHAnsi" w:hAnsiTheme="majorHAnsi" w:cstheme="majorHAnsi"/>
          <w:color w:val="000000" w:themeColor="text1"/>
          <w:lang w:val="en-US"/>
        </w:rPr>
        <w:t>is information system's quality of mortality data</w:t>
      </w:r>
      <w:r w:rsidRPr="00663C3E">
        <w:rPr>
          <w:rFonts w:asciiTheme="majorHAnsi" w:hAnsiTheme="majorHAnsi" w:cstheme="majorHAnsi"/>
          <w:color w:val="000000" w:themeColor="text1"/>
          <w:lang w:val="en-US"/>
        </w:rPr>
        <w:t xml:space="preserve"> is </w:t>
      </w:r>
      <w:r w:rsidR="008B6CF2" w:rsidRPr="00663C3E">
        <w:rPr>
          <w:rFonts w:asciiTheme="majorHAnsi" w:hAnsiTheme="majorHAnsi" w:cstheme="majorHAnsi"/>
          <w:color w:val="000000" w:themeColor="text1"/>
          <w:lang w:val="en-US"/>
        </w:rPr>
        <w:t>suitable</w:t>
      </w:r>
      <w:r w:rsidRPr="00663C3E">
        <w:rPr>
          <w:rFonts w:asciiTheme="majorHAnsi" w:hAnsiTheme="majorHAnsi" w:cstheme="majorHAnsi"/>
          <w:color w:val="000000" w:themeColor="text1"/>
          <w:lang w:val="en-US"/>
        </w:rPr>
        <w:t xml:space="preserve"> for Brazil (</w:t>
      </w:r>
      <w:proofErr w:type="spellStart"/>
      <w:r w:rsidRPr="00663C3E">
        <w:rPr>
          <w:rFonts w:asciiTheme="majorHAnsi" w:hAnsiTheme="majorHAnsi" w:cstheme="majorHAnsi"/>
          <w:color w:val="000000" w:themeColor="text1"/>
          <w:lang w:val="en-US"/>
        </w:rPr>
        <w:t>Q</w:t>
      </w:r>
      <w:r w:rsidR="00D343EA" w:rsidRPr="00663C3E">
        <w:rPr>
          <w:rFonts w:asciiTheme="majorHAnsi" w:hAnsiTheme="majorHAnsi" w:cstheme="majorHAnsi"/>
          <w:color w:val="000000" w:themeColor="text1"/>
          <w:lang w:val="en-US"/>
        </w:rPr>
        <w:t>ueiróz</w:t>
      </w:r>
      <w:proofErr w:type="spellEnd"/>
      <w:r w:rsidRPr="00663C3E">
        <w:rPr>
          <w:rFonts w:asciiTheme="majorHAnsi" w:hAnsiTheme="majorHAnsi" w:cstheme="majorHAnsi"/>
          <w:color w:val="000000" w:themeColor="text1"/>
          <w:lang w:val="en-US"/>
        </w:rPr>
        <w:t xml:space="preserve"> et al</w:t>
      </w:r>
      <w:r w:rsidR="008B6CF2"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2017). Thus, we applied the correction factor calculated from the degree of underreporting </w:t>
      </w:r>
      <w:r w:rsidR="008B6CF2" w:rsidRPr="00663C3E">
        <w:rPr>
          <w:rFonts w:asciiTheme="majorHAnsi" w:hAnsiTheme="majorHAnsi" w:cstheme="majorHAnsi"/>
          <w:color w:val="000000" w:themeColor="text1"/>
          <w:lang w:val="en-US"/>
        </w:rPr>
        <w:t>of</w:t>
      </w:r>
      <w:r w:rsidRPr="00663C3E">
        <w:rPr>
          <w:rFonts w:asciiTheme="majorHAnsi" w:hAnsiTheme="majorHAnsi" w:cstheme="majorHAnsi"/>
          <w:color w:val="000000" w:themeColor="text1"/>
          <w:lang w:val="en-US"/>
        </w:rPr>
        <w:t xml:space="preserve"> deaths in the years of study.</w:t>
      </w:r>
    </w:p>
    <w:p w14:paraId="23938B4F" w14:textId="6E540FC4" w:rsidR="004548BB" w:rsidRPr="00663C3E" w:rsidRDefault="004548BB" w:rsidP="00CB57BB">
      <w:pPr>
        <w:spacing w:line="240" w:lineRule="auto"/>
        <w:ind w:firstLine="708"/>
        <w:jc w:val="both"/>
        <w:rPr>
          <w:rFonts w:asciiTheme="majorHAnsi" w:hAnsiTheme="majorHAnsi" w:cstheme="majorHAnsi"/>
          <w:color w:val="000000" w:themeColor="text1"/>
          <w:lang w:val="en-US"/>
        </w:rPr>
      </w:pPr>
    </w:p>
    <w:p w14:paraId="29EDC9A4" w14:textId="225D60BC" w:rsidR="004548BB" w:rsidRPr="00663C3E" w:rsidRDefault="004548BB" w:rsidP="00CB57BB">
      <w:pPr>
        <w:spacing w:line="240" w:lineRule="auto"/>
        <w:ind w:firstLine="708"/>
        <w:jc w:val="both"/>
        <w:rPr>
          <w:rFonts w:asciiTheme="majorHAnsi" w:hAnsiTheme="majorHAnsi" w:cstheme="majorHAnsi"/>
          <w:color w:val="000000" w:themeColor="text1"/>
          <w:lang w:val="en-US"/>
        </w:rPr>
      </w:pPr>
    </w:p>
    <w:p w14:paraId="7354E310" w14:textId="750EC2A9" w:rsidR="004548BB" w:rsidRPr="00663C3E" w:rsidRDefault="004548BB" w:rsidP="00CB57BB">
      <w:pPr>
        <w:spacing w:line="240" w:lineRule="auto"/>
        <w:ind w:firstLine="708"/>
        <w:jc w:val="both"/>
        <w:rPr>
          <w:rFonts w:asciiTheme="majorHAnsi" w:hAnsiTheme="majorHAnsi" w:cstheme="majorHAnsi"/>
          <w:color w:val="000000" w:themeColor="text1"/>
          <w:lang w:val="en-US"/>
        </w:rPr>
      </w:pPr>
    </w:p>
    <w:p w14:paraId="524ECC06" w14:textId="33F5DB1F" w:rsidR="00682CB9" w:rsidRPr="00663C3E" w:rsidRDefault="00682CB9" w:rsidP="00CB57BB">
      <w:pPr>
        <w:spacing w:line="240" w:lineRule="auto"/>
        <w:ind w:firstLine="708"/>
        <w:jc w:val="both"/>
        <w:rPr>
          <w:rFonts w:asciiTheme="majorHAnsi" w:hAnsiTheme="majorHAnsi" w:cstheme="majorHAnsi"/>
          <w:color w:val="000000" w:themeColor="text1"/>
          <w:lang w:val="en-US"/>
        </w:rPr>
      </w:pPr>
    </w:p>
    <w:p w14:paraId="79E3FF09" w14:textId="3ABC071D" w:rsidR="00682CB9" w:rsidRPr="00663C3E" w:rsidRDefault="00682CB9" w:rsidP="00CB57BB">
      <w:pPr>
        <w:spacing w:line="240" w:lineRule="auto"/>
        <w:ind w:firstLine="708"/>
        <w:jc w:val="both"/>
        <w:rPr>
          <w:rFonts w:asciiTheme="majorHAnsi" w:hAnsiTheme="majorHAnsi" w:cstheme="majorHAnsi"/>
          <w:color w:val="000000" w:themeColor="text1"/>
          <w:lang w:val="en-US"/>
        </w:rPr>
      </w:pPr>
    </w:p>
    <w:p w14:paraId="5A69AD57" w14:textId="232BB93A" w:rsidR="00682CB9" w:rsidRPr="00663C3E" w:rsidRDefault="00682CB9" w:rsidP="00CB57BB">
      <w:pPr>
        <w:spacing w:line="240" w:lineRule="auto"/>
        <w:ind w:firstLine="708"/>
        <w:jc w:val="both"/>
        <w:rPr>
          <w:rFonts w:asciiTheme="majorHAnsi" w:hAnsiTheme="majorHAnsi" w:cstheme="majorHAnsi"/>
          <w:color w:val="000000" w:themeColor="text1"/>
          <w:lang w:val="en-US"/>
        </w:rPr>
      </w:pPr>
    </w:p>
    <w:p w14:paraId="5F6D98A5" w14:textId="77777777" w:rsidR="00682CB9" w:rsidRPr="00663C3E" w:rsidRDefault="00682CB9" w:rsidP="00CB57BB">
      <w:pPr>
        <w:spacing w:line="240" w:lineRule="auto"/>
        <w:ind w:firstLine="708"/>
        <w:jc w:val="both"/>
        <w:rPr>
          <w:rFonts w:asciiTheme="majorHAnsi" w:hAnsiTheme="majorHAnsi" w:cstheme="majorHAnsi"/>
          <w:color w:val="000000" w:themeColor="text1"/>
          <w:lang w:val="en-US"/>
        </w:rPr>
      </w:pPr>
    </w:p>
    <w:p w14:paraId="659A651A" w14:textId="391918A3" w:rsidR="00CB57BB" w:rsidRPr="00663C3E" w:rsidRDefault="00CB57BB" w:rsidP="00CB57BB">
      <w:pPr>
        <w:ind w:firstLine="708"/>
        <w:jc w:val="both"/>
        <w:rPr>
          <w:rFonts w:asciiTheme="majorHAnsi" w:hAnsiTheme="majorHAnsi" w:cstheme="majorHAnsi"/>
          <w:color w:val="000000" w:themeColor="text1"/>
          <w:lang w:val="en-US"/>
        </w:rPr>
      </w:pPr>
    </w:p>
    <w:p w14:paraId="12D30760" w14:textId="158BEEC4" w:rsidR="007C6144" w:rsidRPr="00663C3E" w:rsidRDefault="007C6144" w:rsidP="00CB57BB">
      <w:pPr>
        <w:ind w:firstLine="708"/>
        <w:jc w:val="both"/>
        <w:rPr>
          <w:rFonts w:asciiTheme="majorHAnsi" w:hAnsiTheme="majorHAnsi" w:cstheme="majorHAnsi"/>
          <w:color w:val="000000" w:themeColor="text1"/>
          <w:lang w:val="en-US"/>
        </w:rPr>
      </w:pPr>
    </w:p>
    <w:p w14:paraId="3453A1DB" w14:textId="0775216F" w:rsidR="00E87801" w:rsidRPr="00663C3E" w:rsidRDefault="00E87801" w:rsidP="00CB57BB">
      <w:pPr>
        <w:ind w:firstLine="708"/>
        <w:jc w:val="both"/>
        <w:rPr>
          <w:rFonts w:asciiTheme="majorHAnsi" w:hAnsiTheme="majorHAnsi" w:cstheme="majorHAnsi"/>
          <w:color w:val="000000" w:themeColor="text1"/>
          <w:lang w:val="en-US"/>
        </w:rPr>
      </w:pPr>
    </w:p>
    <w:p w14:paraId="33904EC1" w14:textId="418D16A8" w:rsidR="00E87801" w:rsidRPr="00663C3E" w:rsidRDefault="00E87801" w:rsidP="00CB57BB">
      <w:pPr>
        <w:ind w:firstLine="708"/>
        <w:jc w:val="both"/>
        <w:rPr>
          <w:rFonts w:asciiTheme="majorHAnsi" w:hAnsiTheme="majorHAnsi" w:cstheme="majorHAnsi"/>
          <w:color w:val="000000" w:themeColor="text1"/>
          <w:lang w:val="en-US"/>
        </w:rPr>
      </w:pPr>
    </w:p>
    <w:p w14:paraId="5CAAF522" w14:textId="7573929D" w:rsidR="00E87801" w:rsidRPr="00663C3E" w:rsidRDefault="00E87801" w:rsidP="00CB57BB">
      <w:pPr>
        <w:ind w:firstLine="708"/>
        <w:jc w:val="both"/>
        <w:rPr>
          <w:rFonts w:asciiTheme="majorHAnsi" w:hAnsiTheme="majorHAnsi" w:cstheme="majorHAnsi"/>
          <w:color w:val="000000" w:themeColor="text1"/>
          <w:lang w:val="en-US"/>
        </w:rPr>
      </w:pPr>
    </w:p>
    <w:p w14:paraId="6DCC81A6" w14:textId="77777777" w:rsidR="00D343EA" w:rsidRPr="00663C3E" w:rsidRDefault="00D343EA" w:rsidP="00CB57BB">
      <w:pPr>
        <w:ind w:firstLine="708"/>
        <w:jc w:val="both"/>
        <w:rPr>
          <w:rFonts w:asciiTheme="majorHAnsi" w:hAnsiTheme="majorHAnsi" w:cstheme="majorHAnsi"/>
          <w:color w:val="000000" w:themeColor="text1"/>
          <w:lang w:val="en-US"/>
        </w:rPr>
      </w:pPr>
    </w:p>
    <w:p w14:paraId="571F30E6" w14:textId="62A3BA6C" w:rsidR="00CF5B42" w:rsidRPr="00663C3E" w:rsidRDefault="00CF5B42" w:rsidP="00CB57BB">
      <w:pPr>
        <w:autoSpaceDE w:val="0"/>
        <w:autoSpaceDN w:val="0"/>
        <w:adjustRightInd w:val="0"/>
        <w:spacing w:line="240" w:lineRule="auto"/>
        <w:jc w:val="both"/>
        <w:rPr>
          <w:rFonts w:asciiTheme="majorHAnsi" w:hAnsiTheme="majorHAnsi" w:cstheme="majorHAnsi"/>
          <w:color w:val="000000" w:themeColor="text1"/>
          <w:lang w:val="en-US"/>
        </w:rPr>
      </w:pPr>
      <w:bookmarkStart w:id="0" w:name="OLE_LINK13"/>
      <w:bookmarkStart w:id="1" w:name="OLE_LINK14"/>
    </w:p>
    <w:p w14:paraId="3B7BDD36" w14:textId="77777777" w:rsidR="00CF5B42" w:rsidRPr="00663C3E" w:rsidRDefault="00CF5B42" w:rsidP="00CF5B42">
      <w:pPr>
        <w:spacing w:line="240" w:lineRule="auto"/>
        <w:jc w:val="both"/>
        <w:rPr>
          <w:rFonts w:asciiTheme="majorHAnsi" w:hAnsiTheme="majorHAnsi" w:cstheme="majorHAnsi"/>
          <w:color w:val="000000" w:themeColor="text1"/>
          <w:lang w:val="en-US"/>
        </w:rPr>
      </w:pPr>
    </w:p>
    <w:tbl>
      <w:tblPr>
        <w:tblW w:w="9400" w:type="dxa"/>
        <w:tblInd w:w="-5" w:type="dxa"/>
        <w:tblLook w:val="04A0" w:firstRow="1" w:lastRow="0" w:firstColumn="1" w:lastColumn="0" w:noHBand="0" w:noVBand="1"/>
      </w:tblPr>
      <w:tblGrid>
        <w:gridCol w:w="9400"/>
      </w:tblGrid>
      <w:tr w:rsidR="0086419B" w:rsidRPr="00663C3E" w14:paraId="14DE43B7" w14:textId="77777777" w:rsidTr="00CF5B42">
        <w:tc>
          <w:tcPr>
            <w:tcW w:w="9400" w:type="dxa"/>
            <w:hideMark/>
          </w:tcPr>
          <w:p w14:paraId="19E22CD2" w14:textId="77777777" w:rsidR="00CF5B42" w:rsidRPr="00663C3E" w:rsidRDefault="00CF5B42" w:rsidP="00CF5B42">
            <w:pPr>
              <w:spacing w:line="240" w:lineRule="auto"/>
              <w:jc w:val="center"/>
              <w:rPr>
                <w:rFonts w:asciiTheme="majorHAnsi" w:hAnsiTheme="majorHAnsi" w:cstheme="majorHAnsi"/>
                <w:b/>
                <w:color w:val="000000" w:themeColor="text1"/>
                <w:lang w:val="en-US"/>
              </w:rPr>
            </w:pPr>
            <w:r w:rsidRPr="00663C3E">
              <w:rPr>
                <w:rFonts w:asciiTheme="majorHAnsi" w:hAnsiTheme="majorHAnsi" w:cstheme="majorHAnsi"/>
                <w:b/>
                <w:color w:val="000000" w:themeColor="text1"/>
                <w:lang w:val="en-US"/>
              </w:rPr>
              <w:lastRenderedPageBreak/>
              <w:t>Male</w:t>
            </w:r>
          </w:p>
        </w:tc>
      </w:tr>
      <w:tr w:rsidR="0086419B" w:rsidRPr="00663C3E" w14:paraId="6771C2FB" w14:textId="77777777" w:rsidTr="00CF5B42">
        <w:tc>
          <w:tcPr>
            <w:tcW w:w="9400" w:type="dxa"/>
            <w:hideMark/>
          </w:tcPr>
          <w:p w14:paraId="2DD88BA3" w14:textId="77777777" w:rsidR="00CF5B42" w:rsidRPr="00663C3E" w:rsidRDefault="00CF5B42" w:rsidP="00CF5B42">
            <w:pPr>
              <w:spacing w:line="240" w:lineRule="auto"/>
              <w:jc w:val="center"/>
              <w:rPr>
                <w:rFonts w:asciiTheme="majorHAnsi" w:hAnsiTheme="majorHAnsi" w:cstheme="majorHAnsi"/>
                <w:b/>
                <w:color w:val="000000" w:themeColor="text1"/>
                <w:lang w:val="en-US"/>
              </w:rPr>
            </w:pPr>
            <w:r w:rsidRPr="00663C3E">
              <w:rPr>
                <w:noProof/>
                <w:color w:val="000000" w:themeColor="text1"/>
                <w:lang w:val="en-US"/>
              </w:rPr>
              <w:drawing>
                <wp:inline distT="0" distB="0" distL="0" distR="0" wp14:anchorId="352D5CE9" wp14:editId="6A11B67F">
                  <wp:extent cx="3646293" cy="3054985"/>
                  <wp:effectExtent l="0" t="0" r="0" b="5715"/>
                  <wp:docPr id="1" name="Chart 1">
                    <a:extLst xmlns:a="http://schemas.openxmlformats.org/drawingml/2006/main">
                      <a:ext uri="{FF2B5EF4-FFF2-40B4-BE49-F238E27FC236}">
                        <a16:creationId xmlns:a16="http://schemas.microsoft.com/office/drawing/2014/main" id="{3A80F68C-2A1E-4C0E-A821-90E5352279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86419B" w:rsidRPr="00663C3E" w14:paraId="6E8C6E59" w14:textId="77777777" w:rsidTr="00CF5B42">
        <w:tc>
          <w:tcPr>
            <w:tcW w:w="9400" w:type="dxa"/>
            <w:hideMark/>
          </w:tcPr>
          <w:p w14:paraId="1251FE10" w14:textId="77777777" w:rsidR="00CF5B42" w:rsidRPr="00663C3E" w:rsidRDefault="00CF5B42" w:rsidP="00CF5B42">
            <w:pPr>
              <w:spacing w:line="240" w:lineRule="auto"/>
              <w:jc w:val="center"/>
              <w:rPr>
                <w:rFonts w:asciiTheme="majorHAnsi" w:hAnsiTheme="majorHAnsi" w:cstheme="majorHAnsi"/>
                <w:b/>
                <w:color w:val="000000" w:themeColor="text1"/>
                <w:lang w:val="en-US"/>
              </w:rPr>
            </w:pPr>
            <w:r w:rsidRPr="00663C3E">
              <w:rPr>
                <w:rFonts w:asciiTheme="majorHAnsi" w:hAnsiTheme="majorHAnsi" w:cstheme="majorHAnsi"/>
                <w:b/>
                <w:color w:val="000000" w:themeColor="text1"/>
                <w:lang w:val="en-US"/>
              </w:rPr>
              <w:t>Female</w:t>
            </w:r>
          </w:p>
        </w:tc>
      </w:tr>
      <w:tr w:rsidR="0086419B" w:rsidRPr="00663C3E" w14:paraId="63E42412" w14:textId="77777777" w:rsidTr="00CF5B42">
        <w:tc>
          <w:tcPr>
            <w:tcW w:w="9400" w:type="dxa"/>
            <w:hideMark/>
          </w:tcPr>
          <w:p w14:paraId="1C723190" w14:textId="77777777" w:rsidR="00CF5B42" w:rsidRPr="00663C3E" w:rsidRDefault="00CF5B42" w:rsidP="00CF5B42">
            <w:pPr>
              <w:tabs>
                <w:tab w:val="left" w:pos="3600"/>
              </w:tabs>
              <w:spacing w:line="240" w:lineRule="auto"/>
              <w:jc w:val="center"/>
              <w:rPr>
                <w:rFonts w:asciiTheme="majorHAnsi" w:hAnsiTheme="majorHAnsi" w:cstheme="majorHAnsi"/>
                <w:b/>
                <w:color w:val="000000" w:themeColor="text1"/>
                <w:lang w:val="en-US"/>
              </w:rPr>
            </w:pPr>
            <w:r w:rsidRPr="00663C3E">
              <w:rPr>
                <w:noProof/>
                <w:color w:val="000000" w:themeColor="text1"/>
                <w:lang w:val="en-US"/>
              </w:rPr>
              <w:drawing>
                <wp:inline distT="0" distB="0" distL="0" distR="0" wp14:anchorId="7390DCEC" wp14:editId="5AA5FB1F">
                  <wp:extent cx="3702204" cy="3155315"/>
                  <wp:effectExtent l="0" t="0" r="0" b="0"/>
                  <wp:docPr id="9" name="Chart 9">
                    <a:extLst xmlns:a="http://schemas.openxmlformats.org/drawingml/2006/main">
                      <a:ext uri="{FF2B5EF4-FFF2-40B4-BE49-F238E27FC236}">
                        <a16:creationId xmlns:a16="http://schemas.microsoft.com/office/drawing/2014/main" id="{696DEC5F-0F43-45AA-BF16-1714532D5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4248C0AC" w14:textId="1A585645" w:rsidR="00CF5B42" w:rsidRPr="00663C3E" w:rsidRDefault="00CF5B42" w:rsidP="00CF5B42">
      <w:pPr>
        <w:autoSpaceDE w:val="0"/>
        <w:autoSpaceDN w:val="0"/>
        <w:adjustRightInd w:val="0"/>
        <w:spacing w:line="240" w:lineRule="auto"/>
        <w:jc w:val="both"/>
        <w:rPr>
          <w:rFonts w:asciiTheme="majorHAnsi" w:hAnsiTheme="majorHAnsi" w:cstheme="majorHAnsi"/>
          <w:color w:val="000000" w:themeColor="text1"/>
          <w:lang w:val="en-US"/>
        </w:rPr>
      </w:pPr>
      <w:r w:rsidRPr="00663C3E">
        <w:rPr>
          <w:rFonts w:asciiTheme="majorHAnsi" w:hAnsiTheme="majorHAnsi" w:cstheme="majorHAnsi"/>
          <w:b/>
          <w:bCs/>
          <w:color w:val="000000" w:themeColor="text1"/>
          <w:lang w:val="en-US"/>
        </w:rPr>
        <w:t>Figure 1:</w:t>
      </w:r>
      <w:r w:rsidRPr="00663C3E">
        <w:rPr>
          <w:rFonts w:asciiTheme="majorHAnsi" w:hAnsiTheme="majorHAnsi" w:cstheme="majorHAnsi"/>
          <w:color w:val="000000" w:themeColor="text1"/>
          <w:lang w:val="en-US"/>
        </w:rPr>
        <w:t xml:space="preserve"> Diagnosis of the difference between partial</w:t>
      </w:r>
      <w:r w:rsidR="00E87801"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birth rate and annual growth vs. death rate using the General Growth Balance (GGB) method. Brazil, 2000 and 2010.</w:t>
      </w:r>
    </w:p>
    <w:p w14:paraId="7C14632B" w14:textId="77777777" w:rsidR="00CF5B42" w:rsidRPr="00663C3E" w:rsidRDefault="00CF5B42" w:rsidP="00CF5B42">
      <w:pPr>
        <w:autoSpaceDE w:val="0"/>
        <w:autoSpaceDN w:val="0"/>
        <w:adjustRightInd w:val="0"/>
        <w:spacing w:line="240" w:lineRule="auto"/>
        <w:jc w:val="both"/>
        <w:rPr>
          <w:rFonts w:asciiTheme="majorHAnsi" w:hAnsiTheme="majorHAnsi" w:cstheme="majorHAnsi"/>
          <w:color w:val="000000" w:themeColor="text1"/>
          <w:lang w:val="en-US"/>
        </w:rPr>
      </w:pPr>
      <w:r w:rsidRPr="00663C3E">
        <w:rPr>
          <w:rFonts w:asciiTheme="majorHAnsi" w:hAnsiTheme="majorHAnsi" w:cstheme="majorHAnsi"/>
          <w:b/>
          <w:bCs/>
          <w:color w:val="000000" w:themeColor="text1"/>
          <w:lang w:val="en-US"/>
        </w:rPr>
        <w:t>Source:</w:t>
      </w:r>
      <w:r w:rsidRPr="00663C3E">
        <w:rPr>
          <w:rFonts w:asciiTheme="majorHAnsi" w:hAnsiTheme="majorHAnsi" w:cstheme="majorHAnsi"/>
          <w:color w:val="000000" w:themeColor="text1"/>
          <w:lang w:val="en-US"/>
        </w:rPr>
        <w:t xml:space="preserve"> Mortality Information System (SIM/DATASUS), 2000 and 2010.</w:t>
      </w:r>
    </w:p>
    <w:p w14:paraId="21FCC7B8" w14:textId="77777777" w:rsidR="00CF5B42" w:rsidRPr="00663C3E" w:rsidRDefault="00CF5B42" w:rsidP="00CB57BB">
      <w:pPr>
        <w:autoSpaceDE w:val="0"/>
        <w:autoSpaceDN w:val="0"/>
        <w:adjustRightInd w:val="0"/>
        <w:spacing w:line="240" w:lineRule="auto"/>
        <w:jc w:val="both"/>
        <w:rPr>
          <w:rFonts w:asciiTheme="majorHAnsi" w:hAnsiTheme="majorHAnsi" w:cstheme="majorHAnsi"/>
          <w:color w:val="000000" w:themeColor="text1"/>
          <w:lang w:val="en-US"/>
        </w:rPr>
      </w:pPr>
    </w:p>
    <w:p w14:paraId="6F8EA199" w14:textId="77777777" w:rsidR="00CB57BB" w:rsidRPr="00663C3E" w:rsidRDefault="00CB57BB" w:rsidP="00CB57BB">
      <w:pPr>
        <w:ind w:firstLine="708"/>
        <w:jc w:val="both"/>
        <w:rPr>
          <w:rFonts w:asciiTheme="majorHAnsi" w:hAnsiTheme="majorHAnsi" w:cstheme="majorHAnsi"/>
          <w:color w:val="000000" w:themeColor="text1"/>
          <w:lang w:val="en-US"/>
        </w:rPr>
      </w:pPr>
    </w:p>
    <w:p w14:paraId="405D2317" w14:textId="5018054B" w:rsidR="0086419B" w:rsidRPr="00663C3E" w:rsidRDefault="0086419B" w:rsidP="00CB57BB">
      <w:pPr>
        <w:pStyle w:val="NormalWeb"/>
        <w:shd w:val="clear" w:color="auto" w:fill="FFFFFF"/>
        <w:spacing w:before="0" w:beforeAutospacing="0" w:after="0" w:afterAutospacing="0"/>
        <w:ind w:firstLine="709"/>
        <w:jc w:val="both"/>
        <w:rPr>
          <w:rFonts w:asciiTheme="majorHAnsi" w:hAnsiTheme="majorHAnsi" w:cstheme="majorHAnsi"/>
          <w:color w:val="000000" w:themeColor="text1"/>
          <w:lang w:val="en-US"/>
        </w:rPr>
        <w:sectPr w:rsidR="0086419B" w:rsidRPr="00663C3E" w:rsidSect="0086419B">
          <w:pgSz w:w="12240" w:h="15840"/>
          <w:pgMar w:top="1134" w:right="1701" w:bottom="1134" w:left="1701" w:header="706" w:footer="706" w:gutter="0"/>
          <w:cols w:space="720"/>
          <w:formProt w:val="0"/>
          <w:docGrid w:linePitch="360" w:charSpace="4096"/>
        </w:sectPr>
      </w:pPr>
    </w:p>
    <w:p w14:paraId="4DDA55E1" w14:textId="77777777" w:rsidR="00CB57BB" w:rsidRPr="00663C3E" w:rsidRDefault="00CB57BB" w:rsidP="0086419B">
      <w:pPr>
        <w:pStyle w:val="NormalWeb"/>
        <w:shd w:val="clear" w:color="auto" w:fill="FFFFFF"/>
        <w:spacing w:before="0" w:beforeAutospacing="0" w:after="0" w:afterAutospacing="0"/>
        <w:jc w:val="both"/>
        <w:rPr>
          <w:rFonts w:asciiTheme="majorHAnsi" w:hAnsiTheme="majorHAnsi" w:cstheme="majorHAnsi"/>
          <w:color w:val="000000" w:themeColor="text1"/>
          <w:lang w:val="en-US"/>
        </w:rPr>
      </w:pPr>
    </w:p>
    <w:tbl>
      <w:tblPr>
        <w:tblW w:w="9048" w:type="dxa"/>
        <w:tblInd w:w="-5" w:type="dxa"/>
        <w:tblLook w:val="04A0" w:firstRow="1" w:lastRow="0" w:firstColumn="1" w:lastColumn="0" w:noHBand="0" w:noVBand="1"/>
      </w:tblPr>
      <w:tblGrid>
        <w:gridCol w:w="4696"/>
        <w:gridCol w:w="4680"/>
      </w:tblGrid>
      <w:tr w:rsidR="0086419B" w:rsidRPr="00663C3E" w14:paraId="565DF0F4" w14:textId="77777777" w:rsidTr="0086419B">
        <w:tc>
          <w:tcPr>
            <w:tcW w:w="4590" w:type="dxa"/>
            <w:hideMark/>
          </w:tcPr>
          <w:p w14:paraId="4C1D76C6" w14:textId="7A18ADB5" w:rsidR="00CB57BB" w:rsidRPr="00663C3E" w:rsidRDefault="00CF5B42" w:rsidP="00575E5C">
            <w:pPr>
              <w:jc w:val="both"/>
              <w:rPr>
                <w:rFonts w:asciiTheme="majorHAnsi" w:hAnsiTheme="majorHAnsi" w:cstheme="majorHAnsi"/>
                <w:color w:val="000000" w:themeColor="text1"/>
                <w:lang w:val="en-US"/>
              </w:rPr>
            </w:pPr>
            <w:r w:rsidRPr="00663C3E">
              <w:rPr>
                <w:noProof/>
                <w:color w:val="000000" w:themeColor="text1"/>
                <w:lang w:val="en-US"/>
              </w:rPr>
              <w:drawing>
                <wp:inline distT="0" distB="0" distL="0" distR="0" wp14:anchorId="1FCCDF1C" wp14:editId="5886234C">
                  <wp:extent cx="2841172" cy="2743200"/>
                  <wp:effectExtent l="0" t="0" r="3810" b="0"/>
                  <wp:docPr id="10" name="Chart 10">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458" w:type="dxa"/>
            <w:hideMark/>
          </w:tcPr>
          <w:p w14:paraId="21626233" w14:textId="1406E072" w:rsidR="00CB57BB" w:rsidRPr="00663C3E" w:rsidRDefault="00CF5B42" w:rsidP="00575E5C">
            <w:pPr>
              <w:jc w:val="both"/>
              <w:rPr>
                <w:rFonts w:asciiTheme="majorHAnsi" w:hAnsiTheme="majorHAnsi" w:cstheme="majorHAnsi"/>
                <w:color w:val="000000" w:themeColor="text1"/>
                <w:lang w:val="en-US"/>
              </w:rPr>
            </w:pPr>
            <w:r w:rsidRPr="00663C3E">
              <w:rPr>
                <w:noProof/>
                <w:color w:val="000000" w:themeColor="text1"/>
                <w:lang w:val="en-US"/>
              </w:rPr>
              <w:drawing>
                <wp:inline distT="0" distB="0" distL="0" distR="0" wp14:anchorId="66DD3A45" wp14:editId="65626252">
                  <wp:extent cx="2834640" cy="2743200"/>
                  <wp:effectExtent l="0" t="0" r="0" b="0"/>
                  <wp:docPr id="11" name="Chart 11">
                    <a:extLst xmlns:a="http://schemas.openxmlformats.org/drawingml/2006/main">
                      <a:ext uri="{FF2B5EF4-FFF2-40B4-BE49-F238E27FC236}">
                        <a16:creationId xmlns:a16="http://schemas.microsoft.com/office/drawing/2014/main" id="{1AE5BAB3-CEC3-4B95-9A4A-D78D6BDEE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86419B" w:rsidRPr="00663C3E" w14:paraId="3FBA5ADB" w14:textId="77777777" w:rsidTr="0086419B">
        <w:tc>
          <w:tcPr>
            <w:tcW w:w="4590" w:type="dxa"/>
            <w:hideMark/>
          </w:tcPr>
          <w:p w14:paraId="6CF1A3D8" w14:textId="65BCE861" w:rsidR="00CB57BB" w:rsidRPr="00663C3E" w:rsidRDefault="00CB57BB" w:rsidP="00575E5C">
            <w:pPr>
              <w:jc w:val="center"/>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Ma</w:t>
            </w:r>
            <w:r w:rsidR="004451A7" w:rsidRPr="00663C3E">
              <w:rPr>
                <w:rFonts w:asciiTheme="majorHAnsi" w:hAnsiTheme="majorHAnsi" w:cstheme="majorHAnsi"/>
                <w:b/>
                <w:bCs/>
                <w:color w:val="000000" w:themeColor="text1"/>
                <w:lang w:val="en-US"/>
              </w:rPr>
              <w:t>le</w:t>
            </w:r>
          </w:p>
        </w:tc>
        <w:tc>
          <w:tcPr>
            <w:tcW w:w="4458" w:type="dxa"/>
            <w:hideMark/>
          </w:tcPr>
          <w:p w14:paraId="0D278231" w14:textId="0C34663C" w:rsidR="00CB57BB" w:rsidRPr="00663C3E" w:rsidRDefault="00CB57BB" w:rsidP="00575E5C">
            <w:pPr>
              <w:jc w:val="center"/>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Fem</w:t>
            </w:r>
            <w:r w:rsidR="004451A7" w:rsidRPr="00663C3E">
              <w:rPr>
                <w:rFonts w:asciiTheme="majorHAnsi" w:hAnsiTheme="majorHAnsi" w:cstheme="majorHAnsi"/>
                <w:b/>
                <w:bCs/>
                <w:color w:val="000000" w:themeColor="text1"/>
                <w:lang w:val="en-US"/>
              </w:rPr>
              <w:t>ale</w:t>
            </w:r>
          </w:p>
        </w:tc>
      </w:tr>
    </w:tbl>
    <w:p w14:paraId="7831F529" w14:textId="77777777" w:rsidR="004451A7" w:rsidRPr="00663C3E" w:rsidRDefault="004451A7" w:rsidP="004451A7">
      <w:pPr>
        <w:spacing w:line="240" w:lineRule="auto"/>
        <w:jc w:val="both"/>
        <w:rPr>
          <w:rFonts w:asciiTheme="majorHAnsi" w:hAnsiTheme="majorHAnsi" w:cstheme="majorHAnsi"/>
          <w:color w:val="000000" w:themeColor="text1"/>
          <w:lang w:val="en-US"/>
        </w:rPr>
      </w:pPr>
      <w:bookmarkStart w:id="2" w:name="_Hlk51014140"/>
      <w:r w:rsidRPr="00663C3E">
        <w:rPr>
          <w:rFonts w:asciiTheme="majorHAnsi" w:hAnsiTheme="majorHAnsi" w:cstheme="majorHAnsi"/>
          <w:b/>
          <w:bCs/>
          <w:color w:val="000000" w:themeColor="text1"/>
          <w:lang w:val="en-US"/>
        </w:rPr>
        <w:t>Figure 2:</w:t>
      </w:r>
      <w:r w:rsidRPr="00663C3E">
        <w:rPr>
          <w:rFonts w:asciiTheme="majorHAnsi" w:hAnsiTheme="majorHAnsi" w:cstheme="majorHAnsi"/>
          <w:color w:val="000000" w:themeColor="text1"/>
          <w:lang w:val="en-US"/>
        </w:rPr>
        <w:t xml:space="preserve"> Age coverage of deaths by sex according to correction method. Brazil, 2000 and 2010.</w:t>
      </w:r>
    </w:p>
    <w:p w14:paraId="055BC1C0" w14:textId="3E3FCFA9" w:rsidR="004451A7" w:rsidRPr="00663C3E" w:rsidRDefault="004451A7" w:rsidP="004451A7">
      <w:pPr>
        <w:spacing w:line="240" w:lineRule="auto"/>
        <w:jc w:val="both"/>
        <w:rPr>
          <w:rFonts w:asciiTheme="majorHAnsi" w:hAnsiTheme="majorHAnsi" w:cstheme="majorHAnsi"/>
          <w:color w:val="000000" w:themeColor="text1"/>
          <w:lang w:val="en-US"/>
        </w:rPr>
      </w:pPr>
      <w:r w:rsidRPr="00663C3E">
        <w:rPr>
          <w:rFonts w:asciiTheme="majorHAnsi" w:hAnsiTheme="majorHAnsi" w:cstheme="majorHAnsi"/>
          <w:b/>
          <w:bCs/>
          <w:color w:val="000000" w:themeColor="text1"/>
          <w:lang w:val="en-US"/>
        </w:rPr>
        <w:t>Source:</w:t>
      </w:r>
      <w:r w:rsidRPr="00663C3E">
        <w:rPr>
          <w:rFonts w:asciiTheme="majorHAnsi" w:hAnsiTheme="majorHAnsi" w:cstheme="majorHAnsi"/>
          <w:color w:val="000000" w:themeColor="text1"/>
          <w:lang w:val="en-US"/>
        </w:rPr>
        <w:t xml:space="preserve"> </w:t>
      </w:r>
      <w:r w:rsidR="002A57C1" w:rsidRPr="00663C3E">
        <w:rPr>
          <w:rFonts w:asciiTheme="majorHAnsi" w:hAnsiTheme="majorHAnsi" w:cstheme="majorHAnsi"/>
          <w:color w:val="000000" w:themeColor="text1"/>
          <w:lang w:val="en-US"/>
        </w:rPr>
        <w:t>Brazilian Bureau of Statistic</w:t>
      </w:r>
      <w:r w:rsidR="00E87801" w:rsidRPr="00663C3E">
        <w:rPr>
          <w:rFonts w:asciiTheme="majorHAnsi" w:hAnsiTheme="majorHAnsi" w:cstheme="majorHAnsi"/>
          <w:color w:val="000000" w:themeColor="text1"/>
          <w:lang w:val="en-US"/>
        </w:rPr>
        <w:t>s</w:t>
      </w:r>
      <w:r w:rsidR="002A57C1" w:rsidRPr="00663C3E">
        <w:rPr>
          <w:rFonts w:asciiTheme="majorHAnsi" w:hAnsiTheme="majorHAnsi" w:cstheme="majorHAnsi"/>
          <w:color w:val="000000" w:themeColor="text1"/>
          <w:lang w:val="en-US"/>
        </w:rPr>
        <w:t xml:space="preserve"> (</w:t>
      </w:r>
      <w:r w:rsidRPr="00663C3E">
        <w:rPr>
          <w:rFonts w:asciiTheme="majorHAnsi" w:hAnsiTheme="majorHAnsi" w:cstheme="majorHAnsi"/>
          <w:color w:val="000000" w:themeColor="text1"/>
          <w:lang w:val="en-US"/>
        </w:rPr>
        <w:t>IBGE</w:t>
      </w:r>
      <w:r w:rsidR="002A57C1"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Census 2000 and 2010Mortality Information System</w:t>
      </w:r>
      <w:r w:rsidR="002A57C1" w:rsidRPr="00663C3E">
        <w:rPr>
          <w:rFonts w:asciiTheme="majorHAnsi" w:hAnsiTheme="majorHAnsi" w:cstheme="majorHAnsi"/>
          <w:color w:val="000000" w:themeColor="text1"/>
          <w:lang w:val="en-US"/>
        </w:rPr>
        <w:t xml:space="preserve"> (</w:t>
      </w:r>
      <w:r w:rsidRPr="00663C3E">
        <w:rPr>
          <w:rFonts w:asciiTheme="majorHAnsi" w:hAnsiTheme="majorHAnsi" w:cstheme="majorHAnsi"/>
          <w:color w:val="000000" w:themeColor="text1"/>
          <w:lang w:val="en-US"/>
        </w:rPr>
        <w:t>SIM</w:t>
      </w:r>
      <w:r w:rsidR="002A57C1" w:rsidRPr="00663C3E">
        <w:rPr>
          <w:rFonts w:asciiTheme="majorHAnsi" w:hAnsiTheme="majorHAnsi" w:cstheme="majorHAnsi"/>
          <w:color w:val="000000" w:themeColor="text1"/>
          <w:lang w:val="en-US"/>
        </w:rPr>
        <w:t>), Ministry of Health</w:t>
      </w:r>
      <w:r w:rsidRPr="00663C3E">
        <w:rPr>
          <w:rFonts w:asciiTheme="majorHAnsi" w:hAnsiTheme="majorHAnsi" w:cstheme="majorHAnsi"/>
          <w:color w:val="000000" w:themeColor="text1"/>
          <w:lang w:val="en-US"/>
        </w:rPr>
        <w:t>.</w:t>
      </w:r>
    </w:p>
    <w:bookmarkEnd w:id="0"/>
    <w:bookmarkEnd w:id="1"/>
    <w:bookmarkEnd w:id="2"/>
    <w:p w14:paraId="219A23C8" w14:textId="77777777" w:rsidR="00CF5B42" w:rsidRPr="00663C3E" w:rsidRDefault="00CF5B42" w:rsidP="00682CB9">
      <w:pPr>
        <w:spacing w:line="240" w:lineRule="auto"/>
        <w:jc w:val="both"/>
        <w:rPr>
          <w:rFonts w:asciiTheme="majorHAnsi" w:hAnsiTheme="majorHAnsi" w:cstheme="majorHAnsi"/>
          <w:color w:val="000000" w:themeColor="text1"/>
          <w:lang w:val="en-US"/>
        </w:rPr>
      </w:pPr>
    </w:p>
    <w:p w14:paraId="04F5A27B" w14:textId="77777777" w:rsidR="00890A66" w:rsidRPr="00663C3E" w:rsidRDefault="00890A66" w:rsidP="00890A66">
      <w:pPr>
        <w:spacing w:line="240" w:lineRule="auto"/>
        <w:jc w:val="both"/>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Correction of causes of death</w:t>
      </w:r>
    </w:p>
    <w:p w14:paraId="5E66F3C4" w14:textId="129E9318" w:rsidR="00890A66" w:rsidRPr="00663C3E" w:rsidRDefault="00890A66" w:rsidP="00890A66">
      <w:pPr>
        <w:spacing w:line="240" w:lineRule="auto"/>
        <w:ind w:firstLine="708"/>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Although the coverage of information on deaths in Brazil has been adequate, </w:t>
      </w:r>
      <w:r w:rsidR="00E87801" w:rsidRPr="00663C3E">
        <w:rPr>
          <w:rFonts w:asciiTheme="majorHAnsi" w:hAnsiTheme="majorHAnsi" w:cstheme="majorHAnsi"/>
          <w:color w:val="000000" w:themeColor="text1"/>
          <w:lang w:val="en-US"/>
        </w:rPr>
        <w:t xml:space="preserve">another aspect related to record quality </w:t>
      </w:r>
      <w:r w:rsidRPr="00663C3E">
        <w:rPr>
          <w:rFonts w:asciiTheme="majorHAnsi" w:hAnsiTheme="majorHAnsi" w:cstheme="majorHAnsi"/>
          <w:color w:val="000000" w:themeColor="text1"/>
          <w:lang w:val="en-US"/>
        </w:rPr>
        <w:t xml:space="preserve">is information according to the cause of death. Indeed, erroneous estimates of mortality rates are a long-standing concern </w:t>
      </w:r>
      <w:r w:rsidR="00E87801" w:rsidRPr="00663C3E">
        <w:rPr>
          <w:rFonts w:asciiTheme="majorHAnsi" w:hAnsiTheme="majorHAnsi" w:cstheme="majorHAnsi"/>
          <w:color w:val="000000" w:themeColor="text1"/>
          <w:lang w:val="en-US"/>
        </w:rPr>
        <w:t>affecting the study of cause-specific mortality in</w:t>
      </w:r>
      <w:r w:rsidRPr="00663C3E">
        <w:rPr>
          <w:rFonts w:asciiTheme="majorHAnsi" w:hAnsiTheme="majorHAnsi" w:cstheme="majorHAnsi"/>
          <w:color w:val="000000" w:themeColor="text1"/>
          <w:lang w:val="en-US"/>
        </w:rPr>
        <w:t xml:space="preserve"> epidemiology and demography. </w:t>
      </w:r>
      <w:r w:rsidR="00E87801" w:rsidRPr="00663C3E">
        <w:rPr>
          <w:rFonts w:asciiTheme="majorHAnsi" w:hAnsiTheme="majorHAnsi" w:cstheme="majorHAnsi"/>
          <w:color w:val="000000" w:themeColor="text1"/>
          <w:lang w:val="en-US"/>
        </w:rPr>
        <w:t>The absence of a defined cause in death records also</w:t>
      </w:r>
      <w:r w:rsidRPr="00663C3E">
        <w:rPr>
          <w:rFonts w:asciiTheme="majorHAnsi" w:hAnsiTheme="majorHAnsi" w:cstheme="majorHAnsi"/>
          <w:color w:val="000000" w:themeColor="text1"/>
          <w:lang w:val="en-US"/>
        </w:rPr>
        <w:t xml:space="preserve"> differs according to </w:t>
      </w:r>
      <w:r w:rsidR="00E87801" w:rsidRPr="00663C3E">
        <w:rPr>
          <w:rFonts w:asciiTheme="majorHAnsi" w:hAnsiTheme="majorHAnsi" w:cstheme="majorHAnsi"/>
          <w:color w:val="000000" w:themeColor="text1"/>
          <w:lang w:val="en-US"/>
        </w:rPr>
        <w:t>specific</w:t>
      </w:r>
      <w:r w:rsidRPr="00663C3E">
        <w:rPr>
          <w:rFonts w:asciiTheme="majorHAnsi" w:hAnsiTheme="majorHAnsi" w:cstheme="majorHAnsi"/>
          <w:color w:val="000000" w:themeColor="text1"/>
          <w:lang w:val="en-US"/>
        </w:rPr>
        <w:t xml:space="preserve"> characteristics, such as sex, race/skin color</w:t>
      </w:r>
      <w:r w:rsidR="00E87801"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and age. </w:t>
      </w:r>
    </w:p>
    <w:p w14:paraId="0FAE7F0F" w14:textId="6A028687" w:rsidR="0086419B" w:rsidRPr="00663C3E" w:rsidRDefault="00890A66" w:rsidP="0086419B">
      <w:pPr>
        <w:spacing w:line="240" w:lineRule="auto"/>
        <w:ind w:firstLine="708"/>
        <w:jc w:val="both"/>
        <w:rPr>
          <w:rFonts w:asciiTheme="majorHAnsi" w:hAnsiTheme="majorHAnsi" w:cstheme="majorHAnsi"/>
          <w:b/>
          <w:bCs/>
          <w:color w:val="000000" w:themeColor="text1"/>
          <w:lang w:val="en-US"/>
        </w:rPr>
      </w:pPr>
      <w:r w:rsidRPr="00663C3E">
        <w:rPr>
          <w:rFonts w:asciiTheme="majorHAnsi" w:hAnsiTheme="majorHAnsi" w:cstheme="majorHAnsi"/>
          <w:color w:val="000000" w:themeColor="text1"/>
          <w:lang w:val="en-US"/>
        </w:rPr>
        <w:t>The number of deaths with ill-defined or unreported causes has been falling in the country. In 2003, there was a proportion close to 4%, which dropped to below 3% until 2015, with a slight increase, up to 3.3% in 2018. However, w</w:t>
      </w:r>
      <w:r w:rsidR="00E87801" w:rsidRPr="00663C3E">
        <w:rPr>
          <w:rFonts w:asciiTheme="majorHAnsi" w:hAnsiTheme="majorHAnsi" w:cstheme="majorHAnsi"/>
          <w:color w:val="000000" w:themeColor="text1"/>
          <w:lang w:val="en-US"/>
        </w:rPr>
        <w:t>e</w:t>
      </w:r>
      <w:r w:rsidRPr="00663C3E">
        <w:rPr>
          <w:rFonts w:asciiTheme="majorHAnsi" w:hAnsiTheme="majorHAnsi" w:cstheme="majorHAnsi"/>
          <w:color w:val="000000" w:themeColor="text1"/>
          <w:lang w:val="en-US"/>
        </w:rPr>
        <w:t xml:space="preserve"> observed a </w:t>
      </w:r>
      <w:r w:rsidR="00E87801" w:rsidRPr="00663C3E">
        <w:rPr>
          <w:rFonts w:asciiTheme="majorHAnsi" w:hAnsiTheme="majorHAnsi" w:cstheme="majorHAnsi"/>
          <w:color w:val="000000" w:themeColor="text1"/>
          <w:lang w:val="en-US"/>
        </w:rPr>
        <w:t>more significant</w:t>
      </w:r>
      <w:r w:rsidRPr="00663C3E">
        <w:rPr>
          <w:rFonts w:asciiTheme="majorHAnsi" w:hAnsiTheme="majorHAnsi" w:cstheme="majorHAnsi"/>
          <w:color w:val="000000" w:themeColor="text1"/>
          <w:lang w:val="en-US"/>
        </w:rPr>
        <w:t xml:space="preserve"> proportion among men, and the discrepancy has been increasing over time (relative difference of 2.76% in 2003 and 17.47% in 2018). </w:t>
      </w:r>
      <w:proofErr w:type="gramStart"/>
      <w:r w:rsidR="00E87801" w:rsidRPr="00663C3E">
        <w:rPr>
          <w:rFonts w:asciiTheme="majorHAnsi" w:hAnsiTheme="majorHAnsi" w:cstheme="majorHAnsi"/>
          <w:color w:val="000000" w:themeColor="text1"/>
          <w:lang w:val="en-US"/>
        </w:rPr>
        <w:t>Concerning</w:t>
      </w:r>
      <w:r w:rsidRPr="00663C3E">
        <w:rPr>
          <w:rFonts w:asciiTheme="majorHAnsi" w:hAnsiTheme="majorHAnsi" w:cstheme="majorHAnsi"/>
          <w:color w:val="000000" w:themeColor="text1"/>
          <w:lang w:val="en-US"/>
        </w:rPr>
        <w:t xml:space="preserve"> race/skin color, there</w:t>
      </w:r>
      <w:proofErr w:type="gramEnd"/>
      <w:r w:rsidRPr="00663C3E">
        <w:rPr>
          <w:rFonts w:asciiTheme="majorHAnsi" w:hAnsiTheme="majorHAnsi" w:cstheme="majorHAnsi"/>
          <w:color w:val="000000" w:themeColor="text1"/>
          <w:lang w:val="en-US"/>
        </w:rPr>
        <w:t xml:space="preserve"> is a systematically higher proportion of ill-defined causes/no information among blacks, with an average difference of 41% (range in the period 37.89% – 46.75%). Finally, </w:t>
      </w:r>
      <w:r w:rsidR="00E87801" w:rsidRPr="00663C3E">
        <w:rPr>
          <w:rFonts w:asciiTheme="majorHAnsi" w:hAnsiTheme="majorHAnsi" w:cstheme="majorHAnsi"/>
          <w:color w:val="000000" w:themeColor="text1"/>
          <w:lang w:val="en-US"/>
        </w:rPr>
        <w:t>about</w:t>
      </w:r>
      <w:r w:rsidRPr="00663C3E">
        <w:rPr>
          <w:rFonts w:asciiTheme="majorHAnsi" w:hAnsiTheme="majorHAnsi" w:cstheme="majorHAnsi"/>
          <w:color w:val="000000" w:themeColor="text1"/>
          <w:lang w:val="en-US"/>
        </w:rPr>
        <w:t xml:space="preserve"> age groups, the intermediate age groups (30 to 39 years old, 40 to 49 years old</w:t>
      </w:r>
      <w:r w:rsidR="00E87801"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and 50 to 59 years old remain with </w:t>
      </w:r>
      <w:r w:rsidR="00E87801" w:rsidRPr="00663C3E">
        <w:rPr>
          <w:rFonts w:asciiTheme="majorHAnsi" w:hAnsiTheme="majorHAnsi" w:cstheme="majorHAnsi"/>
          <w:color w:val="000000" w:themeColor="text1"/>
          <w:lang w:val="en-US"/>
        </w:rPr>
        <w:t>more significant</w:t>
      </w:r>
      <w:r w:rsidRPr="00663C3E">
        <w:rPr>
          <w:rFonts w:asciiTheme="majorHAnsi" w:hAnsiTheme="majorHAnsi" w:cstheme="majorHAnsi"/>
          <w:color w:val="000000" w:themeColor="text1"/>
          <w:lang w:val="en-US"/>
        </w:rPr>
        <w:t xml:space="preserve"> proportions than the other groups. These groups, it is worth mentioning, are the groups in which, hypothetically, deaths from desperation are more prominent. That said, we chose to carry out the distribution.</w:t>
      </w:r>
    </w:p>
    <w:p w14:paraId="4C1AB796" w14:textId="2940D220" w:rsidR="002A57C1" w:rsidRPr="00663C3E" w:rsidRDefault="002A57C1" w:rsidP="002A57C1">
      <w:pPr>
        <w:spacing w:line="240" w:lineRule="auto"/>
        <w:jc w:val="both"/>
        <w:rPr>
          <w:rFonts w:asciiTheme="majorHAnsi" w:hAnsiTheme="majorHAnsi" w:cstheme="majorHAnsi"/>
          <w:b/>
          <w:bCs/>
          <w:color w:val="000000" w:themeColor="text1"/>
          <w:lang w:val="en-US"/>
        </w:rPr>
        <w:sectPr w:rsidR="002A57C1" w:rsidRPr="00663C3E" w:rsidSect="0086419B">
          <w:pgSz w:w="12240" w:h="15840"/>
          <w:pgMar w:top="1134" w:right="1701" w:bottom="1134" w:left="1701" w:header="706" w:footer="706" w:gutter="0"/>
          <w:cols w:space="720"/>
          <w:formProt w:val="0"/>
          <w:docGrid w:linePitch="360" w:charSpace="4096"/>
        </w:sectPr>
      </w:pPr>
    </w:p>
    <w:p w14:paraId="18473674" w14:textId="633EC368" w:rsidR="00890A66" w:rsidRPr="00663C3E" w:rsidRDefault="00E87801" w:rsidP="00890A66">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lastRenderedPageBreak/>
        <w:t xml:space="preserve">We redistributed </w:t>
      </w:r>
      <w:r w:rsidR="00890A66" w:rsidRPr="00663C3E">
        <w:rPr>
          <w:rFonts w:asciiTheme="majorHAnsi" w:hAnsiTheme="majorHAnsi" w:cstheme="majorHAnsi"/>
          <w:color w:val="000000" w:themeColor="text1"/>
          <w:lang w:val="en-US"/>
        </w:rPr>
        <w:t>these deaths by year, sex, age group</w:t>
      </w:r>
      <w:r w:rsidRPr="00663C3E">
        <w:rPr>
          <w:rFonts w:asciiTheme="majorHAnsi" w:hAnsiTheme="majorHAnsi" w:cstheme="majorHAnsi"/>
          <w:color w:val="000000" w:themeColor="text1"/>
          <w:lang w:val="en-US"/>
        </w:rPr>
        <w:t>,</w:t>
      </w:r>
      <w:r w:rsidR="00890A66" w:rsidRPr="00663C3E">
        <w:rPr>
          <w:rFonts w:asciiTheme="majorHAnsi" w:hAnsiTheme="majorHAnsi" w:cstheme="majorHAnsi"/>
          <w:color w:val="000000" w:themeColor="text1"/>
          <w:lang w:val="en-US"/>
        </w:rPr>
        <w:t xml:space="preserve"> and race/skin color for the ICD 10 groups and then to the specific causes within each group.</w:t>
      </w:r>
      <w:r w:rsidRPr="00663C3E">
        <w:rPr>
          <w:rFonts w:asciiTheme="majorHAnsi" w:hAnsiTheme="majorHAnsi" w:cstheme="majorHAnsi"/>
          <w:color w:val="000000" w:themeColor="text1"/>
          <w:lang w:val="en-US"/>
        </w:rPr>
        <w:t xml:space="preserve"> This step aimed at correcting the proportion of deaths classified as ill-defined causes (ICD 10 – R99),</w:t>
      </w:r>
    </w:p>
    <w:p w14:paraId="7F00B14A" w14:textId="4B58DDEF" w:rsidR="00890A66" w:rsidRPr="00663C3E" w:rsidRDefault="00890A66" w:rsidP="00890A66">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We performed this method in three stages, according to the methodology proposed by the World Health Organization (WHO) (M</w:t>
      </w:r>
      <w:r w:rsidR="00D343EA" w:rsidRPr="00663C3E">
        <w:rPr>
          <w:rFonts w:asciiTheme="majorHAnsi" w:hAnsiTheme="majorHAnsi" w:cstheme="majorHAnsi"/>
          <w:color w:val="000000" w:themeColor="text1"/>
          <w:lang w:val="en-US"/>
        </w:rPr>
        <w:t>athers</w:t>
      </w:r>
      <w:r w:rsidRPr="00663C3E">
        <w:rPr>
          <w:rFonts w:asciiTheme="majorHAnsi" w:hAnsiTheme="majorHAnsi" w:cstheme="majorHAnsi"/>
          <w:color w:val="000000" w:themeColor="text1"/>
          <w:lang w:val="en-US"/>
        </w:rPr>
        <w:t xml:space="preserve"> et al</w:t>
      </w:r>
      <w:r w:rsidR="00E87801"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2003):</w:t>
      </w:r>
    </w:p>
    <w:p w14:paraId="589E6A14" w14:textId="0DF39166" w:rsidR="00890A66" w:rsidRPr="00663C3E" w:rsidRDefault="00890A66" w:rsidP="00890A66">
      <w:pPr>
        <w:pStyle w:val="PargrafodaLista"/>
        <w:numPr>
          <w:ilvl w:val="0"/>
          <w:numId w:val="4"/>
        </w:numPr>
        <w:spacing w:line="240" w:lineRule="auto"/>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Step 1:</w:t>
      </w:r>
      <w:r w:rsidR="00272F3F" w:rsidRPr="00663C3E">
        <w:rPr>
          <w:rFonts w:asciiTheme="majorHAnsi" w:hAnsiTheme="majorHAnsi" w:cstheme="majorHAnsi"/>
          <w:color w:val="000000" w:themeColor="text1"/>
          <w:lang w:val="en-US"/>
        </w:rPr>
        <w:t xml:space="preserve"> we verified</w:t>
      </w:r>
      <w:r w:rsidRPr="00663C3E">
        <w:rPr>
          <w:rFonts w:asciiTheme="majorHAnsi" w:hAnsiTheme="majorHAnsi" w:cstheme="majorHAnsi"/>
          <w:color w:val="000000" w:themeColor="text1"/>
          <w:lang w:val="en-US"/>
        </w:rPr>
        <w:t xml:space="preserve"> the proportion of deaths by each cause group relative to the total number of </w:t>
      </w:r>
      <w:proofErr w:type="gramStart"/>
      <w:r w:rsidRPr="00663C3E">
        <w:rPr>
          <w:rFonts w:asciiTheme="majorHAnsi" w:hAnsiTheme="majorHAnsi" w:cstheme="majorHAnsi"/>
          <w:color w:val="000000" w:themeColor="text1"/>
          <w:lang w:val="en-US"/>
        </w:rPr>
        <w:t>deaths;</w:t>
      </w:r>
      <w:proofErr w:type="gramEnd"/>
    </w:p>
    <w:p w14:paraId="50586764" w14:textId="1F9ED987" w:rsidR="00890A66" w:rsidRPr="00663C3E" w:rsidRDefault="00890A66" w:rsidP="00890A66">
      <w:pPr>
        <w:pStyle w:val="PargrafodaLista"/>
        <w:numPr>
          <w:ilvl w:val="0"/>
          <w:numId w:val="4"/>
        </w:numPr>
        <w:spacing w:line="240" w:lineRule="auto"/>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Stage 2: </w:t>
      </w:r>
      <w:r w:rsidR="00272F3F" w:rsidRPr="00663C3E">
        <w:rPr>
          <w:rFonts w:asciiTheme="majorHAnsi" w:hAnsiTheme="majorHAnsi" w:cstheme="majorHAnsi"/>
          <w:color w:val="000000" w:themeColor="text1"/>
          <w:lang w:val="en-US"/>
        </w:rPr>
        <w:t xml:space="preserve">we multiplied </w:t>
      </w:r>
      <w:r w:rsidRPr="00663C3E">
        <w:rPr>
          <w:rFonts w:asciiTheme="majorHAnsi" w:hAnsiTheme="majorHAnsi" w:cstheme="majorHAnsi"/>
          <w:color w:val="000000" w:themeColor="text1"/>
          <w:lang w:val="en-US"/>
        </w:rPr>
        <w:t>these proportions by the number of deaths classified as undetermined or ill-defined causes per year, age group, sex</w:t>
      </w:r>
      <w:r w:rsidR="00272F3F" w:rsidRP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and race/skin </w:t>
      </w:r>
      <w:proofErr w:type="gramStart"/>
      <w:r w:rsidRPr="00663C3E">
        <w:rPr>
          <w:rFonts w:asciiTheme="majorHAnsi" w:hAnsiTheme="majorHAnsi" w:cstheme="majorHAnsi"/>
          <w:color w:val="000000" w:themeColor="text1"/>
          <w:lang w:val="en-US"/>
        </w:rPr>
        <w:t>color;</w:t>
      </w:r>
      <w:proofErr w:type="gramEnd"/>
    </w:p>
    <w:p w14:paraId="6A835745" w14:textId="15B7906F" w:rsidR="00890A66" w:rsidRPr="00663C3E" w:rsidRDefault="00890A66" w:rsidP="00890A66">
      <w:pPr>
        <w:pStyle w:val="PargrafodaLista"/>
        <w:numPr>
          <w:ilvl w:val="0"/>
          <w:numId w:val="4"/>
        </w:numPr>
        <w:spacing w:line="240" w:lineRule="auto"/>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Stage 3: </w:t>
      </w:r>
      <w:r w:rsidR="00272F3F" w:rsidRPr="00663C3E">
        <w:rPr>
          <w:rFonts w:asciiTheme="majorHAnsi" w:hAnsiTheme="majorHAnsi" w:cstheme="majorHAnsi"/>
          <w:color w:val="000000" w:themeColor="text1"/>
          <w:lang w:val="en-US"/>
        </w:rPr>
        <w:t xml:space="preserve">we added </w:t>
      </w:r>
      <w:r w:rsidRPr="00663C3E">
        <w:rPr>
          <w:rFonts w:asciiTheme="majorHAnsi" w:hAnsiTheme="majorHAnsi" w:cstheme="majorHAnsi"/>
          <w:color w:val="000000" w:themeColor="text1"/>
          <w:lang w:val="en-US"/>
        </w:rPr>
        <w:t xml:space="preserve">the value obtained in the previous stage to the number of original deaths in each group of causes, thus </w:t>
      </w:r>
      <w:r w:rsidR="00272F3F" w:rsidRPr="00663C3E">
        <w:rPr>
          <w:rFonts w:asciiTheme="majorHAnsi" w:hAnsiTheme="majorHAnsi" w:cstheme="majorHAnsi"/>
          <w:color w:val="000000" w:themeColor="text1"/>
          <w:lang w:val="en-US"/>
        </w:rPr>
        <w:t>gett</w:t>
      </w:r>
      <w:r w:rsidRPr="00663C3E">
        <w:rPr>
          <w:rFonts w:asciiTheme="majorHAnsi" w:hAnsiTheme="majorHAnsi" w:cstheme="majorHAnsi"/>
          <w:color w:val="000000" w:themeColor="text1"/>
          <w:lang w:val="en-US"/>
        </w:rPr>
        <w:t>ing the number of corrected deaths.</w:t>
      </w:r>
    </w:p>
    <w:p w14:paraId="4BB7DA24" w14:textId="3E2CACD8" w:rsidR="00890A66" w:rsidRPr="00663C3E" w:rsidRDefault="00890A66" w:rsidP="00890A66">
      <w:pPr>
        <w:spacing w:line="240" w:lineRule="auto"/>
        <w:ind w:firstLine="36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These three steps are then repeated within each group for redistribution by specific causes within each group, considering the codes of causes associated with despair cited in the methods.</w:t>
      </w:r>
    </w:p>
    <w:p w14:paraId="67387C61" w14:textId="11C58CCE" w:rsidR="00890A66" w:rsidRPr="00663C3E" w:rsidRDefault="00890A66" w:rsidP="00890A66">
      <w:pPr>
        <w:spacing w:line="240" w:lineRule="auto"/>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We then applied the correction factor to the number of deaths and redistributed the deaths by cause. In this way, we obtained data adjusted for the level of mortality and equally to correct for the pattern by </w:t>
      </w:r>
      <w:r w:rsidR="00272F3F" w:rsidRPr="00663C3E">
        <w:rPr>
          <w:rFonts w:asciiTheme="majorHAnsi" w:hAnsiTheme="majorHAnsi" w:cstheme="majorHAnsi"/>
          <w:color w:val="000000" w:themeColor="text1"/>
          <w:lang w:val="en-US"/>
        </w:rPr>
        <w:t xml:space="preserve">a </w:t>
      </w:r>
      <w:r w:rsidRPr="00663C3E">
        <w:rPr>
          <w:rFonts w:asciiTheme="majorHAnsi" w:hAnsiTheme="majorHAnsi" w:cstheme="majorHAnsi"/>
          <w:color w:val="000000" w:themeColor="text1"/>
          <w:lang w:val="en-US"/>
        </w:rPr>
        <w:t xml:space="preserve">specific cause. </w:t>
      </w:r>
      <w:r w:rsidR="00272F3F" w:rsidRPr="00663C3E">
        <w:rPr>
          <w:rFonts w:asciiTheme="majorHAnsi" w:hAnsiTheme="majorHAnsi" w:cstheme="majorHAnsi"/>
          <w:color w:val="000000" w:themeColor="text1"/>
          <w:lang w:val="en-US"/>
        </w:rPr>
        <w:t>T</w:t>
      </w:r>
      <w:r w:rsidRPr="00663C3E">
        <w:rPr>
          <w:rFonts w:asciiTheme="majorHAnsi" w:hAnsiTheme="majorHAnsi" w:cstheme="majorHAnsi"/>
          <w:color w:val="000000" w:themeColor="text1"/>
          <w:lang w:val="en-US"/>
        </w:rPr>
        <w:t>hese procedures guarantee the necessary adjustments to estimate the mortality rate based on the correction of the numerator of the rates</w:t>
      </w:r>
      <w:r w:rsidR="00272F3F" w:rsidRPr="00663C3E">
        <w:rPr>
          <w:rFonts w:asciiTheme="majorHAnsi" w:hAnsiTheme="majorHAnsi" w:cstheme="majorHAnsi"/>
          <w:color w:val="000000" w:themeColor="text1"/>
          <w:lang w:val="en-US"/>
        </w:rPr>
        <w:t>. O</w:t>
      </w:r>
      <w:r w:rsidRPr="00663C3E">
        <w:rPr>
          <w:rFonts w:asciiTheme="majorHAnsi" w:hAnsiTheme="majorHAnsi" w:cstheme="majorHAnsi"/>
          <w:color w:val="000000" w:themeColor="text1"/>
          <w:lang w:val="en-US"/>
        </w:rPr>
        <w:t>n the other hand, to ensure equal quality of information on the population (therefore, on the denominator of the fraction), we used population estimates made by the Brazilian Institute of Geography and Statistics (IBGE).</w:t>
      </w:r>
    </w:p>
    <w:p w14:paraId="1B4F622B" w14:textId="7D088541" w:rsidR="00890A66" w:rsidRPr="00663C3E" w:rsidRDefault="00890A66" w:rsidP="00890A66">
      <w:pPr>
        <w:spacing w:line="240" w:lineRule="auto"/>
        <w:ind w:firstLine="720"/>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From the necessary corrections, we proceed to the analysis that will seek to answer the research questions effectively. First, from a description of the indicators, for a later analytical phase, as follows.</w:t>
      </w:r>
    </w:p>
    <w:p w14:paraId="6CC5C357" w14:textId="5DF8ECE5" w:rsidR="00CB57BB" w:rsidRPr="00663C3E" w:rsidRDefault="00CB57BB" w:rsidP="00CB57BB">
      <w:pPr>
        <w:spacing w:line="240" w:lineRule="auto"/>
        <w:rPr>
          <w:color w:val="000000" w:themeColor="text1"/>
          <w:lang w:val="en-US"/>
        </w:rPr>
      </w:pPr>
    </w:p>
    <w:p w14:paraId="39D5757D" w14:textId="70C4D46B" w:rsidR="00ED3889" w:rsidRPr="00663C3E" w:rsidRDefault="00ED3889" w:rsidP="00CB57BB">
      <w:pPr>
        <w:spacing w:line="240" w:lineRule="auto"/>
        <w:rPr>
          <w:rFonts w:asciiTheme="majorHAnsi" w:hAnsiTheme="majorHAnsi" w:cstheme="majorHAnsi"/>
          <w:b/>
          <w:bCs/>
          <w:color w:val="000000" w:themeColor="text1"/>
          <w:lang w:val="en-US"/>
        </w:rPr>
      </w:pPr>
      <w:r w:rsidRPr="00663C3E">
        <w:rPr>
          <w:rFonts w:asciiTheme="majorHAnsi" w:hAnsiTheme="majorHAnsi" w:cstheme="majorHAnsi"/>
          <w:b/>
          <w:bCs/>
          <w:color w:val="000000" w:themeColor="text1"/>
          <w:lang w:val="en-US"/>
        </w:rPr>
        <w:t>REFERENCES</w:t>
      </w:r>
    </w:p>
    <w:p w14:paraId="2E429F0F" w14:textId="104C5F9F" w:rsidR="0044243A" w:rsidRPr="00663C3E" w:rsidRDefault="0044243A" w:rsidP="00CB57BB">
      <w:pPr>
        <w:pStyle w:val="PargrafodaLista"/>
        <w:numPr>
          <w:ilvl w:val="0"/>
          <w:numId w:val="3"/>
        </w:numPr>
        <w:spacing w:line="240" w:lineRule="auto"/>
        <w:ind w:right="-93"/>
        <w:jc w:val="both"/>
        <w:rPr>
          <w:rFonts w:asciiTheme="majorHAnsi" w:hAnsiTheme="majorHAnsi" w:cstheme="majorHAnsi"/>
          <w:color w:val="000000" w:themeColor="text1"/>
          <w:lang w:val="en-US"/>
        </w:rPr>
      </w:pPr>
      <w:r w:rsidRPr="00663C3E">
        <w:rPr>
          <w:rFonts w:asciiTheme="majorHAnsi" w:hAnsiTheme="majorHAnsi" w:cstheme="majorHAnsi"/>
          <w:lang w:val="en-US"/>
        </w:rPr>
        <w:t>ADAIR T</w:t>
      </w:r>
      <w:r w:rsidR="00663C3E">
        <w:rPr>
          <w:rFonts w:asciiTheme="majorHAnsi" w:hAnsiTheme="majorHAnsi" w:cstheme="majorHAnsi"/>
          <w:lang w:val="en-US"/>
        </w:rPr>
        <w:t>,</w:t>
      </w:r>
      <w:r w:rsidRPr="00663C3E">
        <w:rPr>
          <w:rFonts w:asciiTheme="majorHAnsi" w:hAnsiTheme="majorHAnsi" w:cstheme="majorHAnsi"/>
          <w:lang w:val="en-US"/>
        </w:rPr>
        <w:t xml:space="preserve"> LOPEZ AD.</w:t>
      </w:r>
      <w:r w:rsidRPr="00663C3E">
        <w:rPr>
          <w:rFonts w:asciiTheme="majorHAnsi" w:hAnsiTheme="majorHAnsi" w:cstheme="majorHAnsi"/>
          <w:shd w:val="clear" w:color="auto" w:fill="FFFFFF"/>
          <w:lang w:val="en-US"/>
        </w:rPr>
        <w:t xml:space="preserve"> Estimating the completeness of death registration: An empirical method. </w:t>
      </w:r>
      <w:proofErr w:type="spellStart"/>
      <w:r w:rsidRPr="00663C3E">
        <w:rPr>
          <w:rFonts w:asciiTheme="majorHAnsi" w:hAnsiTheme="majorHAnsi" w:cstheme="majorHAnsi"/>
          <w:lang w:val="en-US"/>
        </w:rPr>
        <w:t>PLoS</w:t>
      </w:r>
      <w:proofErr w:type="spellEnd"/>
      <w:r w:rsidRPr="00663C3E">
        <w:rPr>
          <w:rFonts w:asciiTheme="majorHAnsi" w:hAnsiTheme="majorHAnsi" w:cstheme="majorHAnsi"/>
          <w:lang w:val="en-US"/>
        </w:rPr>
        <w:t xml:space="preserve"> One. 2018; 13(5</w:t>
      </w:r>
      <w:proofErr w:type="gramStart"/>
      <w:r w:rsidRPr="00663C3E">
        <w:rPr>
          <w:rFonts w:asciiTheme="majorHAnsi" w:hAnsiTheme="majorHAnsi" w:cstheme="majorHAnsi"/>
          <w:lang w:val="en-US"/>
        </w:rPr>
        <w:t>):e</w:t>
      </w:r>
      <w:proofErr w:type="gramEnd"/>
      <w:r w:rsidRPr="00663C3E">
        <w:rPr>
          <w:rFonts w:asciiTheme="majorHAnsi" w:hAnsiTheme="majorHAnsi" w:cstheme="majorHAnsi"/>
          <w:lang w:val="en-US"/>
        </w:rPr>
        <w:t>0197047.</w:t>
      </w:r>
    </w:p>
    <w:p w14:paraId="4CDCBD7E" w14:textId="593F5143" w:rsidR="0044243A" w:rsidRPr="00663C3E" w:rsidRDefault="0044243A" w:rsidP="00FD042F">
      <w:pPr>
        <w:pStyle w:val="PargrafodaLista"/>
        <w:numPr>
          <w:ilvl w:val="0"/>
          <w:numId w:val="3"/>
        </w:numPr>
        <w:spacing w:line="240" w:lineRule="auto"/>
        <w:ind w:right="-93"/>
        <w:jc w:val="both"/>
        <w:rPr>
          <w:rFonts w:asciiTheme="majorHAnsi" w:hAnsiTheme="majorHAnsi" w:cstheme="majorHAnsi"/>
          <w:color w:val="000000" w:themeColor="text1"/>
          <w:kern w:val="36"/>
          <w:lang w:val="en-US"/>
        </w:rPr>
      </w:pPr>
      <w:r w:rsidRPr="00663C3E">
        <w:rPr>
          <w:rFonts w:asciiTheme="majorHAnsi" w:hAnsiTheme="majorHAnsi" w:cstheme="majorHAnsi"/>
          <w:color w:val="000000" w:themeColor="text1"/>
          <w:lang w:val="en-US"/>
        </w:rPr>
        <w:t>ALMEIDA WS</w:t>
      </w:r>
      <w:r w:rsid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SZWARCWALD CL. </w:t>
      </w:r>
      <w:proofErr w:type="spellStart"/>
      <w:r w:rsidRPr="00663C3E">
        <w:rPr>
          <w:rFonts w:asciiTheme="majorHAnsi" w:hAnsiTheme="majorHAnsi" w:cstheme="majorHAnsi"/>
          <w:color w:val="000000" w:themeColor="text1"/>
          <w:lang w:val="en-US"/>
        </w:rPr>
        <w:t>Adequação</w:t>
      </w:r>
      <w:proofErr w:type="spellEnd"/>
      <w:r w:rsidRPr="00663C3E">
        <w:rPr>
          <w:rFonts w:asciiTheme="majorHAnsi" w:hAnsiTheme="majorHAnsi" w:cstheme="majorHAnsi"/>
          <w:color w:val="000000" w:themeColor="text1"/>
          <w:lang w:val="en-US"/>
        </w:rPr>
        <w:t xml:space="preserve"> das </w:t>
      </w:r>
      <w:proofErr w:type="spellStart"/>
      <w:r w:rsidRPr="00663C3E">
        <w:rPr>
          <w:rFonts w:asciiTheme="majorHAnsi" w:hAnsiTheme="majorHAnsi" w:cstheme="majorHAnsi"/>
          <w:color w:val="000000" w:themeColor="text1"/>
          <w:lang w:val="en-US"/>
        </w:rPr>
        <w:t>informações</w:t>
      </w:r>
      <w:proofErr w:type="spellEnd"/>
      <w:r w:rsidRPr="00663C3E">
        <w:rPr>
          <w:rFonts w:asciiTheme="majorHAnsi" w:hAnsiTheme="majorHAnsi" w:cstheme="majorHAnsi"/>
          <w:color w:val="000000" w:themeColor="text1"/>
          <w:lang w:val="en-US"/>
        </w:rPr>
        <w:t xml:space="preserve"> de </w:t>
      </w:r>
      <w:proofErr w:type="spellStart"/>
      <w:r w:rsidRPr="00663C3E">
        <w:rPr>
          <w:rFonts w:asciiTheme="majorHAnsi" w:hAnsiTheme="majorHAnsi" w:cstheme="majorHAnsi"/>
          <w:color w:val="000000" w:themeColor="text1"/>
          <w:lang w:val="en-US"/>
        </w:rPr>
        <w:t>mortalidade</w:t>
      </w:r>
      <w:proofErr w:type="spellEnd"/>
      <w:r w:rsidRPr="00663C3E">
        <w:rPr>
          <w:rFonts w:asciiTheme="majorHAnsi" w:hAnsiTheme="majorHAnsi" w:cstheme="majorHAnsi"/>
          <w:color w:val="000000" w:themeColor="text1"/>
          <w:lang w:val="en-US"/>
        </w:rPr>
        <w:t xml:space="preserve"> e </w:t>
      </w:r>
      <w:proofErr w:type="spellStart"/>
      <w:r w:rsidRPr="00663C3E">
        <w:rPr>
          <w:rFonts w:asciiTheme="majorHAnsi" w:hAnsiTheme="majorHAnsi" w:cstheme="majorHAnsi"/>
          <w:color w:val="000000" w:themeColor="text1"/>
          <w:lang w:val="en-US"/>
        </w:rPr>
        <w:t>correção</w:t>
      </w:r>
      <w:proofErr w:type="spellEnd"/>
      <w:r w:rsidRPr="00663C3E">
        <w:rPr>
          <w:rFonts w:asciiTheme="majorHAnsi" w:hAnsiTheme="majorHAnsi" w:cstheme="majorHAnsi"/>
          <w:color w:val="000000" w:themeColor="text1"/>
          <w:lang w:val="en-US"/>
        </w:rPr>
        <w:t xml:space="preserve"> dos </w:t>
      </w:r>
      <w:proofErr w:type="spellStart"/>
      <w:r w:rsidRPr="00663C3E">
        <w:rPr>
          <w:rFonts w:asciiTheme="majorHAnsi" w:hAnsiTheme="majorHAnsi" w:cstheme="majorHAnsi"/>
          <w:color w:val="000000" w:themeColor="text1"/>
          <w:lang w:val="en-US"/>
        </w:rPr>
        <w:t>óbitos</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informados</w:t>
      </w:r>
      <w:proofErr w:type="spellEnd"/>
      <w:r w:rsidRPr="00663C3E">
        <w:rPr>
          <w:rFonts w:asciiTheme="majorHAnsi" w:hAnsiTheme="majorHAnsi" w:cstheme="majorHAnsi"/>
          <w:color w:val="000000" w:themeColor="text1"/>
          <w:lang w:val="en-US"/>
        </w:rPr>
        <w:t xml:space="preserve"> a </w:t>
      </w:r>
      <w:proofErr w:type="spellStart"/>
      <w:r w:rsidRPr="00663C3E">
        <w:rPr>
          <w:rFonts w:asciiTheme="majorHAnsi" w:hAnsiTheme="majorHAnsi" w:cstheme="majorHAnsi"/>
          <w:color w:val="000000" w:themeColor="text1"/>
          <w:lang w:val="en-US"/>
        </w:rPr>
        <w:t>partir</w:t>
      </w:r>
      <w:proofErr w:type="spellEnd"/>
      <w:r w:rsidRPr="00663C3E">
        <w:rPr>
          <w:rFonts w:asciiTheme="majorHAnsi" w:hAnsiTheme="majorHAnsi" w:cstheme="majorHAnsi"/>
          <w:color w:val="000000" w:themeColor="text1"/>
          <w:lang w:val="en-US"/>
        </w:rPr>
        <w:t xml:space="preserve"> da </w:t>
      </w:r>
      <w:proofErr w:type="spellStart"/>
      <w:r w:rsidRPr="00663C3E">
        <w:rPr>
          <w:rFonts w:asciiTheme="majorHAnsi" w:hAnsiTheme="majorHAnsi" w:cstheme="majorHAnsi"/>
          <w:color w:val="000000" w:themeColor="text1"/>
          <w:lang w:val="en-US"/>
        </w:rPr>
        <w:t>Pesquisa</w:t>
      </w:r>
      <w:proofErr w:type="spellEnd"/>
      <w:r w:rsidRPr="00663C3E">
        <w:rPr>
          <w:rFonts w:asciiTheme="majorHAnsi" w:hAnsiTheme="majorHAnsi" w:cstheme="majorHAnsi"/>
          <w:color w:val="000000" w:themeColor="text1"/>
          <w:lang w:val="en-US"/>
        </w:rPr>
        <w:t xml:space="preserve"> de </w:t>
      </w:r>
      <w:proofErr w:type="spellStart"/>
      <w:r w:rsidRPr="00663C3E">
        <w:rPr>
          <w:rFonts w:asciiTheme="majorHAnsi" w:hAnsiTheme="majorHAnsi" w:cstheme="majorHAnsi"/>
          <w:color w:val="000000" w:themeColor="text1"/>
          <w:lang w:val="en-US"/>
        </w:rPr>
        <w:t>Busca</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Ativa</w:t>
      </w:r>
      <w:proofErr w:type="spellEnd"/>
      <w:r w:rsidRPr="00663C3E">
        <w:rPr>
          <w:rFonts w:asciiTheme="majorHAnsi" w:hAnsiTheme="majorHAnsi" w:cstheme="majorHAnsi"/>
          <w:color w:val="000000" w:themeColor="text1"/>
          <w:lang w:val="en-US"/>
        </w:rPr>
        <w:t>. </w:t>
      </w:r>
      <w:proofErr w:type="spellStart"/>
      <w:r w:rsidRPr="00663C3E">
        <w:rPr>
          <w:rFonts w:asciiTheme="majorHAnsi" w:hAnsiTheme="majorHAnsi" w:cstheme="majorHAnsi"/>
          <w:color w:val="000000" w:themeColor="text1"/>
          <w:lang w:val="en-US"/>
        </w:rPr>
        <w:t>Ciência</w:t>
      </w:r>
      <w:proofErr w:type="spellEnd"/>
      <w:r w:rsidRPr="00663C3E">
        <w:rPr>
          <w:rFonts w:asciiTheme="majorHAnsi" w:hAnsiTheme="majorHAnsi" w:cstheme="majorHAnsi"/>
          <w:color w:val="000000" w:themeColor="text1"/>
          <w:lang w:val="en-US"/>
        </w:rPr>
        <w:t xml:space="preserve"> &amp; </w:t>
      </w:r>
      <w:proofErr w:type="spellStart"/>
      <w:r w:rsidRPr="00663C3E">
        <w:rPr>
          <w:rFonts w:asciiTheme="majorHAnsi" w:hAnsiTheme="majorHAnsi" w:cstheme="majorHAnsi"/>
          <w:color w:val="000000" w:themeColor="text1"/>
          <w:lang w:val="en-US"/>
        </w:rPr>
        <w:t>Saúde</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Coletiva</w:t>
      </w:r>
      <w:proofErr w:type="spellEnd"/>
      <w:r w:rsidRPr="00663C3E">
        <w:rPr>
          <w:rFonts w:asciiTheme="majorHAnsi" w:hAnsiTheme="majorHAnsi" w:cstheme="majorHAnsi"/>
          <w:color w:val="000000" w:themeColor="text1"/>
          <w:lang w:val="en-US"/>
        </w:rPr>
        <w:t>. 2017; 22(10): 3193-3203.</w:t>
      </w:r>
    </w:p>
    <w:p w14:paraId="4B5E69B5" w14:textId="4BD3EADD" w:rsidR="0044243A" w:rsidRPr="00663C3E" w:rsidRDefault="0044243A" w:rsidP="00FD042F">
      <w:pPr>
        <w:pStyle w:val="PargrafodaLista"/>
        <w:numPr>
          <w:ilvl w:val="0"/>
          <w:numId w:val="3"/>
        </w:numPr>
        <w:spacing w:line="240" w:lineRule="auto"/>
        <w:ind w:right="-93"/>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BENNET NG</w:t>
      </w:r>
      <w:r w:rsid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HORIUCHI S. Mortality Estimation from Registered Deaths in Less Developed Countries. Demography. 1984; 21(2): 217-233.</w:t>
      </w:r>
    </w:p>
    <w:p w14:paraId="000A23EB" w14:textId="066F26B3" w:rsidR="0044243A" w:rsidRPr="00663C3E" w:rsidRDefault="0044243A" w:rsidP="00FD042F">
      <w:pPr>
        <w:pStyle w:val="PargrafodaLista"/>
        <w:numPr>
          <w:ilvl w:val="0"/>
          <w:numId w:val="3"/>
        </w:numPr>
        <w:spacing w:line="240" w:lineRule="auto"/>
        <w:ind w:right="-93"/>
        <w:jc w:val="both"/>
        <w:rPr>
          <w:rFonts w:asciiTheme="majorHAnsi" w:hAnsiTheme="majorHAnsi" w:cstheme="majorHAnsi"/>
          <w:color w:val="000000" w:themeColor="text1"/>
          <w:shd w:val="clear" w:color="auto" w:fill="FFFFFF"/>
          <w:lang w:val="en-US"/>
        </w:rPr>
      </w:pPr>
      <w:r w:rsidRPr="00663C3E">
        <w:rPr>
          <w:rFonts w:asciiTheme="majorHAnsi" w:hAnsiTheme="majorHAnsi" w:cstheme="majorHAnsi"/>
          <w:color w:val="000000" w:themeColor="text1"/>
          <w:shd w:val="clear" w:color="auto" w:fill="FFFFFF"/>
          <w:lang w:val="en-US"/>
        </w:rPr>
        <w:t>FRIAS PG</w:t>
      </w:r>
      <w:r w:rsidR="00663C3E">
        <w:rPr>
          <w:rFonts w:asciiTheme="majorHAnsi" w:hAnsiTheme="majorHAnsi" w:cstheme="majorHAnsi"/>
          <w:color w:val="000000" w:themeColor="text1"/>
          <w:shd w:val="clear" w:color="auto" w:fill="FFFFFF"/>
          <w:lang w:val="en-US"/>
        </w:rPr>
        <w:t>,</w:t>
      </w:r>
      <w:r w:rsidRPr="00663C3E">
        <w:rPr>
          <w:rFonts w:asciiTheme="majorHAnsi" w:hAnsiTheme="majorHAnsi" w:cstheme="majorHAnsi"/>
          <w:color w:val="000000" w:themeColor="text1"/>
          <w:shd w:val="clear" w:color="auto" w:fill="FFFFFF"/>
          <w:lang w:val="en-US"/>
        </w:rPr>
        <w:t xml:space="preserve"> SZWARCWALD CL</w:t>
      </w:r>
      <w:r w:rsidR="00663C3E">
        <w:rPr>
          <w:rFonts w:asciiTheme="majorHAnsi" w:hAnsiTheme="majorHAnsi" w:cstheme="majorHAnsi"/>
          <w:color w:val="000000" w:themeColor="text1"/>
          <w:shd w:val="clear" w:color="auto" w:fill="FFFFFF"/>
          <w:lang w:val="en-US"/>
        </w:rPr>
        <w:t>,</w:t>
      </w:r>
      <w:r w:rsidRPr="00663C3E">
        <w:rPr>
          <w:rFonts w:asciiTheme="majorHAnsi" w:hAnsiTheme="majorHAnsi" w:cstheme="majorHAnsi"/>
          <w:color w:val="000000" w:themeColor="text1"/>
          <w:shd w:val="clear" w:color="auto" w:fill="FFFFFF"/>
          <w:lang w:val="en-US"/>
        </w:rPr>
        <w:t xml:space="preserve"> LIRA PIC. </w:t>
      </w:r>
      <w:proofErr w:type="spellStart"/>
      <w:r w:rsidRPr="00663C3E">
        <w:rPr>
          <w:rFonts w:asciiTheme="majorHAnsi" w:hAnsiTheme="majorHAnsi" w:cstheme="majorHAnsi"/>
          <w:color w:val="000000" w:themeColor="text1"/>
          <w:shd w:val="clear" w:color="auto" w:fill="FFFFFF"/>
          <w:lang w:val="en-US"/>
        </w:rPr>
        <w:t>Avaliação</w:t>
      </w:r>
      <w:proofErr w:type="spellEnd"/>
      <w:r w:rsidRPr="00663C3E">
        <w:rPr>
          <w:rFonts w:asciiTheme="majorHAnsi" w:hAnsiTheme="majorHAnsi" w:cstheme="majorHAnsi"/>
          <w:color w:val="000000" w:themeColor="text1"/>
          <w:shd w:val="clear" w:color="auto" w:fill="FFFFFF"/>
          <w:lang w:val="en-US"/>
        </w:rPr>
        <w:t xml:space="preserve"> dos </w:t>
      </w:r>
      <w:proofErr w:type="spellStart"/>
      <w:r w:rsidRPr="00663C3E">
        <w:rPr>
          <w:rFonts w:asciiTheme="majorHAnsi" w:hAnsiTheme="majorHAnsi" w:cstheme="majorHAnsi"/>
          <w:color w:val="000000" w:themeColor="text1"/>
          <w:shd w:val="clear" w:color="auto" w:fill="FFFFFF"/>
          <w:lang w:val="en-US"/>
        </w:rPr>
        <w:t>sistemas</w:t>
      </w:r>
      <w:proofErr w:type="spellEnd"/>
      <w:r w:rsidRPr="00663C3E">
        <w:rPr>
          <w:rFonts w:asciiTheme="majorHAnsi" w:hAnsiTheme="majorHAnsi" w:cstheme="majorHAnsi"/>
          <w:color w:val="000000" w:themeColor="text1"/>
          <w:shd w:val="clear" w:color="auto" w:fill="FFFFFF"/>
          <w:lang w:val="en-US"/>
        </w:rPr>
        <w:t xml:space="preserve"> de </w:t>
      </w:r>
      <w:proofErr w:type="spellStart"/>
      <w:r w:rsidRPr="00663C3E">
        <w:rPr>
          <w:rFonts w:asciiTheme="majorHAnsi" w:hAnsiTheme="majorHAnsi" w:cstheme="majorHAnsi"/>
          <w:color w:val="000000" w:themeColor="text1"/>
          <w:shd w:val="clear" w:color="auto" w:fill="FFFFFF"/>
          <w:lang w:val="en-US"/>
        </w:rPr>
        <w:t>informações</w:t>
      </w:r>
      <w:proofErr w:type="spellEnd"/>
      <w:r w:rsidRPr="00663C3E">
        <w:rPr>
          <w:rFonts w:asciiTheme="majorHAnsi" w:hAnsiTheme="majorHAnsi" w:cstheme="majorHAnsi"/>
          <w:color w:val="000000" w:themeColor="text1"/>
          <w:shd w:val="clear" w:color="auto" w:fill="FFFFFF"/>
          <w:lang w:val="en-US"/>
        </w:rPr>
        <w:t xml:space="preserve"> </w:t>
      </w:r>
      <w:proofErr w:type="spellStart"/>
      <w:r w:rsidRPr="00663C3E">
        <w:rPr>
          <w:rFonts w:asciiTheme="majorHAnsi" w:hAnsiTheme="majorHAnsi" w:cstheme="majorHAnsi"/>
          <w:color w:val="000000" w:themeColor="text1"/>
          <w:shd w:val="clear" w:color="auto" w:fill="FFFFFF"/>
          <w:lang w:val="en-US"/>
        </w:rPr>
        <w:t>sobre</w:t>
      </w:r>
      <w:proofErr w:type="spellEnd"/>
      <w:r w:rsidRPr="00663C3E">
        <w:rPr>
          <w:rFonts w:asciiTheme="majorHAnsi" w:hAnsiTheme="majorHAnsi" w:cstheme="majorHAnsi"/>
          <w:color w:val="000000" w:themeColor="text1"/>
          <w:shd w:val="clear" w:color="auto" w:fill="FFFFFF"/>
          <w:lang w:val="en-US"/>
        </w:rPr>
        <w:t xml:space="preserve"> </w:t>
      </w:r>
      <w:proofErr w:type="spellStart"/>
      <w:r w:rsidRPr="00663C3E">
        <w:rPr>
          <w:rFonts w:asciiTheme="majorHAnsi" w:hAnsiTheme="majorHAnsi" w:cstheme="majorHAnsi"/>
          <w:color w:val="000000" w:themeColor="text1"/>
          <w:shd w:val="clear" w:color="auto" w:fill="FFFFFF"/>
          <w:lang w:val="en-US"/>
        </w:rPr>
        <w:t>nascidos</w:t>
      </w:r>
      <w:proofErr w:type="spellEnd"/>
      <w:r w:rsidRPr="00663C3E">
        <w:rPr>
          <w:rFonts w:asciiTheme="majorHAnsi" w:hAnsiTheme="majorHAnsi" w:cstheme="majorHAnsi"/>
          <w:color w:val="000000" w:themeColor="text1"/>
          <w:shd w:val="clear" w:color="auto" w:fill="FFFFFF"/>
          <w:lang w:val="en-US"/>
        </w:rPr>
        <w:t xml:space="preserve"> </w:t>
      </w:r>
      <w:proofErr w:type="spellStart"/>
      <w:r w:rsidRPr="00663C3E">
        <w:rPr>
          <w:rFonts w:asciiTheme="majorHAnsi" w:hAnsiTheme="majorHAnsi" w:cstheme="majorHAnsi"/>
          <w:color w:val="000000" w:themeColor="text1"/>
          <w:shd w:val="clear" w:color="auto" w:fill="FFFFFF"/>
          <w:lang w:val="en-US"/>
        </w:rPr>
        <w:t>vivos</w:t>
      </w:r>
      <w:proofErr w:type="spellEnd"/>
      <w:r w:rsidRPr="00663C3E">
        <w:rPr>
          <w:rFonts w:asciiTheme="majorHAnsi" w:hAnsiTheme="majorHAnsi" w:cstheme="majorHAnsi"/>
          <w:color w:val="000000" w:themeColor="text1"/>
          <w:shd w:val="clear" w:color="auto" w:fill="FFFFFF"/>
          <w:lang w:val="en-US"/>
        </w:rPr>
        <w:t xml:space="preserve"> e </w:t>
      </w:r>
      <w:proofErr w:type="spellStart"/>
      <w:r w:rsidRPr="00663C3E">
        <w:rPr>
          <w:rFonts w:asciiTheme="majorHAnsi" w:hAnsiTheme="majorHAnsi" w:cstheme="majorHAnsi"/>
          <w:color w:val="000000" w:themeColor="text1"/>
          <w:shd w:val="clear" w:color="auto" w:fill="FFFFFF"/>
          <w:lang w:val="en-US"/>
        </w:rPr>
        <w:t>óbitos</w:t>
      </w:r>
      <w:proofErr w:type="spellEnd"/>
      <w:r w:rsidRPr="00663C3E">
        <w:rPr>
          <w:rFonts w:asciiTheme="majorHAnsi" w:hAnsiTheme="majorHAnsi" w:cstheme="majorHAnsi"/>
          <w:color w:val="000000" w:themeColor="text1"/>
          <w:shd w:val="clear" w:color="auto" w:fill="FFFFFF"/>
          <w:lang w:val="en-US"/>
        </w:rPr>
        <w:t xml:space="preserve"> no Brasil </w:t>
      </w:r>
      <w:proofErr w:type="spellStart"/>
      <w:r w:rsidRPr="00663C3E">
        <w:rPr>
          <w:rFonts w:asciiTheme="majorHAnsi" w:hAnsiTheme="majorHAnsi" w:cstheme="majorHAnsi"/>
          <w:color w:val="000000" w:themeColor="text1"/>
          <w:shd w:val="clear" w:color="auto" w:fill="FFFFFF"/>
          <w:lang w:val="en-US"/>
        </w:rPr>
        <w:t>na</w:t>
      </w:r>
      <w:proofErr w:type="spellEnd"/>
      <w:r w:rsidRPr="00663C3E">
        <w:rPr>
          <w:rFonts w:asciiTheme="majorHAnsi" w:hAnsiTheme="majorHAnsi" w:cstheme="majorHAnsi"/>
          <w:color w:val="000000" w:themeColor="text1"/>
          <w:shd w:val="clear" w:color="auto" w:fill="FFFFFF"/>
          <w:lang w:val="en-US"/>
        </w:rPr>
        <w:t xml:space="preserve"> </w:t>
      </w:r>
      <w:proofErr w:type="spellStart"/>
      <w:r w:rsidRPr="00663C3E">
        <w:rPr>
          <w:rFonts w:asciiTheme="majorHAnsi" w:hAnsiTheme="majorHAnsi" w:cstheme="majorHAnsi"/>
          <w:color w:val="000000" w:themeColor="text1"/>
          <w:shd w:val="clear" w:color="auto" w:fill="FFFFFF"/>
          <w:lang w:val="en-US"/>
        </w:rPr>
        <w:t>década</w:t>
      </w:r>
      <w:proofErr w:type="spellEnd"/>
      <w:r w:rsidRPr="00663C3E">
        <w:rPr>
          <w:rFonts w:asciiTheme="majorHAnsi" w:hAnsiTheme="majorHAnsi" w:cstheme="majorHAnsi"/>
          <w:color w:val="000000" w:themeColor="text1"/>
          <w:shd w:val="clear" w:color="auto" w:fill="FFFFFF"/>
          <w:lang w:val="en-US"/>
        </w:rPr>
        <w:t xml:space="preserve"> de 2000. </w:t>
      </w:r>
      <w:r w:rsidRPr="00663C3E">
        <w:rPr>
          <w:rStyle w:val="nfase"/>
          <w:rFonts w:asciiTheme="majorHAnsi" w:hAnsiTheme="majorHAnsi" w:cstheme="majorHAnsi"/>
          <w:i w:val="0"/>
          <w:iCs w:val="0"/>
          <w:color w:val="000000" w:themeColor="text1"/>
          <w:shd w:val="clear" w:color="auto" w:fill="FFFFFF"/>
          <w:lang w:val="en-US"/>
        </w:rPr>
        <w:t xml:space="preserve">Cad </w:t>
      </w:r>
      <w:proofErr w:type="spellStart"/>
      <w:r w:rsidRPr="00663C3E">
        <w:rPr>
          <w:rStyle w:val="nfase"/>
          <w:rFonts w:asciiTheme="majorHAnsi" w:hAnsiTheme="majorHAnsi" w:cstheme="majorHAnsi"/>
          <w:i w:val="0"/>
          <w:iCs w:val="0"/>
          <w:color w:val="000000" w:themeColor="text1"/>
          <w:shd w:val="clear" w:color="auto" w:fill="FFFFFF"/>
          <w:lang w:val="en-US"/>
        </w:rPr>
        <w:t>Saude</w:t>
      </w:r>
      <w:proofErr w:type="spellEnd"/>
      <w:r w:rsidRPr="00663C3E">
        <w:rPr>
          <w:rStyle w:val="nfase"/>
          <w:rFonts w:asciiTheme="majorHAnsi" w:hAnsiTheme="majorHAnsi" w:cstheme="majorHAnsi"/>
          <w:i w:val="0"/>
          <w:iCs w:val="0"/>
          <w:color w:val="000000" w:themeColor="text1"/>
          <w:shd w:val="clear" w:color="auto" w:fill="FFFFFF"/>
          <w:lang w:val="en-US"/>
        </w:rPr>
        <w:t xml:space="preserve"> Publica</w:t>
      </w:r>
      <w:r w:rsidRPr="00663C3E">
        <w:rPr>
          <w:rFonts w:asciiTheme="majorHAnsi" w:hAnsiTheme="majorHAnsi" w:cstheme="majorHAnsi"/>
          <w:color w:val="000000" w:themeColor="text1"/>
          <w:shd w:val="clear" w:color="auto" w:fill="FFFFFF"/>
          <w:lang w:val="en-US"/>
        </w:rPr>
        <w:t xml:space="preserve">. 2014; 30(10):2068-2080. </w:t>
      </w:r>
    </w:p>
    <w:p w14:paraId="201095B6" w14:textId="712C6655" w:rsidR="0044243A" w:rsidRPr="00663C3E" w:rsidRDefault="0044243A" w:rsidP="00FD042F">
      <w:pPr>
        <w:pStyle w:val="PargrafodaLista"/>
        <w:numPr>
          <w:ilvl w:val="0"/>
          <w:numId w:val="3"/>
        </w:numPr>
        <w:spacing w:line="240" w:lineRule="auto"/>
        <w:ind w:right="-93"/>
        <w:jc w:val="both"/>
        <w:textAlignment w:val="baseline"/>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HILL K. </w:t>
      </w:r>
      <w:r w:rsidRPr="00663C3E">
        <w:rPr>
          <w:rFonts w:asciiTheme="majorHAnsi" w:hAnsiTheme="majorHAnsi" w:cstheme="majorHAnsi"/>
          <w:color w:val="000000" w:themeColor="text1"/>
          <w:shd w:val="clear" w:color="auto" w:fill="FFFFFF"/>
          <w:lang w:val="en-US"/>
        </w:rPr>
        <w:t xml:space="preserve"> Indirect estimation of child mortality. </w:t>
      </w:r>
      <w:r w:rsidRPr="00663C3E">
        <w:rPr>
          <w:rFonts w:asciiTheme="majorHAnsi" w:hAnsiTheme="majorHAnsi" w:cstheme="majorHAnsi"/>
          <w:color w:val="000000" w:themeColor="text1"/>
          <w:lang w:val="en-US"/>
        </w:rPr>
        <w:t>Tools for Demographic Estimation. Paris: International Union for the Scientific Study of Population, 2013.</w:t>
      </w:r>
    </w:p>
    <w:p w14:paraId="374C2875" w14:textId="3FD858D5" w:rsidR="0044243A" w:rsidRPr="00663C3E" w:rsidRDefault="0044243A" w:rsidP="00FD042F">
      <w:pPr>
        <w:pStyle w:val="PargrafodaLista"/>
        <w:numPr>
          <w:ilvl w:val="0"/>
          <w:numId w:val="3"/>
        </w:numPr>
        <w:spacing w:line="240" w:lineRule="auto"/>
        <w:ind w:right="-93"/>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HIL, K</w:t>
      </w:r>
      <w:r w:rsid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YOU D</w:t>
      </w:r>
      <w:r w:rsid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CHOI Y. Death distribution methods for estimating adult mortality: sensitivity analysis with simulated data errors. Demographic Research. 2009; 21(9): 235-254.</w:t>
      </w:r>
    </w:p>
    <w:p w14:paraId="7FB8E099" w14:textId="3D4193BC" w:rsidR="0044243A" w:rsidRPr="00663C3E" w:rsidRDefault="0044243A" w:rsidP="00FD042F">
      <w:pPr>
        <w:pStyle w:val="ref"/>
        <w:numPr>
          <w:ilvl w:val="0"/>
          <w:numId w:val="3"/>
        </w:numPr>
        <w:shd w:val="clear" w:color="auto" w:fill="FFFFFF"/>
        <w:spacing w:before="0" w:beforeAutospacing="0" w:after="0" w:afterAutospacing="0" w:line="240" w:lineRule="auto"/>
        <w:ind w:right="-93"/>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LAURENTI R</w:t>
      </w:r>
      <w:r w:rsid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MELLO-JORGE MHP</w:t>
      </w:r>
      <w:r w:rsidR="00663C3E">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GOTLIEB SLD. </w:t>
      </w:r>
      <w:proofErr w:type="spellStart"/>
      <w:r w:rsidRPr="00663C3E">
        <w:rPr>
          <w:rFonts w:asciiTheme="majorHAnsi" w:hAnsiTheme="majorHAnsi" w:cstheme="majorHAnsi"/>
          <w:color w:val="000000" w:themeColor="text1"/>
          <w:lang w:val="en-US"/>
        </w:rPr>
        <w:t>Mortalidade</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segundos</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causas</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considerações</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sobre</w:t>
      </w:r>
      <w:proofErr w:type="spellEnd"/>
      <w:r w:rsidRPr="00663C3E">
        <w:rPr>
          <w:rFonts w:asciiTheme="majorHAnsi" w:hAnsiTheme="majorHAnsi" w:cstheme="majorHAnsi"/>
          <w:color w:val="000000" w:themeColor="text1"/>
          <w:lang w:val="en-US"/>
        </w:rPr>
        <w:t xml:space="preserve"> a </w:t>
      </w:r>
      <w:proofErr w:type="spellStart"/>
      <w:r w:rsidRPr="00663C3E">
        <w:rPr>
          <w:rFonts w:asciiTheme="majorHAnsi" w:hAnsiTheme="majorHAnsi" w:cstheme="majorHAnsi"/>
          <w:color w:val="000000" w:themeColor="text1"/>
          <w:lang w:val="en-US"/>
        </w:rPr>
        <w:t>fidedignidade</w:t>
      </w:r>
      <w:proofErr w:type="spellEnd"/>
      <w:r w:rsidRPr="00663C3E">
        <w:rPr>
          <w:rFonts w:asciiTheme="majorHAnsi" w:hAnsiTheme="majorHAnsi" w:cstheme="majorHAnsi"/>
          <w:color w:val="000000" w:themeColor="text1"/>
          <w:lang w:val="en-US"/>
        </w:rPr>
        <w:t xml:space="preserve"> dos dados.  </w:t>
      </w:r>
      <w:r w:rsidRPr="00663C3E">
        <w:rPr>
          <w:rStyle w:val="nfase"/>
          <w:rFonts w:asciiTheme="majorHAnsi" w:hAnsiTheme="majorHAnsi" w:cstheme="majorHAnsi"/>
          <w:i w:val="0"/>
          <w:iCs w:val="0"/>
          <w:color w:val="000000" w:themeColor="text1"/>
          <w:lang w:val="en-US"/>
        </w:rPr>
        <w:t xml:space="preserve">Rev </w:t>
      </w:r>
      <w:proofErr w:type="spellStart"/>
      <w:r w:rsidRPr="00663C3E">
        <w:rPr>
          <w:rStyle w:val="nfase"/>
          <w:rFonts w:asciiTheme="majorHAnsi" w:hAnsiTheme="majorHAnsi" w:cstheme="majorHAnsi"/>
          <w:i w:val="0"/>
          <w:iCs w:val="0"/>
          <w:color w:val="000000" w:themeColor="text1"/>
          <w:lang w:val="en-US"/>
        </w:rPr>
        <w:t>Panam</w:t>
      </w:r>
      <w:proofErr w:type="spellEnd"/>
      <w:r w:rsidRPr="00663C3E">
        <w:rPr>
          <w:rStyle w:val="nfase"/>
          <w:rFonts w:asciiTheme="majorHAnsi" w:hAnsiTheme="majorHAnsi" w:cstheme="majorHAnsi"/>
          <w:i w:val="0"/>
          <w:iCs w:val="0"/>
          <w:color w:val="000000" w:themeColor="text1"/>
          <w:lang w:val="en-US"/>
        </w:rPr>
        <w:t xml:space="preserve"> </w:t>
      </w:r>
      <w:proofErr w:type="spellStart"/>
      <w:r w:rsidRPr="00663C3E">
        <w:rPr>
          <w:rStyle w:val="nfase"/>
          <w:rFonts w:asciiTheme="majorHAnsi" w:hAnsiTheme="majorHAnsi" w:cstheme="majorHAnsi"/>
          <w:i w:val="0"/>
          <w:iCs w:val="0"/>
          <w:color w:val="000000" w:themeColor="text1"/>
          <w:lang w:val="en-US"/>
        </w:rPr>
        <w:t>Salud</w:t>
      </w:r>
      <w:proofErr w:type="spellEnd"/>
      <w:r w:rsidRPr="00663C3E">
        <w:rPr>
          <w:rStyle w:val="nfase"/>
          <w:rFonts w:asciiTheme="majorHAnsi" w:hAnsiTheme="majorHAnsi" w:cstheme="majorHAnsi"/>
          <w:i w:val="0"/>
          <w:iCs w:val="0"/>
          <w:color w:val="000000" w:themeColor="text1"/>
          <w:lang w:val="en-US"/>
        </w:rPr>
        <w:t xml:space="preserve"> Publica</w:t>
      </w:r>
      <w:r w:rsidRPr="00663C3E">
        <w:rPr>
          <w:rStyle w:val="nfase"/>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2008; 23(5):349-356. </w:t>
      </w:r>
    </w:p>
    <w:p w14:paraId="728D5473" w14:textId="43D272E3" w:rsidR="0044243A" w:rsidRPr="00663C3E" w:rsidRDefault="0044243A" w:rsidP="00FD042F">
      <w:pPr>
        <w:pStyle w:val="PargrafodaLista"/>
        <w:numPr>
          <w:ilvl w:val="0"/>
          <w:numId w:val="3"/>
        </w:numPr>
        <w:spacing w:line="240" w:lineRule="auto"/>
        <w:ind w:right="-93"/>
        <w:jc w:val="both"/>
        <w:rPr>
          <w:rFonts w:asciiTheme="majorHAnsi" w:hAnsiTheme="majorHAnsi" w:cstheme="majorHAnsi"/>
          <w:color w:val="000000" w:themeColor="text1"/>
          <w:kern w:val="36"/>
          <w:lang w:val="en-US"/>
        </w:rPr>
      </w:pPr>
      <w:r w:rsidRPr="00663C3E">
        <w:rPr>
          <w:rFonts w:asciiTheme="majorHAnsi" w:hAnsiTheme="majorHAnsi" w:cstheme="majorHAnsi"/>
          <w:color w:val="000000" w:themeColor="text1"/>
          <w:shd w:val="clear" w:color="auto" w:fill="FFFFFF"/>
          <w:lang w:val="en-US"/>
        </w:rPr>
        <w:lastRenderedPageBreak/>
        <w:t>LIMA EE</w:t>
      </w:r>
      <w:r w:rsidR="00663C3E">
        <w:rPr>
          <w:rFonts w:asciiTheme="majorHAnsi" w:hAnsiTheme="majorHAnsi" w:cstheme="majorHAnsi"/>
          <w:color w:val="000000" w:themeColor="text1"/>
          <w:shd w:val="clear" w:color="auto" w:fill="FFFFFF"/>
          <w:lang w:val="en-US"/>
        </w:rPr>
        <w:t>,</w:t>
      </w:r>
      <w:r w:rsidRPr="00663C3E">
        <w:rPr>
          <w:rFonts w:asciiTheme="majorHAnsi" w:hAnsiTheme="majorHAnsi" w:cstheme="majorHAnsi"/>
          <w:color w:val="000000" w:themeColor="text1"/>
          <w:shd w:val="clear" w:color="auto" w:fill="FFFFFF"/>
          <w:lang w:val="en-US"/>
        </w:rPr>
        <w:t xml:space="preserve"> QUEIROZ BL. Evolution of the deaths registry system in Brazil: associations with changes in the mortality profile, under-registration of death counts, and ill-defined causes of death. </w:t>
      </w:r>
      <w:r w:rsidRPr="00663C3E">
        <w:rPr>
          <w:rStyle w:val="nfase"/>
          <w:rFonts w:asciiTheme="majorHAnsi" w:hAnsiTheme="majorHAnsi" w:cstheme="majorHAnsi"/>
          <w:i w:val="0"/>
          <w:iCs w:val="0"/>
          <w:color w:val="000000" w:themeColor="text1"/>
          <w:shd w:val="clear" w:color="auto" w:fill="FFFFFF"/>
          <w:lang w:val="en-US"/>
        </w:rPr>
        <w:t xml:space="preserve">Cad </w:t>
      </w:r>
      <w:proofErr w:type="spellStart"/>
      <w:r w:rsidRPr="00663C3E">
        <w:rPr>
          <w:rStyle w:val="nfase"/>
          <w:rFonts w:asciiTheme="majorHAnsi" w:hAnsiTheme="majorHAnsi" w:cstheme="majorHAnsi"/>
          <w:i w:val="0"/>
          <w:iCs w:val="0"/>
          <w:color w:val="000000" w:themeColor="text1"/>
          <w:shd w:val="clear" w:color="auto" w:fill="FFFFFF"/>
          <w:lang w:val="en-US"/>
        </w:rPr>
        <w:t>Saude</w:t>
      </w:r>
      <w:proofErr w:type="spellEnd"/>
      <w:r w:rsidRPr="00663C3E">
        <w:rPr>
          <w:rStyle w:val="nfase"/>
          <w:rFonts w:asciiTheme="majorHAnsi" w:hAnsiTheme="majorHAnsi" w:cstheme="majorHAnsi"/>
          <w:i w:val="0"/>
          <w:iCs w:val="0"/>
          <w:color w:val="000000" w:themeColor="text1"/>
          <w:shd w:val="clear" w:color="auto" w:fill="FFFFFF"/>
          <w:lang w:val="en-US"/>
        </w:rPr>
        <w:t xml:space="preserve"> Publica</w:t>
      </w:r>
      <w:r w:rsidRPr="00663C3E">
        <w:rPr>
          <w:rFonts w:asciiTheme="majorHAnsi" w:hAnsiTheme="majorHAnsi" w:cstheme="majorHAnsi"/>
          <w:color w:val="000000" w:themeColor="text1"/>
          <w:shd w:val="clear" w:color="auto" w:fill="FFFFFF"/>
          <w:lang w:val="en-US"/>
        </w:rPr>
        <w:t>. 2014; 30(8):1721-1730.</w:t>
      </w:r>
    </w:p>
    <w:p w14:paraId="13AA7D88" w14:textId="77777777" w:rsidR="00663C3E" w:rsidRPr="00663C3E" w:rsidRDefault="00663C3E" w:rsidP="00663C3E">
      <w:pPr>
        <w:pStyle w:val="PargrafodaLista"/>
        <w:numPr>
          <w:ilvl w:val="0"/>
          <w:numId w:val="3"/>
        </w:numPr>
        <w:spacing w:line="240" w:lineRule="auto"/>
        <w:ind w:right="-93"/>
        <w:jc w:val="both"/>
        <w:rPr>
          <w:rFonts w:asciiTheme="majorHAnsi" w:hAnsiTheme="majorHAnsi" w:cstheme="majorHAnsi"/>
          <w:color w:val="000000" w:themeColor="text1"/>
        </w:rPr>
      </w:pPr>
      <w:r w:rsidRPr="00663C3E">
        <w:rPr>
          <w:rFonts w:asciiTheme="majorHAnsi" w:hAnsiTheme="majorHAnsi" w:cstheme="majorHAnsi"/>
          <w:color w:val="212121"/>
          <w:shd w:val="clear" w:color="auto" w:fill="FFFFFF"/>
        </w:rPr>
        <w:t>MATHERS CD, FAT DM, INOUE M, RAO C, LOPEZ AD.</w:t>
      </w:r>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Counting</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the</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dead</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and</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what</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they</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died</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from</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an</w:t>
      </w:r>
      <w:proofErr w:type="spellEnd"/>
      <w:r w:rsidRPr="00663C3E">
        <w:rPr>
          <w:rFonts w:asciiTheme="majorHAnsi" w:hAnsiTheme="majorHAnsi" w:cstheme="majorHAnsi"/>
          <w:color w:val="000000" w:themeColor="text1"/>
          <w:shd w:val="clear" w:color="auto" w:fill="FFFFFF"/>
        </w:rPr>
        <w:t xml:space="preserve"> assessment </w:t>
      </w:r>
      <w:proofErr w:type="spellStart"/>
      <w:r w:rsidRPr="00663C3E">
        <w:rPr>
          <w:rFonts w:asciiTheme="majorHAnsi" w:hAnsiTheme="majorHAnsi" w:cstheme="majorHAnsi"/>
          <w:color w:val="000000" w:themeColor="text1"/>
          <w:shd w:val="clear" w:color="auto" w:fill="FFFFFF"/>
        </w:rPr>
        <w:t>of</w:t>
      </w:r>
      <w:proofErr w:type="spellEnd"/>
      <w:r w:rsidRPr="00663C3E">
        <w:rPr>
          <w:rFonts w:asciiTheme="majorHAnsi" w:hAnsiTheme="majorHAnsi" w:cstheme="majorHAnsi"/>
          <w:color w:val="000000" w:themeColor="text1"/>
          <w:shd w:val="clear" w:color="auto" w:fill="FFFFFF"/>
        </w:rPr>
        <w:t xml:space="preserve"> </w:t>
      </w:r>
      <w:proofErr w:type="spellStart"/>
      <w:r w:rsidRPr="00663C3E">
        <w:rPr>
          <w:rFonts w:asciiTheme="majorHAnsi" w:hAnsiTheme="majorHAnsi" w:cstheme="majorHAnsi"/>
          <w:color w:val="000000" w:themeColor="text1"/>
          <w:shd w:val="clear" w:color="auto" w:fill="FFFFFF"/>
        </w:rPr>
        <w:t>the</w:t>
      </w:r>
      <w:proofErr w:type="spellEnd"/>
      <w:r w:rsidRPr="00663C3E">
        <w:rPr>
          <w:rFonts w:asciiTheme="majorHAnsi" w:hAnsiTheme="majorHAnsi" w:cstheme="majorHAnsi"/>
          <w:color w:val="000000" w:themeColor="text1"/>
          <w:shd w:val="clear" w:color="auto" w:fill="FFFFFF"/>
        </w:rPr>
        <w:t xml:space="preserve"> global status </w:t>
      </w:r>
      <w:proofErr w:type="spellStart"/>
      <w:r w:rsidRPr="00663C3E">
        <w:rPr>
          <w:rFonts w:asciiTheme="majorHAnsi" w:hAnsiTheme="majorHAnsi" w:cstheme="majorHAnsi"/>
          <w:color w:val="000000" w:themeColor="text1"/>
          <w:shd w:val="clear" w:color="auto" w:fill="FFFFFF"/>
        </w:rPr>
        <w:t>of</w:t>
      </w:r>
      <w:proofErr w:type="spellEnd"/>
      <w:r w:rsidRPr="00663C3E">
        <w:rPr>
          <w:rFonts w:asciiTheme="majorHAnsi" w:hAnsiTheme="majorHAnsi" w:cstheme="majorHAnsi"/>
          <w:color w:val="000000" w:themeColor="text1"/>
          <w:shd w:val="clear" w:color="auto" w:fill="FFFFFF"/>
        </w:rPr>
        <w:t xml:space="preserve"> cause </w:t>
      </w:r>
      <w:proofErr w:type="spellStart"/>
      <w:r w:rsidRPr="00663C3E">
        <w:rPr>
          <w:rFonts w:asciiTheme="majorHAnsi" w:hAnsiTheme="majorHAnsi" w:cstheme="majorHAnsi"/>
          <w:color w:val="000000" w:themeColor="text1"/>
          <w:shd w:val="clear" w:color="auto" w:fill="FFFFFF"/>
        </w:rPr>
        <w:t>of</w:t>
      </w:r>
      <w:proofErr w:type="spellEnd"/>
      <w:r w:rsidRPr="00663C3E">
        <w:rPr>
          <w:rFonts w:asciiTheme="majorHAnsi" w:hAnsiTheme="majorHAnsi" w:cstheme="majorHAnsi"/>
          <w:color w:val="000000" w:themeColor="text1"/>
          <w:shd w:val="clear" w:color="auto" w:fill="FFFFFF"/>
        </w:rPr>
        <w:t xml:space="preserve"> death data. Bull World Health Organ. 2005; 83(3): 171-177.</w:t>
      </w:r>
    </w:p>
    <w:p w14:paraId="65A5D508" w14:textId="39EE98EA" w:rsidR="0044243A" w:rsidRPr="00663C3E" w:rsidRDefault="00663C3E" w:rsidP="00663C3E">
      <w:pPr>
        <w:pStyle w:val="PargrafodaList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heme="majorHAnsi" w:eastAsiaTheme="minorHAnsi" w:hAnsiTheme="majorHAnsi" w:cstheme="majorHAnsi"/>
          <w:color w:val="000000"/>
          <w:sz w:val="22"/>
          <w:szCs w:val="22"/>
          <w:lang w:eastAsia="en-US"/>
        </w:rPr>
      </w:pPr>
      <w:r w:rsidRPr="00663C3E">
        <w:rPr>
          <w:rFonts w:asciiTheme="majorHAnsi" w:eastAsiaTheme="minorHAnsi" w:hAnsiTheme="majorHAnsi" w:cstheme="majorHAnsi"/>
          <w:color w:val="000000"/>
          <w:sz w:val="22"/>
          <w:szCs w:val="22"/>
          <w:lang w:eastAsia="en-US"/>
        </w:rPr>
        <w:t>MATHERS CD, BERNARD C, MOESGARRD K, INOUE M, FAT DM, SHIBUYA K et al.</w:t>
      </w:r>
      <w:r>
        <w:rPr>
          <w:rFonts w:asciiTheme="majorHAnsi" w:eastAsiaTheme="minorHAnsi" w:hAnsiTheme="majorHAnsi" w:cstheme="majorHAnsi"/>
          <w:color w:val="000000"/>
          <w:sz w:val="22"/>
          <w:szCs w:val="22"/>
          <w:lang w:eastAsia="en-US"/>
        </w:rPr>
        <w:t xml:space="preserve"> </w:t>
      </w:r>
      <w:r w:rsidR="0044243A" w:rsidRPr="00663C3E">
        <w:rPr>
          <w:rFonts w:asciiTheme="majorHAnsi" w:hAnsiTheme="majorHAnsi" w:cstheme="majorHAnsi"/>
          <w:color w:val="000000" w:themeColor="text1"/>
          <w:shd w:val="clear" w:color="auto" w:fill="FFFFFF"/>
          <w:lang w:val="en-US"/>
        </w:rPr>
        <w:t xml:space="preserve">Global Burden of Disease in 2002: data sources, methods and results. Geneva: World Health Organization; 2003. (Global </w:t>
      </w:r>
      <w:proofErr w:type="spellStart"/>
      <w:r w:rsidR="0044243A" w:rsidRPr="00663C3E">
        <w:rPr>
          <w:rFonts w:asciiTheme="majorHAnsi" w:hAnsiTheme="majorHAnsi" w:cstheme="majorHAnsi"/>
          <w:color w:val="000000" w:themeColor="text1"/>
          <w:shd w:val="clear" w:color="auto" w:fill="FFFFFF"/>
          <w:lang w:val="en-US"/>
        </w:rPr>
        <w:t>Programme</w:t>
      </w:r>
      <w:proofErr w:type="spellEnd"/>
      <w:r w:rsidR="0044243A" w:rsidRPr="00663C3E">
        <w:rPr>
          <w:rFonts w:asciiTheme="majorHAnsi" w:hAnsiTheme="majorHAnsi" w:cstheme="majorHAnsi"/>
          <w:color w:val="000000" w:themeColor="text1"/>
          <w:shd w:val="clear" w:color="auto" w:fill="FFFFFF"/>
          <w:lang w:val="en-US"/>
        </w:rPr>
        <w:t xml:space="preserve"> on Evidence for Health Policy Discussion Paper, 54)</w:t>
      </w:r>
    </w:p>
    <w:p w14:paraId="25EA8A72" w14:textId="77777777" w:rsidR="0044243A" w:rsidRPr="00663C3E" w:rsidRDefault="0044243A" w:rsidP="00FD042F">
      <w:pPr>
        <w:pStyle w:val="PargrafodaLista"/>
        <w:numPr>
          <w:ilvl w:val="0"/>
          <w:numId w:val="3"/>
        </w:numPr>
        <w:spacing w:line="240" w:lineRule="auto"/>
        <w:ind w:right="-93"/>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 xml:space="preserve">MELLO JORGE MHP, LAURENTI R, GOTLIEB SLD. </w:t>
      </w:r>
      <w:proofErr w:type="spellStart"/>
      <w:r w:rsidRPr="00663C3E">
        <w:rPr>
          <w:rFonts w:asciiTheme="majorHAnsi" w:hAnsiTheme="majorHAnsi" w:cstheme="majorHAnsi"/>
          <w:color w:val="000000" w:themeColor="text1"/>
          <w:lang w:val="en-US"/>
        </w:rPr>
        <w:t>Análise</w:t>
      </w:r>
      <w:proofErr w:type="spellEnd"/>
      <w:r w:rsidRPr="00663C3E">
        <w:rPr>
          <w:rFonts w:asciiTheme="majorHAnsi" w:hAnsiTheme="majorHAnsi" w:cstheme="majorHAnsi"/>
          <w:color w:val="000000" w:themeColor="text1"/>
          <w:lang w:val="en-US"/>
        </w:rPr>
        <w:t xml:space="preserve"> da </w:t>
      </w:r>
      <w:proofErr w:type="spellStart"/>
      <w:r w:rsidRPr="00663C3E">
        <w:rPr>
          <w:rFonts w:asciiTheme="majorHAnsi" w:hAnsiTheme="majorHAnsi" w:cstheme="majorHAnsi"/>
          <w:color w:val="000000" w:themeColor="text1"/>
          <w:lang w:val="en-US"/>
        </w:rPr>
        <w:t>qualidade</w:t>
      </w:r>
      <w:proofErr w:type="spellEnd"/>
      <w:r w:rsidRPr="00663C3E">
        <w:rPr>
          <w:rFonts w:asciiTheme="majorHAnsi" w:hAnsiTheme="majorHAnsi" w:cstheme="majorHAnsi"/>
          <w:color w:val="000000" w:themeColor="text1"/>
          <w:lang w:val="en-US"/>
        </w:rPr>
        <w:t xml:space="preserve"> das </w:t>
      </w:r>
      <w:proofErr w:type="spellStart"/>
      <w:r w:rsidRPr="00663C3E">
        <w:rPr>
          <w:rFonts w:asciiTheme="majorHAnsi" w:hAnsiTheme="majorHAnsi" w:cstheme="majorHAnsi"/>
          <w:color w:val="000000" w:themeColor="text1"/>
          <w:lang w:val="en-US"/>
        </w:rPr>
        <w:t>estatísticas</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vitais</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brasileiras</w:t>
      </w:r>
      <w:proofErr w:type="spellEnd"/>
      <w:r w:rsidRPr="00663C3E">
        <w:rPr>
          <w:rFonts w:asciiTheme="majorHAnsi" w:hAnsiTheme="majorHAnsi" w:cstheme="majorHAnsi"/>
          <w:color w:val="000000" w:themeColor="text1"/>
          <w:lang w:val="en-US"/>
        </w:rPr>
        <w:t xml:space="preserve">: </w:t>
      </w:r>
      <w:proofErr w:type="gramStart"/>
      <w:r w:rsidRPr="00663C3E">
        <w:rPr>
          <w:rFonts w:asciiTheme="majorHAnsi" w:hAnsiTheme="majorHAnsi" w:cstheme="majorHAnsi"/>
          <w:color w:val="000000" w:themeColor="text1"/>
          <w:lang w:val="en-US"/>
        </w:rPr>
        <w:t>a</w:t>
      </w:r>
      <w:proofErr w:type="gram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experiência</w:t>
      </w:r>
      <w:proofErr w:type="spellEnd"/>
      <w:r w:rsidRPr="00663C3E">
        <w:rPr>
          <w:rFonts w:asciiTheme="majorHAnsi" w:hAnsiTheme="majorHAnsi" w:cstheme="majorHAnsi"/>
          <w:color w:val="000000" w:themeColor="text1"/>
          <w:lang w:val="en-US"/>
        </w:rPr>
        <w:t xml:space="preserve"> da </w:t>
      </w:r>
      <w:proofErr w:type="spellStart"/>
      <w:r w:rsidRPr="00663C3E">
        <w:rPr>
          <w:rFonts w:asciiTheme="majorHAnsi" w:hAnsiTheme="majorHAnsi" w:cstheme="majorHAnsi"/>
          <w:color w:val="000000" w:themeColor="text1"/>
          <w:lang w:val="en-US"/>
        </w:rPr>
        <w:t>implantação</w:t>
      </w:r>
      <w:proofErr w:type="spellEnd"/>
      <w:r w:rsidRPr="00663C3E">
        <w:rPr>
          <w:rFonts w:asciiTheme="majorHAnsi" w:hAnsiTheme="majorHAnsi" w:cstheme="majorHAnsi"/>
          <w:color w:val="000000" w:themeColor="text1"/>
          <w:lang w:val="en-US"/>
        </w:rPr>
        <w:t xml:space="preserve"> do SIM e do SINASC. Rev </w:t>
      </w:r>
      <w:proofErr w:type="spellStart"/>
      <w:r w:rsidRPr="00663C3E">
        <w:rPr>
          <w:rFonts w:asciiTheme="majorHAnsi" w:hAnsiTheme="majorHAnsi" w:cstheme="majorHAnsi"/>
          <w:color w:val="000000" w:themeColor="text1"/>
          <w:lang w:val="en-US"/>
        </w:rPr>
        <w:t>Ciência</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Saúde</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Coletiva</w:t>
      </w:r>
      <w:proofErr w:type="spellEnd"/>
      <w:r w:rsidRPr="00663C3E">
        <w:rPr>
          <w:rFonts w:asciiTheme="majorHAnsi" w:hAnsiTheme="majorHAnsi" w:cstheme="majorHAnsi"/>
          <w:color w:val="000000" w:themeColor="text1"/>
          <w:lang w:val="en-US"/>
        </w:rPr>
        <w:t xml:space="preserve"> 2007, 12(3): 643-54.</w:t>
      </w:r>
    </w:p>
    <w:p w14:paraId="31CDF887" w14:textId="06821800" w:rsidR="0044243A" w:rsidRPr="00062AA3" w:rsidRDefault="00062AA3" w:rsidP="00062AA3">
      <w:pPr>
        <w:pStyle w:val="PargrafodaList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heme="majorHAnsi" w:eastAsiaTheme="minorHAnsi" w:hAnsiTheme="majorHAnsi" w:cstheme="majorHAnsi"/>
          <w:color w:val="000000"/>
          <w:sz w:val="22"/>
          <w:szCs w:val="22"/>
          <w:lang w:eastAsia="en-US"/>
        </w:rPr>
      </w:pPr>
      <w:r w:rsidRPr="00062AA3">
        <w:rPr>
          <w:rFonts w:asciiTheme="majorHAnsi" w:eastAsiaTheme="minorHAnsi" w:hAnsiTheme="majorHAnsi" w:cstheme="majorHAnsi"/>
          <w:color w:val="000000"/>
          <w:lang w:eastAsia="en-US"/>
        </w:rPr>
        <w:t xml:space="preserve">MOULTRIE T, DORRINGTON R, HILL </w:t>
      </w:r>
      <w:proofErr w:type="gramStart"/>
      <w:r w:rsidRPr="00062AA3">
        <w:rPr>
          <w:rFonts w:asciiTheme="majorHAnsi" w:eastAsiaTheme="minorHAnsi" w:hAnsiTheme="majorHAnsi" w:cstheme="majorHAnsi"/>
          <w:color w:val="000000"/>
          <w:lang w:eastAsia="en-US"/>
        </w:rPr>
        <w:t>A,HILL</w:t>
      </w:r>
      <w:proofErr w:type="gramEnd"/>
      <w:r w:rsidRPr="00062AA3">
        <w:rPr>
          <w:rFonts w:asciiTheme="majorHAnsi" w:eastAsiaTheme="minorHAnsi" w:hAnsiTheme="majorHAnsi" w:cstheme="majorHAnsi"/>
          <w:color w:val="000000"/>
          <w:lang w:eastAsia="en-US"/>
        </w:rPr>
        <w:t>, K, TIMAEUS I, ZABA B.</w:t>
      </w:r>
      <w:r w:rsidRPr="00062AA3">
        <w:rPr>
          <w:rFonts w:asciiTheme="majorHAnsi" w:eastAsiaTheme="minorHAnsi" w:hAnsiTheme="majorHAnsi" w:cstheme="majorHAnsi"/>
          <w:color w:val="000000"/>
          <w:lang w:eastAsia="en-US"/>
        </w:rPr>
        <w:t xml:space="preserve"> </w:t>
      </w:r>
      <w:r w:rsidR="0044243A" w:rsidRPr="00062AA3">
        <w:rPr>
          <w:rFonts w:asciiTheme="majorHAnsi" w:hAnsiTheme="majorHAnsi" w:cstheme="majorHAnsi"/>
          <w:color w:val="000000" w:themeColor="text1"/>
          <w:lang w:val="en-US"/>
        </w:rPr>
        <w:t xml:space="preserve">Tools for Demographic Estimation. Paris: International Union for the Scientific Study of Population, 2013. Available at </w:t>
      </w:r>
      <w:hyperlink r:id="rId10" w:history="1">
        <w:r w:rsidR="0044243A" w:rsidRPr="00062AA3">
          <w:rPr>
            <w:rStyle w:val="Hyperlink"/>
            <w:rFonts w:asciiTheme="majorHAnsi" w:hAnsiTheme="majorHAnsi" w:cstheme="majorHAnsi"/>
            <w:lang w:val="en-US"/>
          </w:rPr>
          <w:t>http://demographicestimation.iussp.org</w:t>
        </w:r>
      </w:hyperlink>
      <w:r w:rsidR="0044243A" w:rsidRPr="00062AA3">
        <w:rPr>
          <w:rFonts w:asciiTheme="majorHAnsi" w:hAnsiTheme="majorHAnsi" w:cstheme="majorHAnsi"/>
          <w:color w:val="000000" w:themeColor="text1"/>
          <w:lang w:val="en-US"/>
        </w:rPr>
        <w:t>. Accessed in November 2021.</w:t>
      </w:r>
    </w:p>
    <w:p w14:paraId="45C426F6" w14:textId="78740BD7" w:rsidR="0044243A" w:rsidRPr="00663C3E" w:rsidRDefault="0044243A" w:rsidP="00FD042F">
      <w:pPr>
        <w:pStyle w:val="PargrafodaLista"/>
        <w:numPr>
          <w:ilvl w:val="0"/>
          <w:numId w:val="3"/>
        </w:numPr>
        <w:spacing w:line="240" w:lineRule="auto"/>
        <w:ind w:right="-93"/>
        <w:jc w:val="both"/>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MURRAY CJ</w:t>
      </w:r>
      <w:r w:rsidR="00062AA3">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RAJARATNAM JK</w:t>
      </w:r>
      <w:r w:rsidR="00062AA3">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MARCUS J</w:t>
      </w:r>
      <w:r w:rsidR="00062AA3">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LAAKSO T</w:t>
      </w:r>
      <w:r w:rsidR="00062AA3">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LOPES AD.</w:t>
      </w:r>
      <w:r w:rsidRPr="00663C3E">
        <w:rPr>
          <w:rFonts w:asciiTheme="majorHAnsi" w:hAnsiTheme="majorHAnsi" w:cstheme="majorHAnsi"/>
          <w:color w:val="000000" w:themeColor="text1"/>
          <w:kern w:val="36"/>
          <w:lang w:val="en-US"/>
        </w:rPr>
        <w:t xml:space="preserve"> What can we conclude from death registration? Improved methods for evaluating completeness.</w:t>
      </w:r>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PLoS</w:t>
      </w:r>
      <w:proofErr w:type="spellEnd"/>
      <w:r w:rsidRPr="00663C3E">
        <w:rPr>
          <w:rFonts w:asciiTheme="majorHAnsi" w:hAnsiTheme="majorHAnsi" w:cstheme="majorHAnsi"/>
          <w:color w:val="000000" w:themeColor="text1"/>
          <w:lang w:val="en-US"/>
        </w:rPr>
        <w:t xml:space="preserve"> Med. 2010; 7(4</w:t>
      </w:r>
      <w:proofErr w:type="gramStart"/>
      <w:r w:rsidRPr="00663C3E">
        <w:rPr>
          <w:rFonts w:asciiTheme="majorHAnsi" w:hAnsiTheme="majorHAnsi" w:cstheme="majorHAnsi"/>
          <w:color w:val="000000" w:themeColor="text1"/>
          <w:lang w:val="en-US"/>
        </w:rPr>
        <w:t>):e</w:t>
      </w:r>
      <w:proofErr w:type="gramEnd"/>
      <w:r w:rsidRPr="00663C3E">
        <w:rPr>
          <w:rFonts w:asciiTheme="majorHAnsi" w:hAnsiTheme="majorHAnsi" w:cstheme="majorHAnsi"/>
          <w:color w:val="000000" w:themeColor="text1"/>
          <w:lang w:val="en-US"/>
        </w:rPr>
        <w:t xml:space="preserve">1000262. </w:t>
      </w:r>
    </w:p>
    <w:p w14:paraId="111795FE" w14:textId="68F72849" w:rsidR="0044243A" w:rsidRPr="00663C3E" w:rsidRDefault="0044243A" w:rsidP="00FD042F">
      <w:pPr>
        <w:pStyle w:val="PargrafodaLista"/>
        <w:numPr>
          <w:ilvl w:val="0"/>
          <w:numId w:val="3"/>
        </w:numPr>
        <w:spacing w:line="240" w:lineRule="auto"/>
        <w:ind w:right="-93"/>
        <w:jc w:val="both"/>
        <w:rPr>
          <w:rFonts w:asciiTheme="majorHAnsi" w:hAnsiTheme="majorHAnsi" w:cstheme="majorHAnsi"/>
          <w:color w:val="000000" w:themeColor="text1"/>
          <w:shd w:val="clear" w:color="auto" w:fill="FFFFFF"/>
          <w:lang w:val="en-US"/>
        </w:rPr>
      </w:pPr>
      <w:r w:rsidRPr="00663C3E">
        <w:rPr>
          <w:rFonts w:asciiTheme="majorHAnsi" w:hAnsiTheme="majorHAnsi" w:cstheme="majorHAnsi"/>
          <w:color w:val="000000" w:themeColor="text1"/>
          <w:shd w:val="clear" w:color="auto" w:fill="FFFFFF"/>
          <w:lang w:val="en-US"/>
        </w:rPr>
        <w:t>QUEIROZ BL</w:t>
      </w:r>
      <w:r w:rsidR="00062AA3">
        <w:rPr>
          <w:rFonts w:asciiTheme="majorHAnsi" w:hAnsiTheme="majorHAnsi" w:cstheme="majorHAnsi"/>
          <w:color w:val="000000" w:themeColor="text1"/>
          <w:shd w:val="clear" w:color="auto" w:fill="FFFFFF"/>
          <w:lang w:val="en-US"/>
        </w:rPr>
        <w:t>,</w:t>
      </w:r>
      <w:r w:rsidRPr="00663C3E">
        <w:rPr>
          <w:rFonts w:asciiTheme="majorHAnsi" w:hAnsiTheme="majorHAnsi" w:cstheme="majorHAnsi"/>
          <w:color w:val="000000" w:themeColor="text1"/>
          <w:shd w:val="clear" w:color="auto" w:fill="FFFFFF"/>
          <w:lang w:val="en-US"/>
        </w:rPr>
        <w:t xml:space="preserve"> FREIRE</w:t>
      </w:r>
      <w:r w:rsidR="00062AA3">
        <w:rPr>
          <w:rFonts w:asciiTheme="majorHAnsi" w:hAnsiTheme="majorHAnsi" w:cstheme="majorHAnsi"/>
          <w:color w:val="000000" w:themeColor="text1"/>
          <w:shd w:val="clear" w:color="auto" w:fill="FFFFFF"/>
          <w:lang w:val="en-US"/>
        </w:rPr>
        <w:t xml:space="preserve"> </w:t>
      </w:r>
      <w:r w:rsidRPr="00663C3E">
        <w:rPr>
          <w:rFonts w:asciiTheme="majorHAnsi" w:hAnsiTheme="majorHAnsi" w:cstheme="majorHAnsi"/>
          <w:color w:val="000000" w:themeColor="text1"/>
          <w:shd w:val="clear" w:color="auto" w:fill="FFFFFF"/>
          <w:lang w:val="en-US"/>
        </w:rPr>
        <w:t>FHMD</w:t>
      </w:r>
      <w:r w:rsidR="00062AA3">
        <w:rPr>
          <w:rFonts w:asciiTheme="majorHAnsi" w:hAnsiTheme="majorHAnsi" w:cstheme="majorHAnsi"/>
          <w:color w:val="000000" w:themeColor="text1"/>
          <w:shd w:val="clear" w:color="auto" w:fill="FFFFFF"/>
          <w:lang w:val="en-US"/>
        </w:rPr>
        <w:t>,</w:t>
      </w:r>
      <w:r w:rsidRPr="00663C3E">
        <w:rPr>
          <w:rFonts w:asciiTheme="majorHAnsi" w:hAnsiTheme="majorHAnsi" w:cstheme="majorHAnsi"/>
          <w:color w:val="000000" w:themeColor="text1"/>
          <w:shd w:val="clear" w:color="auto" w:fill="FFFFFF"/>
          <w:lang w:val="en-US"/>
        </w:rPr>
        <w:t xml:space="preserve"> GONZAGA MR</w:t>
      </w:r>
      <w:r w:rsidR="00062AA3">
        <w:rPr>
          <w:rFonts w:asciiTheme="majorHAnsi" w:hAnsiTheme="majorHAnsi" w:cstheme="majorHAnsi"/>
          <w:color w:val="000000" w:themeColor="text1"/>
          <w:shd w:val="clear" w:color="auto" w:fill="FFFFFF"/>
          <w:lang w:val="en-US"/>
        </w:rPr>
        <w:t>,</w:t>
      </w:r>
      <w:r w:rsidRPr="00663C3E">
        <w:rPr>
          <w:rFonts w:asciiTheme="majorHAnsi" w:hAnsiTheme="majorHAnsi" w:cstheme="majorHAnsi"/>
          <w:color w:val="000000" w:themeColor="text1"/>
          <w:shd w:val="clear" w:color="auto" w:fill="FFFFFF"/>
          <w:lang w:val="en-US"/>
        </w:rPr>
        <w:t xml:space="preserve"> LIMA EEC. </w:t>
      </w:r>
      <w:proofErr w:type="spellStart"/>
      <w:r w:rsidRPr="00663C3E">
        <w:rPr>
          <w:rStyle w:val="article-title"/>
          <w:rFonts w:asciiTheme="majorHAnsi" w:hAnsiTheme="majorHAnsi" w:cstheme="majorHAnsi"/>
          <w:color w:val="000000" w:themeColor="text1"/>
          <w:shd w:val="clear" w:color="auto" w:fill="FFFFFF"/>
          <w:lang w:val="en-US"/>
        </w:rPr>
        <w:t>Estimativas</w:t>
      </w:r>
      <w:proofErr w:type="spellEnd"/>
      <w:r w:rsidRPr="00663C3E">
        <w:rPr>
          <w:rStyle w:val="article-title"/>
          <w:rFonts w:asciiTheme="majorHAnsi" w:hAnsiTheme="majorHAnsi" w:cstheme="majorHAnsi"/>
          <w:color w:val="000000" w:themeColor="text1"/>
          <w:shd w:val="clear" w:color="auto" w:fill="FFFFFF"/>
          <w:lang w:val="en-US"/>
        </w:rPr>
        <w:t xml:space="preserve"> do </w:t>
      </w:r>
      <w:proofErr w:type="spellStart"/>
      <w:r w:rsidRPr="00663C3E">
        <w:rPr>
          <w:rStyle w:val="article-title"/>
          <w:rFonts w:asciiTheme="majorHAnsi" w:hAnsiTheme="majorHAnsi" w:cstheme="majorHAnsi"/>
          <w:color w:val="000000" w:themeColor="text1"/>
          <w:shd w:val="clear" w:color="auto" w:fill="FFFFFF"/>
          <w:lang w:val="en-US"/>
        </w:rPr>
        <w:t>grau</w:t>
      </w:r>
      <w:proofErr w:type="spellEnd"/>
      <w:r w:rsidRPr="00663C3E">
        <w:rPr>
          <w:rStyle w:val="article-title"/>
          <w:rFonts w:asciiTheme="majorHAnsi" w:hAnsiTheme="majorHAnsi" w:cstheme="majorHAnsi"/>
          <w:color w:val="000000" w:themeColor="text1"/>
          <w:shd w:val="clear" w:color="auto" w:fill="FFFFFF"/>
          <w:lang w:val="en-US"/>
        </w:rPr>
        <w:t xml:space="preserve"> de </w:t>
      </w:r>
      <w:proofErr w:type="spellStart"/>
      <w:r w:rsidRPr="00663C3E">
        <w:rPr>
          <w:rStyle w:val="article-title"/>
          <w:rFonts w:asciiTheme="majorHAnsi" w:hAnsiTheme="majorHAnsi" w:cstheme="majorHAnsi"/>
          <w:color w:val="000000" w:themeColor="text1"/>
          <w:shd w:val="clear" w:color="auto" w:fill="FFFFFF"/>
          <w:lang w:val="en-US"/>
        </w:rPr>
        <w:t>cobertura</w:t>
      </w:r>
      <w:proofErr w:type="spellEnd"/>
      <w:r w:rsidRPr="00663C3E">
        <w:rPr>
          <w:rStyle w:val="article-title"/>
          <w:rFonts w:asciiTheme="majorHAnsi" w:hAnsiTheme="majorHAnsi" w:cstheme="majorHAnsi"/>
          <w:color w:val="000000" w:themeColor="text1"/>
          <w:shd w:val="clear" w:color="auto" w:fill="FFFFFF"/>
          <w:lang w:val="en-US"/>
        </w:rPr>
        <w:t xml:space="preserve"> e da </w:t>
      </w:r>
      <w:proofErr w:type="spellStart"/>
      <w:r w:rsidRPr="00663C3E">
        <w:rPr>
          <w:rStyle w:val="article-title"/>
          <w:rFonts w:asciiTheme="majorHAnsi" w:hAnsiTheme="majorHAnsi" w:cstheme="majorHAnsi"/>
          <w:color w:val="000000" w:themeColor="text1"/>
          <w:shd w:val="clear" w:color="auto" w:fill="FFFFFF"/>
          <w:lang w:val="en-US"/>
        </w:rPr>
        <w:t>mortalidade</w:t>
      </w:r>
      <w:proofErr w:type="spellEnd"/>
      <w:r w:rsidRPr="00663C3E">
        <w:rPr>
          <w:rStyle w:val="article-title"/>
          <w:rFonts w:asciiTheme="majorHAnsi" w:hAnsiTheme="majorHAnsi" w:cstheme="majorHAnsi"/>
          <w:color w:val="000000" w:themeColor="text1"/>
          <w:shd w:val="clear" w:color="auto" w:fill="FFFFFF"/>
          <w:lang w:val="en-US"/>
        </w:rPr>
        <w:t xml:space="preserve"> </w:t>
      </w:r>
      <w:proofErr w:type="spellStart"/>
      <w:r w:rsidRPr="00663C3E">
        <w:rPr>
          <w:rStyle w:val="article-title"/>
          <w:rFonts w:asciiTheme="majorHAnsi" w:hAnsiTheme="majorHAnsi" w:cstheme="majorHAnsi"/>
          <w:color w:val="000000" w:themeColor="text1"/>
          <w:shd w:val="clear" w:color="auto" w:fill="FFFFFF"/>
          <w:lang w:val="en-US"/>
        </w:rPr>
        <w:t>adulta</w:t>
      </w:r>
      <w:proofErr w:type="spellEnd"/>
      <w:r w:rsidRPr="00663C3E">
        <w:rPr>
          <w:rStyle w:val="article-title"/>
          <w:rFonts w:asciiTheme="majorHAnsi" w:hAnsiTheme="majorHAnsi" w:cstheme="majorHAnsi"/>
          <w:color w:val="000000" w:themeColor="text1"/>
          <w:shd w:val="clear" w:color="auto" w:fill="FFFFFF"/>
          <w:lang w:val="en-US"/>
        </w:rPr>
        <w:t xml:space="preserve"> (45q15) para as </w:t>
      </w:r>
      <w:proofErr w:type="spellStart"/>
      <w:r w:rsidRPr="00663C3E">
        <w:rPr>
          <w:rStyle w:val="article-title"/>
          <w:rFonts w:asciiTheme="majorHAnsi" w:hAnsiTheme="majorHAnsi" w:cstheme="majorHAnsi"/>
          <w:color w:val="000000" w:themeColor="text1"/>
          <w:shd w:val="clear" w:color="auto" w:fill="FFFFFF"/>
          <w:lang w:val="en-US"/>
        </w:rPr>
        <w:t>unidades</w:t>
      </w:r>
      <w:proofErr w:type="spellEnd"/>
      <w:r w:rsidRPr="00663C3E">
        <w:rPr>
          <w:rStyle w:val="article-title"/>
          <w:rFonts w:asciiTheme="majorHAnsi" w:hAnsiTheme="majorHAnsi" w:cstheme="majorHAnsi"/>
          <w:color w:val="000000" w:themeColor="text1"/>
          <w:shd w:val="clear" w:color="auto" w:fill="FFFFFF"/>
          <w:lang w:val="en-US"/>
        </w:rPr>
        <w:t xml:space="preserve"> da </w:t>
      </w:r>
      <w:proofErr w:type="spellStart"/>
      <w:r w:rsidRPr="00663C3E">
        <w:rPr>
          <w:rStyle w:val="article-title"/>
          <w:rFonts w:asciiTheme="majorHAnsi" w:hAnsiTheme="majorHAnsi" w:cstheme="majorHAnsi"/>
          <w:color w:val="000000" w:themeColor="text1"/>
          <w:shd w:val="clear" w:color="auto" w:fill="FFFFFF"/>
          <w:lang w:val="en-US"/>
        </w:rPr>
        <w:t>federação</w:t>
      </w:r>
      <w:proofErr w:type="spellEnd"/>
      <w:r w:rsidRPr="00663C3E">
        <w:rPr>
          <w:rStyle w:val="article-title"/>
          <w:rFonts w:asciiTheme="majorHAnsi" w:hAnsiTheme="majorHAnsi" w:cstheme="majorHAnsi"/>
          <w:color w:val="000000" w:themeColor="text1"/>
          <w:shd w:val="clear" w:color="auto" w:fill="FFFFFF"/>
          <w:lang w:val="en-US"/>
        </w:rPr>
        <w:t xml:space="preserve"> no Brasil entre 1980 e 2010.</w:t>
      </w:r>
      <w:r w:rsidRPr="00663C3E">
        <w:rPr>
          <w:rFonts w:asciiTheme="majorHAnsi" w:hAnsiTheme="majorHAnsi" w:cstheme="majorHAnsi"/>
          <w:color w:val="000000" w:themeColor="text1"/>
          <w:shd w:val="clear" w:color="auto" w:fill="FFFFFF"/>
          <w:lang w:val="en-US"/>
        </w:rPr>
        <w:t> Rev. Bras. epidemiol.  2017; 20(suppl.1): 21-33.</w:t>
      </w:r>
    </w:p>
    <w:p w14:paraId="50E1F6F5" w14:textId="41DA26C5" w:rsidR="0044243A" w:rsidRPr="00663C3E" w:rsidRDefault="0044243A" w:rsidP="00FD042F">
      <w:pPr>
        <w:pStyle w:val="PargrafodaLista"/>
        <w:numPr>
          <w:ilvl w:val="0"/>
          <w:numId w:val="3"/>
        </w:numPr>
        <w:spacing w:line="240" w:lineRule="auto"/>
        <w:ind w:right="-93"/>
        <w:jc w:val="both"/>
        <w:outlineLvl w:val="0"/>
        <w:rPr>
          <w:rFonts w:asciiTheme="majorHAnsi" w:hAnsiTheme="majorHAnsi" w:cstheme="majorHAnsi"/>
          <w:color w:val="000000" w:themeColor="text1"/>
          <w:lang w:val="en-US"/>
        </w:rPr>
      </w:pPr>
      <w:r w:rsidRPr="00663C3E">
        <w:rPr>
          <w:rFonts w:asciiTheme="majorHAnsi" w:hAnsiTheme="majorHAnsi" w:cstheme="majorHAnsi"/>
          <w:color w:val="000000" w:themeColor="text1"/>
          <w:lang w:val="en-US"/>
        </w:rPr>
        <w:t>QUEIROZ BL</w:t>
      </w:r>
      <w:r w:rsidR="00062AA3">
        <w:rPr>
          <w:rFonts w:asciiTheme="majorHAnsi" w:hAnsiTheme="majorHAnsi" w:cstheme="majorHAnsi"/>
          <w:color w:val="000000" w:themeColor="text1"/>
          <w:lang w:val="en-US"/>
        </w:rPr>
        <w:t>,</w:t>
      </w:r>
      <w:r w:rsidRPr="00663C3E">
        <w:rPr>
          <w:rFonts w:asciiTheme="majorHAnsi" w:hAnsiTheme="majorHAnsi" w:cstheme="majorHAnsi"/>
          <w:color w:val="000000" w:themeColor="text1"/>
          <w:lang w:val="en-US"/>
        </w:rPr>
        <w:t xml:space="preserve"> SAWYER DO. O que </w:t>
      </w:r>
      <w:proofErr w:type="spellStart"/>
      <w:r w:rsidRPr="00663C3E">
        <w:rPr>
          <w:rFonts w:asciiTheme="majorHAnsi" w:hAnsiTheme="majorHAnsi" w:cstheme="majorHAnsi"/>
          <w:color w:val="000000" w:themeColor="text1"/>
          <w:lang w:val="en-US"/>
        </w:rPr>
        <w:t>os</w:t>
      </w:r>
      <w:proofErr w:type="spellEnd"/>
      <w:r w:rsidRPr="00663C3E">
        <w:rPr>
          <w:rFonts w:asciiTheme="majorHAnsi" w:hAnsiTheme="majorHAnsi" w:cstheme="majorHAnsi"/>
          <w:color w:val="000000" w:themeColor="text1"/>
          <w:lang w:val="en-US"/>
        </w:rPr>
        <w:t xml:space="preserve"> dados de </w:t>
      </w:r>
      <w:proofErr w:type="spellStart"/>
      <w:r w:rsidRPr="00663C3E">
        <w:rPr>
          <w:rFonts w:asciiTheme="majorHAnsi" w:hAnsiTheme="majorHAnsi" w:cstheme="majorHAnsi"/>
          <w:color w:val="000000" w:themeColor="text1"/>
          <w:lang w:val="en-US"/>
        </w:rPr>
        <w:t>mortalidade</w:t>
      </w:r>
      <w:proofErr w:type="spellEnd"/>
      <w:r w:rsidRPr="00663C3E">
        <w:rPr>
          <w:rFonts w:asciiTheme="majorHAnsi" w:hAnsiTheme="majorHAnsi" w:cstheme="majorHAnsi"/>
          <w:color w:val="000000" w:themeColor="text1"/>
          <w:lang w:val="en-US"/>
        </w:rPr>
        <w:t xml:space="preserve"> do </w:t>
      </w:r>
      <w:proofErr w:type="spellStart"/>
      <w:r w:rsidRPr="00663C3E">
        <w:rPr>
          <w:rFonts w:asciiTheme="majorHAnsi" w:hAnsiTheme="majorHAnsi" w:cstheme="majorHAnsi"/>
          <w:color w:val="000000" w:themeColor="text1"/>
          <w:lang w:val="en-US"/>
        </w:rPr>
        <w:t>Censo</w:t>
      </w:r>
      <w:proofErr w:type="spellEnd"/>
      <w:r w:rsidRPr="00663C3E">
        <w:rPr>
          <w:rFonts w:asciiTheme="majorHAnsi" w:hAnsiTheme="majorHAnsi" w:cstheme="majorHAnsi"/>
          <w:color w:val="000000" w:themeColor="text1"/>
          <w:lang w:val="en-US"/>
        </w:rPr>
        <w:t xml:space="preserve"> de 2010 </w:t>
      </w:r>
      <w:proofErr w:type="spellStart"/>
      <w:r w:rsidRPr="00663C3E">
        <w:rPr>
          <w:rFonts w:asciiTheme="majorHAnsi" w:hAnsiTheme="majorHAnsi" w:cstheme="majorHAnsi"/>
          <w:color w:val="000000" w:themeColor="text1"/>
          <w:lang w:val="en-US"/>
        </w:rPr>
        <w:t>podem</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nos</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dizer</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Revista</w:t>
      </w:r>
      <w:proofErr w:type="spellEnd"/>
      <w:r w:rsidRPr="00663C3E">
        <w:rPr>
          <w:rFonts w:asciiTheme="majorHAnsi" w:hAnsiTheme="majorHAnsi" w:cstheme="majorHAnsi"/>
          <w:color w:val="000000" w:themeColor="text1"/>
          <w:lang w:val="en-US"/>
        </w:rPr>
        <w:t xml:space="preserve"> </w:t>
      </w:r>
      <w:proofErr w:type="spellStart"/>
      <w:r w:rsidRPr="00663C3E">
        <w:rPr>
          <w:rFonts w:asciiTheme="majorHAnsi" w:hAnsiTheme="majorHAnsi" w:cstheme="majorHAnsi"/>
          <w:color w:val="000000" w:themeColor="text1"/>
          <w:lang w:val="en-US"/>
        </w:rPr>
        <w:t>Brasileira</w:t>
      </w:r>
      <w:proofErr w:type="spellEnd"/>
      <w:r w:rsidRPr="00663C3E">
        <w:rPr>
          <w:rFonts w:asciiTheme="majorHAnsi" w:hAnsiTheme="majorHAnsi" w:cstheme="majorHAnsi"/>
          <w:color w:val="000000" w:themeColor="text1"/>
          <w:lang w:val="en-US"/>
        </w:rPr>
        <w:t xml:space="preserve"> de </w:t>
      </w:r>
      <w:proofErr w:type="spellStart"/>
      <w:r w:rsidRPr="00663C3E">
        <w:rPr>
          <w:rFonts w:asciiTheme="majorHAnsi" w:hAnsiTheme="majorHAnsi" w:cstheme="majorHAnsi"/>
          <w:color w:val="000000" w:themeColor="text1"/>
          <w:lang w:val="en-US"/>
        </w:rPr>
        <w:t>Estudos</w:t>
      </w:r>
      <w:proofErr w:type="spellEnd"/>
      <w:r w:rsidRPr="00663C3E">
        <w:rPr>
          <w:rFonts w:asciiTheme="majorHAnsi" w:hAnsiTheme="majorHAnsi" w:cstheme="majorHAnsi"/>
          <w:color w:val="000000" w:themeColor="text1"/>
          <w:lang w:val="en-US"/>
        </w:rPr>
        <w:t xml:space="preserve"> de </w:t>
      </w:r>
      <w:proofErr w:type="spellStart"/>
      <w:r w:rsidRPr="00663C3E">
        <w:rPr>
          <w:rFonts w:asciiTheme="majorHAnsi" w:hAnsiTheme="majorHAnsi" w:cstheme="majorHAnsi"/>
          <w:color w:val="000000" w:themeColor="text1"/>
          <w:lang w:val="en-US"/>
        </w:rPr>
        <w:t>População</w:t>
      </w:r>
      <w:proofErr w:type="spellEnd"/>
      <w:r w:rsidRPr="00663C3E">
        <w:rPr>
          <w:rFonts w:asciiTheme="majorHAnsi" w:hAnsiTheme="majorHAnsi" w:cstheme="majorHAnsi"/>
          <w:color w:val="000000" w:themeColor="text1"/>
          <w:lang w:val="en-US"/>
        </w:rPr>
        <w:t>. 2012; 29(2): 225-238.</w:t>
      </w:r>
    </w:p>
    <w:sectPr w:rsidR="0044243A" w:rsidRPr="00663C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2B99"/>
    <w:multiLevelType w:val="hybridMultilevel"/>
    <w:tmpl w:val="308A65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675725"/>
    <w:multiLevelType w:val="hybridMultilevel"/>
    <w:tmpl w:val="CC72DA5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3E044B"/>
    <w:multiLevelType w:val="multilevel"/>
    <w:tmpl w:val="D82CCA2C"/>
    <w:lvl w:ilvl="0">
      <w:start w:val="5"/>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2"/>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EA1728"/>
    <w:multiLevelType w:val="multilevel"/>
    <w:tmpl w:val="1812F056"/>
    <w:lvl w:ilvl="0">
      <w:start w:val="5"/>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22703DE"/>
    <w:multiLevelType w:val="hybridMultilevel"/>
    <w:tmpl w:val="308A65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32008781">
    <w:abstractNumId w:val="3"/>
  </w:num>
  <w:num w:numId="2" w16cid:durableId="925378455">
    <w:abstractNumId w:val="2"/>
  </w:num>
  <w:num w:numId="3" w16cid:durableId="1662465755">
    <w:abstractNumId w:val="4"/>
  </w:num>
  <w:num w:numId="4" w16cid:durableId="1846364925">
    <w:abstractNumId w:val="1"/>
  </w:num>
  <w:num w:numId="5" w16cid:durableId="81494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0sTQ1MDExNzA2MjFS0lEKTi0uzszPAykwqQUARjiI6ywAAAA="/>
  </w:docVars>
  <w:rsids>
    <w:rsidRoot w:val="00CB57BB"/>
    <w:rsid w:val="00062AA3"/>
    <w:rsid w:val="00244402"/>
    <w:rsid w:val="00272F3F"/>
    <w:rsid w:val="002A57C1"/>
    <w:rsid w:val="0044243A"/>
    <w:rsid w:val="004451A7"/>
    <w:rsid w:val="004548BB"/>
    <w:rsid w:val="00462306"/>
    <w:rsid w:val="00517163"/>
    <w:rsid w:val="005C4CEF"/>
    <w:rsid w:val="00663C3E"/>
    <w:rsid w:val="00682CB9"/>
    <w:rsid w:val="007550C9"/>
    <w:rsid w:val="007C6144"/>
    <w:rsid w:val="0086419B"/>
    <w:rsid w:val="00890A66"/>
    <w:rsid w:val="008B6CF2"/>
    <w:rsid w:val="009E2D66"/>
    <w:rsid w:val="00A90389"/>
    <w:rsid w:val="00AF21DF"/>
    <w:rsid w:val="00B04853"/>
    <w:rsid w:val="00CB57BB"/>
    <w:rsid w:val="00CF5B42"/>
    <w:rsid w:val="00D343EA"/>
    <w:rsid w:val="00DE145C"/>
    <w:rsid w:val="00E87801"/>
    <w:rsid w:val="00EC5F87"/>
    <w:rsid w:val="00ED3889"/>
    <w:rsid w:val="00F6380E"/>
    <w:rsid w:val="00FA3E8D"/>
    <w:rsid w:val="00FA548A"/>
    <w:rsid w:val="00FC5098"/>
    <w:rsid w:val="00FD0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23A0"/>
  <w15:chartTrackingRefBased/>
  <w15:docId w15:val="{4825ABAD-73B2-0F4A-B925-4A14293B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7BB"/>
    <w:pPr>
      <w:spacing w:line="360" w:lineRule="auto"/>
    </w:pPr>
    <w:rPr>
      <w:rFonts w:ascii="Times New Roman" w:eastAsia="Times New Roman" w:hAnsi="Times New Roman" w:cs="Times New Roman"/>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B57BB"/>
    <w:pPr>
      <w:ind w:left="720"/>
      <w:contextualSpacing/>
    </w:pPr>
  </w:style>
  <w:style w:type="paragraph" w:styleId="NormalWeb">
    <w:name w:val="Normal (Web)"/>
    <w:basedOn w:val="Normal"/>
    <w:uiPriority w:val="99"/>
    <w:unhideWhenUsed/>
    <w:qFormat/>
    <w:rsid w:val="00CB57BB"/>
    <w:pPr>
      <w:spacing w:before="100" w:beforeAutospacing="1" w:after="100" w:afterAutospacing="1"/>
    </w:pPr>
  </w:style>
  <w:style w:type="character" w:styleId="nfase">
    <w:name w:val="Emphasis"/>
    <w:basedOn w:val="Fontepargpadro"/>
    <w:uiPriority w:val="20"/>
    <w:qFormat/>
    <w:rsid w:val="00F6380E"/>
    <w:rPr>
      <w:i/>
      <w:iCs/>
    </w:rPr>
  </w:style>
  <w:style w:type="paragraph" w:customStyle="1" w:styleId="ref">
    <w:name w:val="ref"/>
    <w:basedOn w:val="Normal"/>
    <w:uiPriority w:val="99"/>
    <w:qFormat/>
    <w:rsid w:val="00F6380E"/>
    <w:pPr>
      <w:spacing w:before="100" w:beforeAutospacing="1" w:after="100" w:afterAutospacing="1"/>
    </w:pPr>
  </w:style>
  <w:style w:type="character" w:customStyle="1" w:styleId="article-title">
    <w:name w:val="article-title"/>
    <w:basedOn w:val="Fontepargpadro"/>
    <w:qFormat/>
    <w:rsid w:val="00F6380E"/>
  </w:style>
  <w:style w:type="character" w:styleId="Hyperlink">
    <w:name w:val="Hyperlink"/>
    <w:basedOn w:val="Fontepargpadro"/>
    <w:uiPriority w:val="99"/>
    <w:unhideWhenUsed/>
    <w:rsid w:val="00D343EA"/>
    <w:rPr>
      <w:color w:val="0563C1" w:themeColor="hyperlink"/>
      <w:u w:val="single"/>
    </w:rPr>
  </w:style>
  <w:style w:type="character" w:styleId="MenoPendente">
    <w:name w:val="Unresolved Mention"/>
    <w:basedOn w:val="Fontepargpadro"/>
    <w:uiPriority w:val="99"/>
    <w:semiHidden/>
    <w:unhideWhenUsed/>
    <w:rsid w:val="00D34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emographicestimation.iussp.org" TargetMode="Externa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Volumes\Rapha\Artigos\00ARTIGOS%20PARA%20SUBMISSA&#771;O\2022\Paper%20%232%20Despair%20ITS\Suppl%20%23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olumes\Rapha\Artigos\00ARTIGOS%20PARA%20SUBMISSA&#771;O\2022\Paper%20%232%20Despair%20ITS\Suppl%20%232.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Volumes\Rapha\Artigos\00ARTIGOS%20PARA%20SUBMISSA&#771;O\2022\Paper%20%232%20Despair%20ITS\Suppl%20%232.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Volumes\Rapha\Artigos\00ARTIGOS%20PARA%20SUBMISSA&#771;O\2022\Paper%20%232%20Despair%20ITS\Suppl%20%23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Observed</c:v>
          </c:tx>
          <c:spPr>
            <a:ln w="28575">
              <a:noFill/>
            </a:ln>
          </c:spPr>
          <c:marker>
            <c:symbol val="circle"/>
            <c:size val="10"/>
            <c:spPr>
              <a:solidFill>
                <a:schemeClr val="accent1">
                  <a:lumMod val="60000"/>
                  <a:lumOff val="40000"/>
                </a:schemeClr>
              </a:solidFill>
              <a:ln>
                <a:solidFill>
                  <a:schemeClr val="accent1">
                    <a:lumMod val="60000"/>
                    <a:lumOff val="40000"/>
                  </a:schemeClr>
                </a:solidFill>
              </a:ln>
            </c:spPr>
          </c:marker>
          <c:xVal>
            <c:numRef>
              <c:f>Plan1!$B$4:$B$16</c:f>
              <c:numCache>
                <c:formatCode>General</c:formatCode>
                <c:ptCount val="13"/>
                <c:pt idx="0">
                  <c:v>6.9107096427346373E-3</c:v>
                </c:pt>
                <c:pt idx="1">
                  <c:v>7.6396910587999325E-3</c:v>
                </c:pt>
                <c:pt idx="2">
                  <c:v>8.6354178904504697E-3</c:v>
                </c:pt>
                <c:pt idx="3">
                  <c:v>9.754768332127333E-3</c:v>
                </c:pt>
                <c:pt idx="4">
                  <c:v>1.1028885421977844E-2</c:v>
                </c:pt>
                <c:pt idx="5">
                  <c:v>1.2637168765370119E-2</c:v>
                </c:pt>
                <c:pt idx="6">
                  <c:v>1.4761875509303765E-2</c:v>
                </c:pt>
                <c:pt idx="7">
                  <c:v>1.7542580659108242E-2</c:v>
                </c:pt>
                <c:pt idx="8">
                  <c:v>2.1200272416360161E-2</c:v>
                </c:pt>
                <c:pt idx="9">
                  <c:v>2.5982373065365182E-2</c:v>
                </c:pt>
                <c:pt idx="10">
                  <c:v>3.2230863117051936E-2</c:v>
                </c:pt>
                <c:pt idx="11">
                  <c:v>4.0146219027152243E-2</c:v>
                </c:pt>
                <c:pt idx="12">
                  <c:v>5.1156084250181352E-2</c:v>
                </c:pt>
              </c:numCache>
            </c:numRef>
          </c:xVal>
          <c:yVal>
            <c:numRef>
              <c:f>Plan1!$C$4:$C$16</c:f>
              <c:numCache>
                <c:formatCode>General</c:formatCode>
                <c:ptCount val="13"/>
                <c:pt idx="0">
                  <c:v>5.9576694682209434E-3</c:v>
                </c:pt>
                <c:pt idx="1">
                  <c:v>7.1924106962739237E-3</c:v>
                </c:pt>
                <c:pt idx="2">
                  <c:v>8.4379891268581801E-3</c:v>
                </c:pt>
                <c:pt idx="3">
                  <c:v>9.5417346568457753E-3</c:v>
                </c:pt>
                <c:pt idx="4">
                  <c:v>1.0066826747013799E-2</c:v>
                </c:pt>
                <c:pt idx="5">
                  <c:v>1.1114730011290024E-2</c:v>
                </c:pt>
                <c:pt idx="6">
                  <c:v>1.3471672021757631E-2</c:v>
                </c:pt>
                <c:pt idx="7">
                  <c:v>1.6678949277492833E-2</c:v>
                </c:pt>
                <c:pt idx="8">
                  <c:v>2.0083829507084948E-2</c:v>
                </c:pt>
                <c:pt idx="9">
                  <c:v>2.4703650330418117E-2</c:v>
                </c:pt>
                <c:pt idx="10">
                  <c:v>3.1005815975520302E-2</c:v>
                </c:pt>
                <c:pt idx="11">
                  <c:v>3.8759043209585529E-2</c:v>
                </c:pt>
                <c:pt idx="12">
                  <c:v>5.1205224433529886E-2</c:v>
                </c:pt>
              </c:numCache>
            </c:numRef>
          </c:yVal>
          <c:smooth val="0"/>
          <c:extLst>
            <c:ext xmlns:c16="http://schemas.microsoft.com/office/drawing/2014/chart" uri="{C3380CC4-5D6E-409C-BE32-E72D297353CC}">
              <c16:uniqueId val="{00000000-8BF8-A64C-931E-EBBA858BD91D}"/>
            </c:ext>
          </c:extLst>
        </c:ser>
        <c:ser>
          <c:idx val="1"/>
          <c:order val="1"/>
          <c:tx>
            <c:v>Expected</c:v>
          </c:tx>
          <c:spPr>
            <a:ln w="19050">
              <a:solidFill>
                <a:schemeClr val="bg2">
                  <a:lumMod val="50000"/>
                </a:schemeClr>
              </a:solidFill>
              <a:prstDash val="sysDash"/>
            </a:ln>
          </c:spPr>
          <c:marker>
            <c:symbol val="none"/>
          </c:marker>
          <c:xVal>
            <c:numRef>
              <c:f>Plan1!$E$4:$E$14</c:f>
              <c:numCache>
                <c:formatCode>General</c:formatCode>
                <c:ptCount val="11"/>
                <c:pt idx="0">
                  <c:v>0</c:v>
                </c:pt>
                <c:pt idx="1">
                  <c:v>0.01</c:v>
                </c:pt>
                <c:pt idx="2">
                  <c:v>1.4999999999999999E-2</c:v>
                </c:pt>
                <c:pt idx="3">
                  <c:v>0.02</c:v>
                </c:pt>
                <c:pt idx="4">
                  <c:v>2.5000000000000001E-2</c:v>
                </c:pt>
                <c:pt idx="5">
                  <c:v>3.0000000000000002E-2</c:v>
                </c:pt>
                <c:pt idx="6">
                  <c:v>3.5000000000000003E-2</c:v>
                </c:pt>
                <c:pt idx="7">
                  <c:v>0.04</c:v>
                </c:pt>
                <c:pt idx="8">
                  <c:v>4.4999999999999998E-2</c:v>
                </c:pt>
                <c:pt idx="9">
                  <c:v>4.9999999999999996E-2</c:v>
                </c:pt>
                <c:pt idx="10">
                  <c:v>5.4999999999999993E-2</c:v>
                </c:pt>
              </c:numCache>
            </c:numRef>
          </c:xVal>
          <c:yVal>
            <c:numRef>
              <c:f>Plan1!$F$4:$F$14</c:f>
              <c:numCache>
                <c:formatCode>General</c:formatCode>
                <c:ptCount val="11"/>
                <c:pt idx="0">
                  <c:v>0</c:v>
                </c:pt>
                <c:pt idx="1">
                  <c:v>0.01</c:v>
                </c:pt>
                <c:pt idx="2">
                  <c:v>1.4999999999999999E-2</c:v>
                </c:pt>
                <c:pt idx="3">
                  <c:v>0.02</c:v>
                </c:pt>
                <c:pt idx="4">
                  <c:v>2.5000000000000001E-2</c:v>
                </c:pt>
                <c:pt idx="5">
                  <c:v>3.0000000000000002E-2</c:v>
                </c:pt>
                <c:pt idx="6">
                  <c:v>3.5000000000000003E-2</c:v>
                </c:pt>
                <c:pt idx="7">
                  <c:v>0.04</c:v>
                </c:pt>
                <c:pt idx="8">
                  <c:v>4.4999999999999998E-2</c:v>
                </c:pt>
                <c:pt idx="9">
                  <c:v>4.9999999999999996E-2</c:v>
                </c:pt>
                <c:pt idx="10">
                  <c:v>5.4999999999999993E-2</c:v>
                </c:pt>
              </c:numCache>
            </c:numRef>
          </c:yVal>
          <c:smooth val="0"/>
          <c:extLst>
            <c:ext xmlns:c16="http://schemas.microsoft.com/office/drawing/2014/chart" uri="{C3380CC4-5D6E-409C-BE32-E72D297353CC}">
              <c16:uniqueId val="{00000001-8BF8-A64C-931E-EBBA858BD91D}"/>
            </c:ext>
          </c:extLst>
        </c:ser>
        <c:dLbls>
          <c:showLegendKey val="0"/>
          <c:showVal val="0"/>
          <c:showCatName val="0"/>
          <c:showSerName val="0"/>
          <c:showPercent val="0"/>
          <c:showBubbleSize val="0"/>
        </c:dLbls>
        <c:axId val="61912576"/>
        <c:axId val="61911040"/>
      </c:scatterChart>
      <c:valAx>
        <c:axId val="61912576"/>
        <c:scaling>
          <c:orientation val="minMax"/>
        </c:scaling>
        <c:delete val="0"/>
        <c:axPos val="b"/>
        <c:majorGridlines>
          <c:spPr>
            <a:ln>
              <a:solidFill>
                <a:schemeClr val="bg2">
                  <a:lumMod val="90000"/>
                </a:schemeClr>
              </a:solidFill>
            </a:ln>
          </c:spPr>
        </c:majorGridlines>
        <c:title>
          <c:tx>
            <c:rich>
              <a:bodyPr/>
              <a:lstStyle/>
              <a:p>
                <a:pPr>
                  <a:defRPr/>
                </a:pPr>
                <a:r>
                  <a:rPr lang="pt-BR"/>
                  <a:t>d(a+)</a:t>
                </a:r>
              </a:p>
            </c:rich>
          </c:tx>
          <c:overlay val="0"/>
        </c:title>
        <c:numFmt formatCode="General" sourceLinked="1"/>
        <c:majorTickMark val="out"/>
        <c:minorTickMark val="none"/>
        <c:tickLblPos val="nextTo"/>
        <c:crossAx val="61911040"/>
        <c:crosses val="autoZero"/>
        <c:crossBetween val="midCat"/>
      </c:valAx>
      <c:valAx>
        <c:axId val="61911040"/>
        <c:scaling>
          <c:orientation val="minMax"/>
        </c:scaling>
        <c:delete val="0"/>
        <c:axPos val="l"/>
        <c:majorGridlines>
          <c:spPr>
            <a:ln>
              <a:solidFill>
                <a:schemeClr val="bg2">
                  <a:lumMod val="90000"/>
                </a:schemeClr>
              </a:solidFill>
            </a:ln>
          </c:spPr>
        </c:majorGridlines>
        <c:title>
          <c:tx>
            <c:rich>
              <a:bodyPr/>
              <a:lstStyle/>
              <a:p>
                <a:pPr>
                  <a:defRPr/>
                </a:pPr>
                <a:r>
                  <a:rPr lang="pt-BR"/>
                  <a:t>e(a+) - r(a+)</a:t>
                </a:r>
              </a:p>
            </c:rich>
          </c:tx>
          <c:overlay val="0"/>
        </c:title>
        <c:numFmt formatCode="General" sourceLinked="1"/>
        <c:majorTickMark val="out"/>
        <c:minorTickMark val="none"/>
        <c:tickLblPos val="nextTo"/>
        <c:crossAx val="61912576"/>
        <c:crosses val="autoZero"/>
        <c:crossBetween val="midCat"/>
      </c:valAx>
    </c:plotArea>
    <c:legend>
      <c:legendPos val="b"/>
      <c:overlay val="0"/>
    </c:legend>
    <c:plotVisOnly val="1"/>
    <c:dispBlanksAs val="gap"/>
    <c:showDLblsOverMax val="0"/>
  </c:chart>
  <c:spPr>
    <a:ln>
      <a:noFill/>
    </a:ln>
  </c:spPr>
  <c:txPr>
    <a:bodyPr/>
    <a:lstStyle/>
    <a:p>
      <a:pPr>
        <a:defRPr sz="1050">
          <a:latin typeface="Calibri Light" panose="020F0302020204030204" pitchFamily="34" charset="0"/>
          <a:cs typeface="Calibri Light" panose="020F0302020204030204"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Observed</c:v>
          </c:tx>
          <c:spPr>
            <a:ln w="28575">
              <a:noFill/>
            </a:ln>
          </c:spPr>
          <c:marker>
            <c:symbol val="circle"/>
            <c:size val="10"/>
            <c:spPr>
              <a:solidFill>
                <a:srgbClr val="FF7E79"/>
              </a:solidFill>
              <a:ln>
                <a:solidFill>
                  <a:srgbClr val="FF7E79"/>
                </a:solidFill>
              </a:ln>
            </c:spPr>
          </c:marker>
          <c:xVal>
            <c:numRef>
              <c:f>Plan1!$N$5:$N$17</c:f>
              <c:numCache>
                <c:formatCode>General</c:formatCode>
                <c:ptCount val="13"/>
                <c:pt idx="0">
                  <c:v>4.8333191031434321E-3</c:v>
                </c:pt>
                <c:pt idx="1">
                  <c:v>5.3003006271095431E-3</c:v>
                </c:pt>
                <c:pt idx="2">
                  <c:v>5.9347263102436073E-3</c:v>
                </c:pt>
                <c:pt idx="3">
                  <c:v>6.7449969758349871E-3</c:v>
                </c:pt>
                <c:pt idx="4">
                  <c:v>7.7625369753225116E-3</c:v>
                </c:pt>
                <c:pt idx="5">
                  <c:v>9.0368926463232514E-3</c:v>
                </c:pt>
                <c:pt idx="6">
                  <c:v>1.0695733757092497E-2</c:v>
                </c:pt>
                <c:pt idx="7">
                  <c:v>1.2862127879188405E-2</c:v>
                </c:pt>
                <c:pt idx="8">
                  <c:v>1.5697995878261199E-2</c:v>
                </c:pt>
                <c:pt idx="9">
                  <c:v>1.942746514484563E-2</c:v>
                </c:pt>
                <c:pt idx="10">
                  <c:v>2.4329452869441329E-2</c:v>
                </c:pt>
                <c:pt idx="11">
                  <c:v>3.072119940107489E-2</c:v>
                </c:pt>
                <c:pt idx="12">
                  <c:v>3.9654422783831071E-2</c:v>
                </c:pt>
              </c:numCache>
            </c:numRef>
          </c:xVal>
          <c:yVal>
            <c:numRef>
              <c:f>Plan1!$O$5:$O$17</c:f>
              <c:numCache>
                <c:formatCode>General</c:formatCode>
                <c:ptCount val="13"/>
                <c:pt idx="0">
                  <c:v>3.557996663381701E-3</c:v>
                </c:pt>
                <c:pt idx="1">
                  <c:v>4.4598893997630333E-3</c:v>
                </c:pt>
                <c:pt idx="2">
                  <c:v>5.4634775920979414E-3</c:v>
                </c:pt>
                <c:pt idx="3">
                  <c:v>6.3620447659357704E-3</c:v>
                </c:pt>
                <c:pt idx="4">
                  <c:v>6.8680995183463961E-3</c:v>
                </c:pt>
                <c:pt idx="5">
                  <c:v>7.9036114990311858E-3</c:v>
                </c:pt>
                <c:pt idx="6">
                  <c:v>9.8466482127981675E-3</c:v>
                </c:pt>
                <c:pt idx="7">
                  <c:v>1.2259868400885124E-2</c:v>
                </c:pt>
                <c:pt idx="8">
                  <c:v>1.4727909156225405E-2</c:v>
                </c:pt>
                <c:pt idx="9">
                  <c:v>1.8347743455534485E-2</c:v>
                </c:pt>
                <c:pt idx="10">
                  <c:v>2.3428963617902476E-2</c:v>
                </c:pt>
                <c:pt idx="11">
                  <c:v>3.0150881742524061E-2</c:v>
                </c:pt>
                <c:pt idx="12">
                  <c:v>4.0029644871741606E-2</c:v>
                </c:pt>
              </c:numCache>
            </c:numRef>
          </c:yVal>
          <c:smooth val="0"/>
          <c:extLst>
            <c:ext xmlns:c16="http://schemas.microsoft.com/office/drawing/2014/chart" uri="{C3380CC4-5D6E-409C-BE32-E72D297353CC}">
              <c16:uniqueId val="{00000000-1322-B44E-8DA4-AA188696755B}"/>
            </c:ext>
          </c:extLst>
        </c:ser>
        <c:ser>
          <c:idx val="1"/>
          <c:order val="1"/>
          <c:tx>
            <c:v>Expected</c:v>
          </c:tx>
          <c:spPr>
            <a:ln w="19050">
              <a:solidFill>
                <a:schemeClr val="bg2">
                  <a:lumMod val="50000"/>
                </a:schemeClr>
              </a:solidFill>
              <a:prstDash val="sysDash"/>
            </a:ln>
          </c:spPr>
          <c:marker>
            <c:symbol val="none"/>
          </c:marker>
          <c:xVal>
            <c:numRef>
              <c:f>Plan1!$E$4:$E$14</c:f>
              <c:numCache>
                <c:formatCode>General</c:formatCode>
                <c:ptCount val="11"/>
                <c:pt idx="0">
                  <c:v>0</c:v>
                </c:pt>
                <c:pt idx="1">
                  <c:v>0.01</c:v>
                </c:pt>
                <c:pt idx="2">
                  <c:v>1.4999999999999999E-2</c:v>
                </c:pt>
                <c:pt idx="3">
                  <c:v>0.02</c:v>
                </c:pt>
                <c:pt idx="4">
                  <c:v>2.5000000000000001E-2</c:v>
                </c:pt>
                <c:pt idx="5">
                  <c:v>3.0000000000000002E-2</c:v>
                </c:pt>
                <c:pt idx="6">
                  <c:v>3.5000000000000003E-2</c:v>
                </c:pt>
                <c:pt idx="7">
                  <c:v>0.04</c:v>
                </c:pt>
                <c:pt idx="8">
                  <c:v>4.4999999999999998E-2</c:v>
                </c:pt>
                <c:pt idx="9">
                  <c:v>4.9999999999999996E-2</c:v>
                </c:pt>
                <c:pt idx="10">
                  <c:v>5.4999999999999993E-2</c:v>
                </c:pt>
              </c:numCache>
            </c:numRef>
          </c:xVal>
          <c:yVal>
            <c:numRef>
              <c:f>Plan1!$F$4:$F$14</c:f>
              <c:numCache>
                <c:formatCode>General</c:formatCode>
                <c:ptCount val="11"/>
                <c:pt idx="0">
                  <c:v>0</c:v>
                </c:pt>
                <c:pt idx="1">
                  <c:v>0.01</c:v>
                </c:pt>
                <c:pt idx="2">
                  <c:v>1.4999999999999999E-2</c:v>
                </c:pt>
                <c:pt idx="3">
                  <c:v>0.02</c:v>
                </c:pt>
                <c:pt idx="4">
                  <c:v>2.5000000000000001E-2</c:v>
                </c:pt>
                <c:pt idx="5">
                  <c:v>3.0000000000000002E-2</c:v>
                </c:pt>
                <c:pt idx="6">
                  <c:v>3.5000000000000003E-2</c:v>
                </c:pt>
                <c:pt idx="7">
                  <c:v>0.04</c:v>
                </c:pt>
                <c:pt idx="8">
                  <c:v>4.4999999999999998E-2</c:v>
                </c:pt>
                <c:pt idx="9">
                  <c:v>4.9999999999999996E-2</c:v>
                </c:pt>
                <c:pt idx="10">
                  <c:v>5.4999999999999993E-2</c:v>
                </c:pt>
              </c:numCache>
            </c:numRef>
          </c:yVal>
          <c:smooth val="0"/>
          <c:extLst>
            <c:ext xmlns:c16="http://schemas.microsoft.com/office/drawing/2014/chart" uri="{C3380CC4-5D6E-409C-BE32-E72D297353CC}">
              <c16:uniqueId val="{00000001-1322-B44E-8DA4-AA188696755B}"/>
            </c:ext>
          </c:extLst>
        </c:ser>
        <c:dLbls>
          <c:showLegendKey val="0"/>
          <c:showVal val="0"/>
          <c:showCatName val="0"/>
          <c:showSerName val="0"/>
          <c:showPercent val="0"/>
          <c:showBubbleSize val="0"/>
        </c:dLbls>
        <c:axId val="61912576"/>
        <c:axId val="61911040"/>
      </c:scatterChart>
      <c:valAx>
        <c:axId val="61912576"/>
        <c:scaling>
          <c:orientation val="minMax"/>
        </c:scaling>
        <c:delete val="0"/>
        <c:axPos val="b"/>
        <c:majorGridlines>
          <c:spPr>
            <a:ln>
              <a:solidFill>
                <a:schemeClr val="bg2">
                  <a:lumMod val="90000"/>
                </a:schemeClr>
              </a:solidFill>
            </a:ln>
          </c:spPr>
        </c:majorGridlines>
        <c:title>
          <c:tx>
            <c:rich>
              <a:bodyPr/>
              <a:lstStyle/>
              <a:p>
                <a:pPr>
                  <a:defRPr/>
                </a:pPr>
                <a:r>
                  <a:rPr lang="pt-BR"/>
                  <a:t>d(a+)</a:t>
                </a:r>
              </a:p>
            </c:rich>
          </c:tx>
          <c:overlay val="0"/>
        </c:title>
        <c:numFmt formatCode="General" sourceLinked="1"/>
        <c:majorTickMark val="out"/>
        <c:minorTickMark val="none"/>
        <c:tickLblPos val="nextTo"/>
        <c:crossAx val="61911040"/>
        <c:crosses val="autoZero"/>
        <c:crossBetween val="midCat"/>
      </c:valAx>
      <c:valAx>
        <c:axId val="61911040"/>
        <c:scaling>
          <c:orientation val="minMax"/>
        </c:scaling>
        <c:delete val="0"/>
        <c:axPos val="l"/>
        <c:majorGridlines>
          <c:spPr>
            <a:ln>
              <a:solidFill>
                <a:schemeClr val="bg2">
                  <a:lumMod val="90000"/>
                </a:schemeClr>
              </a:solidFill>
            </a:ln>
          </c:spPr>
        </c:majorGridlines>
        <c:title>
          <c:tx>
            <c:rich>
              <a:bodyPr/>
              <a:lstStyle/>
              <a:p>
                <a:pPr>
                  <a:defRPr/>
                </a:pPr>
                <a:r>
                  <a:rPr lang="pt-BR"/>
                  <a:t>e(a+) - r(a+)</a:t>
                </a:r>
              </a:p>
            </c:rich>
          </c:tx>
          <c:overlay val="0"/>
        </c:title>
        <c:numFmt formatCode="General" sourceLinked="1"/>
        <c:majorTickMark val="out"/>
        <c:minorTickMark val="none"/>
        <c:tickLblPos val="nextTo"/>
        <c:crossAx val="61912576"/>
        <c:crosses val="autoZero"/>
        <c:crossBetween val="midCat"/>
      </c:valAx>
    </c:plotArea>
    <c:legend>
      <c:legendPos val="b"/>
      <c:overlay val="0"/>
    </c:legend>
    <c:plotVisOnly val="1"/>
    <c:dispBlanksAs val="gap"/>
    <c:showDLblsOverMax val="0"/>
  </c:chart>
  <c:spPr>
    <a:ln>
      <a:noFill/>
    </a:ln>
  </c:spPr>
  <c:txPr>
    <a:bodyPr/>
    <a:lstStyle/>
    <a:p>
      <a:pPr>
        <a:defRPr sz="1050">
          <a:latin typeface="Calibri Light" panose="020F0302020204030204" pitchFamily="34" charset="0"/>
          <a:cs typeface="Calibri Light" panose="020F0302020204030204" pitchFamily="34"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SEG</c:v>
          </c:tx>
          <c:spPr>
            <a:ln w="19050" cap="rnd">
              <a:solidFill>
                <a:schemeClr val="accent1">
                  <a:lumMod val="75000"/>
                </a:schemeClr>
              </a:solidFill>
              <a:round/>
            </a:ln>
            <a:effectLst/>
          </c:spPr>
          <c:marker>
            <c:symbol val="none"/>
          </c:marker>
          <c:cat>
            <c:strRef>
              <c:f>'SEG figura'!$F$1:$F$16</c:f>
              <c:strCache>
                <c:ptCount val="16"/>
                <c:pt idx="0">
                  <c:v> 5-9</c:v>
                </c:pt>
                <c:pt idx="1">
                  <c:v> 10-14</c:v>
                </c:pt>
                <c:pt idx="2">
                  <c:v> 15-19</c:v>
                </c:pt>
                <c:pt idx="3">
                  <c:v> 20-24</c:v>
                </c:pt>
                <c:pt idx="4">
                  <c:v> 25-29</c:v>
                </c:pt>
                <c:pt idx="5">
                  <c:v> 30-34</c:v>
                </c:pt>
                <c:pt idx="6">
                  <c:v> 35-39</c:v>
                </c:pt>
                <c:pt idx="7">
                  <c:v> 40-44</c:v>
                </c:pt>
                <c:pt idx="8">
                  <c:v> 45-49</c:v>
                </c:pt>
                <c:pt idx="9">
                  <c:v> 50-54</c:v>
                </c:pt>
                <c:pt idx="10">
                  <c:v> 55-59</c:v>
                </c:pt>
                <c:pt idx="11">
                  <c:v> 60-64</c:v>
                </c:pt>
                <c:pt idx="12">
                  <c:v> 65-69</c:v>
                </c:pt>
                <c:pt idx="13">
                  <c:v> 70-74</c:v>
                </c:pt>
                <c:pt idx="14">
                  <c:v> 75-79</c:v>
                </c:pt>
                <c:pt idx="15">
                  <c:v>80+</c:v>
                </c:pt>
              </c:strCache>
            </c:strRef>
          </c:cat>
          <c:val>
            <c:numRef>
              <c:f>'SEG figura'!$A$1:$A$16</c:f>
              <c:numCache>
                <c:formatCode>0.00</c:formatCode>
                <c:ptCount val="16"/>
                <c:pt idx="0">
                  <c:v>1.0208495158641713</c:v>
                </c:pt>
                <c:pt idx="1">
                  <c:v>0.99556629839732047</c:v>
                </c:pt>
                <c:pt idx="2">
                  <c:v>0.98432325794444331</c:v>
                </c:pt>
                <c:pt idx="3">
                  <c:v>0.98406101383599753</c:v>
                </c:pt>
                <c:pt idx="4">
                  <c:v>1.0027347256779997</c:v>
                </c:pt>
                <c:pt idx="5">
                  <c:v>1.0101967055613685</c:v>
                </c:pt>
                <c:pt idx="6">
                  <c:v>0.99867701940037246</c:v>
                </c:pt>
                <c:pt idx="7">
                  <c:v>0.98400491531458711</c:v>
                </c:pt>
                <c:pt idx="8">
                  <c:v>0.98262970544420936</c:v>
                </c:pt>
                <c:pt idx="9">
                  <c:v>0.97766989911205993</c:v>
                </c:pt>
                <c:pt idx="10">
                  <c:v>0.96928928478440446</c:v>
                </c:pt>
                <c:pt idx="11">
                  <c:v>0.96097777755869618</c:v>
                </c:pt>
                <c:pt idx="12">
                  <c:v>0.94019007043530278</c:v>
                </c:pt>
                <c:pt idx="13">
                  <c:v>0.92387863164027173</c:v>
                </c:pt>
                <c:pt idx="14">
                  <c:v>0.9071120771325446</c:v>
                </c:pt>
                <c:pt idx="15">
                  <c:v>0.67132225569393533</c:v>
                </c:pt>
              </c:numCache>
            </c:numRef>
          </c:val>
          <c:smooth val="1"/>
          <c:extLst>
            <c:ext xmlns:c16="http://schemas.microsoft.com/office/drawing/2014/chart" uri="{C3380CC4-5D6E-409C-BE32-E72D297353CC}">
              <c16:uniqueId val="{00000000-DDBC-2946-AB59-62479D7FEE26}"/>
            </c:ext>
          </c:extLst>
        </c:ser>
        <c:ser>
          <c:idx val="1"/>
          <c:order val="1"/>
          <c:tx>
            <c:v>SEG adj</c:v>
          </c:tx>
          <c:spPr>
            <a:ln w="19050" cap="rnd">
              <a:solidFill>
                <a:schemeClr val="accent1">
                  <a:lumMod val="40000"/>
                  <a:lumOff val="60000"/>
                </a:schemeClr>
              </a:solidFill>
              <a:round/>
            </a:ln>
            <a:effectLst/>
          </c:spPr>
          <c:marker>
            <c:symbol val="none"/>
          </c:marker>
          <c:cat>
            <c:strRef>
              <c:f>'SEG figura'!$F$1:$F$16</c:f>
              <c:strCache>
                <c:ptCount val="16"/>
                <c:pt idx="0">
                  <c:v> 5-9</c:v>
                </c:pt>
                <c:pt idx="1">
                  <c:v> 10-14</c:v>
                </c:pt>
                <c:pt idx="2">
                  <c:v> 15-19</c:v>
                </c:pt>
                <c:pt idx="3">
                  <c:v> 20-24</c:v>
                </c:pt>
                <c:pt idx="4">
                  <c:v> 25-29</c:v>
                </c:pt>
                <c:pt idx="5">
                  <c:v> 30-34</c:v>
                </c:pt>
                <c:pt idx="6">
                  <c:v> 35-39</c:v>
                </c:pt>
                <c:pt idx="7">
                  <c:v> 40-44</c:v>
                </c:pt>
                <c:pt idx="8">
                  <c:v> 45-49</c:v>
                </c:pt>
                <c:pt idx="9">
                  <c:v> 50-54</c:v>
                </c:pt>
                <c:pt idx="10">
                  <c:v> 55-59</c:v>
                </c:pt>
                <c:pt idx="11">
                  <c:v> 60-64</c:v>
                </c:pt>
                <c:pt idx="12">
                  <c:v> 65-69</c:v>
                </c:pt>
                <c:pt idx="13">
                  <c:v> 70-74</c:v>
                </c:pt>
                <c:pt idx="14">
                  <c:v> 75-79</c:v>
                </c:pt>
                <c:pt idx="15">
                  <c:v>80+</c:v>
                </c:pt>
              </c:strCache>
            </c:strRef>
          </c:cat>
          <c:val>
            <c:numRef>
              <c:f>'SEG figura'!$B$1:$B$16</c:f>
              <c:numCache>
                <c:formatCode>0.00</c:formatCode>
                <c:ptCount val="16"/>
                <c:pt idx="0">
                  <c:v>0.96751792831183792</c:v>
                </c:pt>
                <c:pt idx="1">
                  <c:v>0.94770959962306822</c:v>
                </c:pt>
                <c:pt idx="2">
                  <c:v>0.94112224403473965</c:v>
                </c:pt>
                <c:pt idx="3">
                  <c:v>0.94476869753024417</c:v>
                </c:pt>
                <c:pt idx="4">
                  <c:v>0.96657155994914812</c:v>
                </c:pt>
                <c:pt idx="5">
                  <c:v>0.97772491296788933</c:v>
                </c:pt>
                <c:pt idx="6">
                  <c:v>0.97052522795677987</c:v>
                </c:pt>
                <c:pt idx="7">
                  <c:v>0.96016474756961123</c:v>
                </c:pt>
                <c:pt idx="8">
                  <c:v>0.96270168138123291</c:v>
                </c:pt>
                <c:pt idx="9">
                  <c:v>0.9616857470720338</c:v>
                </c:pt>
                <c:pt idx="10">
                  <c:v>0.95726264540317019</c:v>
                </c:pt>
                <c:pt idx="11">
                  <c:v>0.95293004310796103</c:v>
                </c:pt>
                <c:pt idx="12">
                  <c:v>0.9363355813705927</c:v>
                </c:pt>
                <c:pt idx="13">
                  <c:v>0.92459366875810067</c:v>
                </c:pt>
                <c:pt idx="14">
                  <c:v>0.91357728109331815</c:v>
                </c:pt>
                <c:pt idx="15">
                  <c:v>0.68293538763240413</c:v>
                </c:pt>
              </c:numCache>
            </c:numRef>
          </c:val>
          <c:smooth val="1"/>
          <c:extLst>
            <c:ext xmlns:c16="http://schemas.microsoft.com/office/drawing/2014/chart" uri="{C3380CC4-5D6E-409C-BE32-E72D297353CC}">
              <c16:uniqueId val="{00000001-DDBC-2946-AB59-62479D7FEE26}"/>
            </c:ext>
          </c:extLst>
        </c:ser>
        <c:ser>
          <c:idx val="2"/>
          <c:order val="2"/>
          <c:spPr>
            <a:ln w="12700" cap="rnd">
              <a:solidFill>
                <a:schemeClr val="tx1"/>
              </a:solidFill>
              <a:prstDash val="sysDash"/>
              <a:round/>
            </a:ln>
            <a:effectLst/>
          </c:spPr>
          <c:marker>
            <c:symbol val="none"/>
          </c:marker>
          <c:cat>
            <c:strRef>
              <c:f>'SEG figura'!$F$1:$F$16</c:f>
              <c:strCache>
                <c:ptCount val="16"/>
                <c:pt idx="0">
                  <c:v> 5-9</c:v>
                </c:pt>
                <c:pt idx="1">
                  <c:v> 10-14</c:v>
                </c:pt>
                <c:pt idx="2">
                  <c:v> 15-19</c:v>
                </c:pt>
                <c:pt idx="3">
                  <c:v> 20-24</c:v>
                </c:pt>
                <c:pt idx="4">
                  <c:v> 25-29</c:v>
                </c:pt>
                <c:pt idx="5">
                  <c:v> 30-34</c:v>
                </c:pt>
                <c:pt idx="6">
                  <c:v> 35-39</c:v>
                </c:pt>
                <c:pt idx="7">
                  <c:v> 40-44</c:v>
                </c:pt>
                <c:pt idx="8">
                  <c:v> 45-49</c:v>
                </c:pt>
                <c:pt idx="9">
                  <c:v> 50-54</c:v>
                </c:pt>
                <c:pt idx="10">
                  <c:v> 55-59</c:v>
                </c:pt>
                <c:pt idx="11">
                  <c:v> 60-64</c:v>
                </c:pt>
                <c:pt idx="12">
                  <c:v> 65-69</c:v>
                </c:pt>
                <c:pt idx="13">
                  <c:v> 70-74</c:v>
                </c:pt>
                <c:pt idx="14">
                  <c:v> 75-79</c:v>
                </c:pt>
                <c:pt idx="15">
                  <c:v>80+</c:v>
                </c:pt>
              </c:strCache>
            </c:strRef>
          </c:cat>
          <c:val>
            <c:numRef>
              <c:f>'SEG figura'!$C$1:$C$16</c:f>
              <c:numCache>
                <c:formatCode>General</c:formatCode>
                <c:ptCount val="1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numCache>
            </c:numRef>
          </c:val>
          <c:smooth val="0"/>
          <c:extLst>
            <c:ext xmlns:c16="http://schemas.microsoft.com/office/drawing/2014/chart" uri="{C3380CC4-5D6E-409C-BE32-E72D297353CC}">
              <c16:uniqueId val="{00000002-DDBC-2946-AB59-62479D7FEE26}"/>
            </c:ext>
          </c:extLst>
        </c:ser>
        <c:dLbls>
          <c:showLegendKey val="0"/>
          <c:showVal val="0"/>
          <c:showCatName val="0"/>
          <c:showSerName val="0"/>
          <c:showPercent val="0"/>
          <c:showBubbleSize val="0"/>
        </c:dLbls>
        <c:smooth val="0"/>
        <c:axId val="381949248"/>
        <c:axId val="381947584"/>
      </c:lineChart>
      <c:catAx>
        <c:axId val="381949248"/>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r>
                  <a:rPr lang="en-US"/>
                  <a:t>Age Group</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crossAx val="381947584"/>
        <c:crosses val="autoZero"/>
        <c:auto val="1"/>
        <c:lblAlgn val="ctr"/>
        <c:lblOffset val="100"/>
        <c:noMultiLvlLbl val="0"/>
      </c:catAx>
      <c:valAx>
        <c:axId val="381947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r>
                  <a:rPr lang="pt-BR"/>
                  <a:t>Coverage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crossAx val="38194924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Calibri Light" panose="020F0302020204030204" pitchFamily="34" charset="0"/>
          <a:cs typeface="Calibri Light" panose="020F0302020204030204" pitchFamily="34" charset="0"/>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SEG</c:v>
          </c:tx>
          <c:spPr>
            <a:ln w="19050" cap="rnd">
              <a:solidFill>
                <a:srgbClr val="C00000"/>
              </a:solidFill>
              <a:round/>
            </a:ln>
            <a:effectLst/>
          </c:spPr>
          <c:marker>
            <c:symbol val="none"/>
          </c:marker>
          <c:cat>
            <c:strRef>
              <c:f>'SEG figura'!$F$1:$F$16</c:f>
              <c:strCache>
                <c:ptCount val="16"/>
                <c:pt idx="0">
                  <c:v> 5-9</c:v>
                </c:pt>
                <c:pt idx="1">
                  <c:v> 10-14</c:v>
                </c:pt>
                <c:pt idx="2">
                  <c:v> 15-19</c:v>
                </c:pt>
                <c:pt idx="3">
                  <c:v> 20-24</c:v>
                </c:pt>
                <c:pt idx="4">
                  <c:v> 25-29</c:v>
                </c:pt>
                <c:pt idx="5">
                  <c:v> 30-34</c:v>
                </c:pt>
                <c:pt idx="6">
                  <c:v> 35-39</c:v>
                </c:pt>
                <c:pt idx="7">
                  <c:v> 40-44</c:v>
                </c:pt>
                <c:pt idx="8">
                  <c:v> 45-49</c:v>
                </c:pt>
                <c:pt idx="9">
                  <c:v> 50-54</c:v>
                </c:pt>
                <c:pt idx="10">
                  <c:v> 55-59</c:v>
                </c:pt>
                <c:pt idx="11">
                  <c:v> 60-64</c:v>
                </c:pt>
                <c:pt idx="12">
                  <c:v> 65-69</c:v>
                </c:pt>
                <c:pt idx="13">
                  <c:v> 70-74</c:v>
                </c:pt>
                <c:pt idx="14">
                  <c:v> 75-79</c:v>
                </c:pt>
                <c:pt idx="15">
                  <c:v>80+</c:v>
                </c:pt>
              </c:strCache>
            </c:strRef>
          </c:cat>
          <c:val>
            <c:numRef>
              <c:f>'SEG figura'!$D$1:$D$16</c:f>
              <c:numCache>
                <c:formatCode>0.00</c:formatCode>
                <c:ptCount val="16"/>
                <c:pt idx="0">
                  <c:v>1.015657629853405</c:v>
                </c:pt>
                <c:pt idx="1">
                  <c:v>0.99049652378169328</c:v>
                </c:pt>
                <c:pt idx="2">
                  <c:v>0.97183896975247519</c:v>
                </c:pt>
                <c:pt idx="3">
                  <c:v>0.96695203285707154</c:v>
                </c:pt>
                <c:pt idx="4">
                  <c:v>0.97938845909258865</c:v>
                </c:pt>
                <c:pt idx="5">
                  <c:v>0.97967685855997766</c:v>
                </c:pt>
                <c:pt idx="6">
                  <c:v>0.96869923486692155</c:v>
                </c:pt>
                <c:pt idx="7">
                  <c:v>0.95981452481973473</c:v>
                </c:pt>
                <c:pt idx="8">
                  <c:v>0.96177404495054475</c:v>
                </c:pt>
                <c:pt idx="9">
                  <c:v>0.95662113761928724</c:v>
                </c:pt>
                <c:pt idx="10">
                  <c:v>0.94667722485653372</c:v>
                </c:pt>
                <c:pt idx="11">
                  <c:v>0.93517666073412842</c:v>
                </c:pt>
                <c:pt idx="12">
                  <c:v>0.92310838731652667</c:v>
                </c:pt>
                <c:pt idx="13">
                  <c:v>0.91772701654301136</c:v>
                </c:pt>
                <c:pt idx="14">
                  <c:v>0.91562447184150142</c:v>
                </c:pt>
                <c:pt idx="15">
                  <c:v>0.66799807865020178</c:v>
                </c:pt>
              </c:numCache>
            </c:numRef>
          </c:val>
          <c:smooth val="1"/>
          <c:extLst>
            <c:ext xmlns:c16="http://schemas.microsoft.com/office/drawing/2014/chart" uri="{C3380CC4-5D6E-409C-BE32-E72D297353CC}">
              <c16:uniqueId val="{00000000-FBD1-6D4D-8FC6-60972ED0AF77}"/>
            </c:ext>
          </c:extLst>
        </c:ser>
        <c:ser>
          <c:idx val="1"/>
          <c:order val="1"/>
          <c:tx>
            <c:v>SEG adj</c:v>
          </c:tx>
          <c:spPr>
            <a:ln w="19050" cap="rnd">
              <a:solidFill>
                <a:srgbClr val="FF7E79"/>
              </a:solidFill>
              <a:round/>
            </a:ln>
            <a:effectLst/>
          </c:spPr>
          <c:marker>
            <c:symbol val="none"/>
          </c:marker>
          <c:cat>
            <c:strRef>
              <c:f>'SEG figura'!$F$1:$F$16</c:f>
              <c:strCache>
                <c:ptCount val="16"/>
                <c:pt idx="0">
                  <c:v> 5-9</c:v>
                </c:pt>
                <c:pt idx="1">
                  <c:v> 10-14</c:v>
                </c:pt>
                <c:pt idx="2">
                  <c:v> 15-19</c:v>
                </c:pt>
                <c:pt idx="3">
                  <c:v> 20-24</c:v>
                </c:pt>
                <c:pt idx="4">
                  <c:v> 25-29</c:v>
                </c:pt>
                <c:pt idx="5">
                  <c:v> 30-34</c:v>
                </c:pt>
                <c:pt idx="6">
                  <c:v> 35-39</c:v>
                </c:pt>
                <c:pt idx="7">
                  <c:v> 40-44</c:v>
                </c:pt>
                <c:pt idx="8">
                  <c:v> 45-49</c:v>
                </c:pt>
                <c:pt idx="9">
                  <c:v> 50-54</c:v>
                </c:pt>
                <c:pt idx="10">
                  <c:v> 55-59</c:v>
                </c:pt>
                <c:pt idx="11">
                  <c:v> 60-64</c:v>
                </c:pt>
                <c:pt idx="12">
                  <c:v> 65-69</c:v>
                </c:pt>
                <c:pt idx="13">
                  <c:v> 70-74</c:v>
                </c:pt>
                <c:pt idx="14">
                  <c:v> 75-79</c:v>
                </c:pt>
                <c:pt idx="15">
                  <c:v>80+</c:v>
                </c:pt>
              </c:strCache>
            </c:strRef>
          </c:cat>
          <c:val>
            <c:numRef>
              <c:f>'SEG figura'!$E$1:$E$16</c:f>
              <c:numCache>
                <c:formatCode>0.00</c:formatCode>
                <c:ptCount val="16"/>
                <c:pt idx="0">
                  <c:v>0.9479496178817951</c:v>
                </c:pt>
                <c:pt idx="1">
                  <c:v>0.92853587425333872</c:v>
                </c:pt>
                <c:pt idx="2">
                  <c:v>0.91505545368353458</c:v>
                </c:pt>
                <c:pt idx="3">
                  <c:v>0.91441414922385889</c:v>
                </c:pt>
                <c:pt idx="4">
                  <c:v>0.93018753046769276</c:v>
                </c:pt>
                <c:pt idx="5">
                  <c:v>0.93447020567762384</c:v>
                </c:pt>
                <c:pt idx="6">
                  <c:v>0.92794490305005028</c:v>
                </c:pt>
                <c:pt idx="7">
                  <c:v>0.923303248007035</c:v>
                </c:pt>
                <c:pt idx="8">
                  <c:v>0.92899769297019819</c:v>
                </c:pt>
                <c:pt idx="9">
                  <c:v>0.92771330034017785</c:v>
                </c:pt>
                <c:pt idx="10">
                  <c:v>0.92161566328330602</c:v>
                </c:pt>
                <c:pt idx="11">
                  <c:v>0.91379526742874961</c:v>
                </c:pt>
                <c:pt idx="12">
                  <c:v>0.90516328998563245</c:v>
                </c:pt>
                <c:pt idx="13">
                  <c:v>0.90283333067695004</c:v>
                </c:pt>
                <c:pt idx="14">
                  <c:v>0.90348167355167042</c:v>
                </c:pt>
                <c:pt idx="15">
                  <c:v>0.66096741610987719</c:v>
                </c:pt>
              </c:numCache>
            </c:numRef>
          </c:val>
          <c:smooth val="1"/>
          <c:extLst>
            <c:ext xmlns:c16="http://schemas.microsoft.com/office/drawing/2014/chart" uri="{C3380CC4-5D6E-409C-BE32-E72D297353CC}">
              <c16:uniqueId val="{00000001-FBD1-6D4D-8FC6-60972ED0AF77}"/>
            </c:ext>
          </c:extLst>
        </c:ser>
        <c:ser>
          <c:idx val="2"/>
          <c:order val="2"/>
          <c:spPr>
            <a:ln w="12700" cap="rnd">
              <a:solidFill>
                <a:schemeClr val="tx1"/>
              </a:solidFill>
              <a:prstDash val="sysDash"/>
              <a:round/>
            </a:ln>
            <a:effectLst/>
          </c:spPr>
          <c:marker>
            <c:symbol val="none"/>
          </c:marker>
          <c:cat>
            <c:strRef>
              <c:f>'SEG figura'!$F$1:$F$16</c:f>
              <c:strCache>
                <c:ptCount val="16"/>
                <c:pt idx="0">
                  <c:v> 5-9</c:v>
                </c:pt>
                <c:pt idx="1">
                  <c:v> 10-14</c:v>
                </c:pt>
                <c:pt idx="2">
                  <c:v> 15-19</c:v>
                </c:pt>
                <c:pt idx="3">
                  <c:v> 20-24</c:v>
                </c:pt>
                <c:pt idx="4">
                  <c:v> 25-29</c:v>
                </c:pt>
                <c:pt idx="5">
                  <c:v> 30-34</c:v>
                </c:pt>
                <c:pt idx="6">
                  <c:v> 35-39</c:v>
                </c:pt>
                <c:pt idx="7">
                  <c:v> 40-44</c:v>
                </c:pt>
                <c:pt idx="8">
                  <c:v> 45-49</c:v>
                </c:pt>
                <c:pt idx="9">
                  <c:v> 50-54</c:v>
                </c:pt>
                <c:pt idx="10">
                  <c:v> 55-59</c:v>
                </c:pt>
                <c:pt idx="11">
                  <c:v> 60-64</c:v>
                </c:pt>
                <c:pt idx="12">
                  <c:v> 65-69</c:v>
                </c:pt>
                <c:pt idx="13">
                  <c:v> 70-74</c:v>
                </c:pt>
                <c:pt idx="14">
                  <c:v> 75-79</c:v>
                </c:pt>
                <c:pt idx="15">
                  <c:v>80+</c:v>
                </c:pt>
              </c:strCache>
            </c:strRef>
          </c:cat>
          <c:val>
            <c:numRef>
              <c:f>'SEG figura'!$C$1:$C$16</c:f>
              <c:numCache>
                <c:formatCode>General</c:formatCode>
                <c:ptCount val="1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numCache>
            </c:numRef>
          </c:val>
          <c:smooth val="0"/>
          <c:extLst>
            <c:ext xmlns:c16="http://schemas.microsoft.com/office/drawing/2014/chart" uri="{C3380CC4-5D6E-409C-BE32-E72D297353CC}">
              <c16:uniqueId val="{00000002-FBD1-6D4D-8FC6-60972ED0AF77}"/>
            </c:ext>
          </c:extLst>
        </c:ser>
        <c:dLbls>
          <c:showLegendKey val="0"/>
          <c:showVal val="0"/>
          <c:showCatName val="0"/>
          <c:showSerName val="0"/>
          <c:showPercent val="0"/>
          <c:showBubbleSize val="0"/>
        </c:dLbls>
        <c:smooth val="0"/>
        <c:axId val="381949248"/>
        <c:axId val="381947584"/>
      </c:lineChart>
      <c:catAx>
        <c:axId val="381949248"/>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r>
                  <a:rPr lang="en-US"/>
                  <a:t>Age Group</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crossAx val="381947584"/>
        <c:crosses val="autoZero"/>
        <c:auto val="1"/>
        <c:lblAlgn val="ctr"/>
        <c:lblOffset val="100"/>
        <c:noMultiLvlLbl val="0"/>
      </c:catAx>
      <c:valAx>
        <c:axId val="381947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r>
                  <a:rPr lang="pt-BR"/>
                  <a:t>Coverage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crossAx val="38194924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Calibri Light" panose="020F0302020204030204" pitchFamily="34" charset="0"/>
          <a:cs typeface="Calibri Light" panose="020F0302020204030204" pitchFamily="34"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1722A-A7A1-B04E-8803-C5BC915A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3099</Words>
  <Characters>16740</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Guimarães</dc:creator>
  <cp:keywords/>
  <dc:description/>
  <cp:lastModifiedBy>Raphael Guimarães</cp:lastModifiedBy>
  <cp:revision>3</cp:revision>
  <dcterms:created xsi:type="dcterms:W3CDTF">2022-10-23T05:40:00Z</dcterms:created>
  <dcterms:modified xsi:type="dcterms:W3CDTF">2022-10-23T06:19:00Z</dcterms:modified>
</cp:coreProperties>
</file>