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6F28AE" w14:textId="77777777" w:rsidR="00550C41" w:rsidRDefault="00550C41" w:rsidP="0041628A">
      <w:pPr>
        <w:spacing w:after="0"/>
        <w:rPr>
          <w:rFonts w:cs="Arial"/>
          <w:b/>
          <w:szCs w:val="20"/>
        </w:rPr>
      </w:pPr>
      <w:r>
        <w:rPr>
          <w:rFonts w:cs="Arial"/>
          <w:b/>
          <w:szCs w:val="20"/>
        </w:rPr>
        <w:t xml:space="preserve">Supplementary Methods </w:t>
      </w:r>
    </w:p>
    <w:p w14:paraId="3FA8D983" w14:textId="77777777" w:rsidR="00550C41" w:rsidRDefault="00550C41" w:rsidP="0041628A">
      <w:pPr>
        <w:spacing w:after="0"/>
        <w:rPr>
          <w:rFonts w:cs="Arial"/>
          <w:b/>
          <w:szCs w:val="20"/>
        </w:rPr>
      </w:pPr>
    </w:p>
    <w:p w14:paraId="1AE1E98D" w14:textId="4C7856DA" w:rsidR="0041628A" w:rsidRPr="00CA74B7" w:rsidRDefault="0041628A" w:rsidP="0041628A">
      <w:pPr>
        <w:spacing w:after="0"/>
        <w:rPr>
          <w:rFonts w:cs="Arial"/>
          <w:b/>
          <w:szCs w:val="20"/>
        </w:rPr>
      </w:pPr>
      <w:r w:rsidRPr="00CA74B7">
        <w:rPr>
          <w:rFonts w:cs="Arial"/>
          <w:b/>
          <w:szCs w:val="20"/>
        </w:rPr>
        <w:t>Patient population</w:t>
      </w:r>
    </w:p>
    <w:p w14:paraId="3F5F0066" w14:textId="3A9F2717" w:rsidR="00AA77CD" w:rsidRPr="00CA74B7" w:rsidRDefault="00AA77CD" w:rsidP="0041628A">
      <w:pPr>
        <w:spacing w:after="0"/>
        <w:rPr>
          <w:rFonts w:cs="Arial"/>
          <w:b/>
          <w:szCs w:val="20"/>
        </w:rPr>
      </w:pPr>
    </w:p>
    <w:p w14:paraId="06AB75A0" w14:textId="611C1CF9" w:rsidR="00AA77CD" w:rsidRPr="00CF2B5C" w:rsidRDefault="007C6B9F" w:rsidP="00CF2B5C">
      <w:pPr>
        <w:spacing w:after="0"/>
        <w:rPr>
          <w:rFonts w:cs="Arial"/>
          <w:b/>
          <w:color w:val="000000" w:themeColor="text1"/>
          <w:szCs w:val="20"/>
        </w:rPr>
      </w:pPr>
      <w:r w:rsidRPr="00CA74B7">
        <w:rPr>
          <w:rFonts w:cs="Arial"/>
          <w:color w:val="000000" w:themeColor="text1"/>
          <w:szCs w:val="20"/>
        </w:rPr>
        <w:tab/>
      </w:r>
      <w:r w:rsidR="00CF2B5C" w:rsidRPr="00CF2B5C">
        <w:rPr>
          <w:rFonts w:cs="Arial"/>
          <w:szCs w:val="20"/>
        </w:rPr>
        <w:t xml:space="preserve">This retrospective analysis included patients </w:t>
      </w:r>
      <w:bookmarkStart w:id="0" w:name="_Hlk107385512"/>
      <w:r w:rsidR="00CF2B5C" w:rsidRPr="00CF2B5C">
        <w:rPr>
          <w:rFonts w:cs="Arial"/>
          <w:szCs w:val="20"/>
        </w:rPr>
        <w:t>with documented stage III NSCLC according to the AJCC 8</w:t>
      </w:r>
      <w:r w:rsidR="00CF2B5C" w:rsidRPr="00CF2B5C">
        <w:rPr>
          <w:rFonts w:cs="Arial"/>
          <w:szCs w:val="20"/>
          <w:vertAlign w:val="superscript"/>
        </w:rPr>
        <w:t>th</w:t>
      </w:r>
      <w:r w:rsidR="00CF2B5C" w:rsidRPr="00CF2B5C">
        <w:rPr>
          <w:rFonts w:cs="Arial"/>
          <w:szCs w:val="20"/>
        </w:rPr>
        <w:t xml:space="preserve"> Edition. Patients also had to have received </w:t>
      </w:r>
      <w:bookmarkEnd w:id="0"/>
      <w:r w:rsidR="00CF2B5C" w:rsidRPr="00CF2B5C">
        <w:rPr>
          <w:rFonts w:cs="Arial"/>
          <w:szCs w:val="20"/>
        </w:rPr>
        <w:t xml:space="preserve">platinum-based chemotherapy concurrently with definitive radiation therapy </w:t>
      </w:r>
      <w:r w:rsidR="00CF2B5C" w:rsidRPr="00CF2B5C">
        <w:rPr>
          <w:rFonts w:cs="Arial"/>
          <w:color w:val="000000" w:themeColor="text1"/>
          <w:szCs w:val="20"/>
          <w:shd w:val="clear" w:color="auto" w:fill="FFFFFF"/>
        </w:rPr>
        <w:t>and received at least one dose of consolidation durvalumab</w:t>
      </w:r>
      <w:r w:rsidR="00CF2B5C" w:rsidRPr="00CF2B5C">
        <w:rPr>
          <w:rFonts w:cs="Arial"/>
          <w:szCs w:val="20"/>
        </w:rPr>
        <w:t>. Clinicopathologic</w:t>
      </w:r>
      <w:r w:rsidR="00CF2B5C" w:rsidRPr="00CF2B5C">
        <w:rPr>
          <w:rFonts w:cs="Arial"/>
          <w:color w:val="000000" w:themeColor="text1"/>
          <w:szCs w:val="20"/>
          <w:shd w:val="clear" w:color="auto" w:fill="FFFFFF"/>
        </w:rPr>
        <w:t xml:space="preserve"> and genomic data were obtained from Dana-Farber Cancer Institute (</w:t>
      </w:r>
      <w:r w:rsidR="00CF2B5C" w:rsidRPr="00CF2B5C">
        <w:rPr>
          <w:rFonts w:cs="Arial"/>
          <w:szCs w:val="20"/>
        </w:rPr>
        <w:t xml:space="preserve">DFCI) and Memorial Sloan Kettering Cancer Center </w:t>
      </w:r>
      <w:r w:rsidR="00CF2B5C" w:rsidRPr="00CF2B5C">
        <w:rPr>
          <w:rFonts w:cs="Arial"/>
          <w:color w:val="000000" w:themeColor="text1"/>
          <w:szCs w:val="20"/>
          <w:shd w:val="clear" w:color="auto" w:fill="FFFFFF"/>
        </w:rPr>
        <w:t>(MSKCC) cohorts. Patients were included if they had consented to each institution's institutional review board-approved medical review protocols.</w:t>
      </w:r>
      <w:r w:rsidR="00B220EB">
        <w:rPr>
          <w:rFonts w:cs="Arial"/>
          <w:color w:val="000000" w:themeColor="text1"/>
          <w:szCs w:val="20"/>
          <w:shd w:val="clear" w:color="auto" w:fill="FFFFFF"/>
        </w:rPr>
        <w:t xml:space="preserve"> </w:t>
      </w:r>
      <w:r w:rsidR="00AA77CD" w:rsidRPr="00CF2B5C">
        <w:rPr>
          <w:rFonts w:cs="Arial"/>
          <w:color w:val="000000" w:themeColor="text1"/>
          <w:szCs w:val="20"/>
        </w:rPr>
        <w:t>The patient studies were conducted according to the ethical guidelines of the Declaration of Helsinki.</w:t>
      </w:r>
    </w:p>
    <w:p w14:paraId="67C97CB2" w14:textId="4C18EE99" w:rsidR="0041628A" w:rsidRPr="00CF2B5C" w:rsidRDefault="0041628A" w:rsidP="00CF2B5C">
      <w:pPr>
        <w:spacing w:after="0"/>
        <w:rPr>
          <w:rFonts w:cs="Arial"/>
          <w:b/>
          <w:szCs w:val="20"/>
        </w:rPr>
      </w:pPr>
    </w:p>
    <w:p w14:paraId="57C51151" w14:textId="77777777" w:rsidR="00EB4078" w:rsidRDefault="00EB4078" w:rsidP="00AA77CD">
      <w:pPr>
        <w:spacing w:after="0"/>
        <w:rPr>
          <w:rFonts w:cs="Arial"/>
          <w:b/>
          <w:bCs/>
          <w:iCs/>
          <w:szCs w:val="20"/>
        </w:rPr>
      </w:pPr>
    </w:p>
    <w:p w14:paraId="71C1AE65" w14:textId="79D76831" w:rsidR="0062601C" w:rsidRPr="00CA74B7" w:rsidRDefault="0062601C" w:rsidP="00AA77CD">
      <w:pPr>
        <w:spacing w:after="0"/>
        <w:rPr>
          <w:rFonts w:cs="Arial"/>
          <w:b/>
          <w:bCs/>
          <w:iCs/>
          <w:szCs w:val="20"/>
        </w:rPr>
      </w:pPr>
      <w:r w:rsidRPr="00CA74B7">
        <w:rPr>
          <w:rFonts w:cs="Arial"/>
          <w:b/>
          <w:bCs/>
          <w:iCs/>
          <w:szCs w:val="20"/>
        </w:rPr>
        <w:t xml:space="preserve">Specific Site </w:t>
      </w:r>
    </w:p>
    <w:p w14:paraId="0B132ED9" w14:textId="46DEF09E" w:rsidR="00AA77CD" w:rsidRPr="00CA74B7" w:rsidRDefault="0041628A" w:rsidP="00AA77CD">
      <w:pPr>
        <w:spacing w:after="0"/>
        <w:rPr>
          <w:rFonts w:cs="Arial"/>
          <w:b/>
          <w:szCs w:val="20"/>
        </w:rPr>
      </w:pPr>
      <w:r w:rsidRPr="00CA74B7">
        <w:rPr>
          <w:rFonts w:cs="Arial"/>
          <w:i/>
          <w:szCs w:val="20"/>
        </w:rPr>
        <w:t>Dana-Farber Cancer Institute cohort</w:t>
      </w:r>
    </w:p>
    <w:p w14:paraId="55B9025E" w14:textId="77777777" w:rsidR="00AA77CD" w:rsidRPr="00CA74B7" w:rsidRDefault="00AA77CD" w:rsidP="00AA77CD">
      <w:pPr>
        <w:spacing w:after="0"/>
        <w:rPr>
          <w:rFonts w:cs="Arial"/>
          <w:i/>
          <w:szCs w:val="20"/>
        </w:rPr>
      </w:pPr>
    </w:p>
    <w:p w14:paraId="186BCD0C" w14:textId="5446DBCD" w:rsidR="0041628A" w:rsidRPr="00CA74B7" w:rsidRDefault="007C6B9F" w:rsidP="00AA77CD">
      <w:pPr>
        <w:spacing w:after="0"/>
        <w:rPr>
          <w:rFonts w:cs="Arial"/>
          <w:i/>
          <w:szCs w:val="20"/>
        </w:rPr>
      </w:pPr>
      <w:r w:rsidRPr="00CA74B7">
        <w:rPr>
          <w:rFonts w:cs="Arial"/>
          <w:color w:val="000000" w:themeColor="text1"/>
          <w:szCs w:val="20"/>
        </w:rPr>
        <w:tab/>
      </w:r>
      <w:r w:rsidR="0041628A" w:rsidRPr="00CA74B7">
        <w:rPr>
          <w:rFonts w:cs="Arial"/>
          <w:color w:val="000000" w:themeColor="text1"/>
          <w:szCs w:val="20"/>
        </w:rPr>
        <w:t xml:space="preserve">Patients at the Dana-Farber Cancer Institute who consented to institutional review board-approved protocols DF/HCC 02-180, 11-104, 13-364, and/or 17-000 which allowed for conducting translational research and multiplexed immunofluorescence, respectively, were </w:t>
      </w:r>
      <w:r w:rsidR="00AA77CD" w:rsidRPr="00CA74B7">
        <w:rPr>
          <w:rFonts w:cs="Arial"/>
          <w:color w:val="000000" w:themeColor="text1"/>
          <w:szCs w:val="20"/>
        </w:rPr>
        <w:t xml:space="preserve">also </w:t>
      </w:r>
      <w:r w:rsidR="0041628A" w:rsidRPr="00CA74B7">
        <w:rPr>
          <w:rFonts w:cs="Arial"/>
          <w:color w:val="000000" w:themeColor="text1"/>
          <w:szCs w:val="20"/>
        </w:rPr>
        <w:t>included.</w:t>
      </w:r>
    </w:p>
    <w:p w14:paraId="4C7F4968" w14:textId="17DB183C" w:rsidR="0041628A" w:rsidRPr="00CA74B7" w:rsidRDefault="0041628A" w:rsidP="0041628A">
      <w:pPr>
        <w:spacing w:after="0"/>
        <w:rPr>
          <w:rFonts w:cs="Arial"/>
          <w:i/>
          <w:szCs w:val="20"/>
        </w:rPr>
      </w:pPr>
      <w:bookmarkStart w:id="1" w:name="_Hlk517884065"/>
    </w:p>
    <w:p w14:paraId="4B3D68AC" w14:textId="77777777" w:rsidR="00AA77CD" w:rsidRPr="00CA74B7" w:rsidRDefault="00AA77CD" w:rsidP="0041628A">
      <w:pPr>
        <w:spacing w:after="0"/>
        <w:rPr>
          <w:rFonts w:eastAsia="MS Mincho" w:cs="Arial"/>
          <w:szCs w:val="20"/>
          <w:lang w:eastAsia="ja-JP"/>
        </w:rPr>
      </w:pPr>
    </w:p>
    <w:bookmarkEnd w:id="1"/>
    <w:p w14:paraId="5782A65C" w14:textId="77777777" w:rsidR="00AA77CD" w:rsidRPr="00CA74B7" w:rsidRDefault="0041628A" w:rsidP="00AA77CD">
      <w:pPr>
        <w:spacing w:after="0"/>
        <w:rPr>
          <w:rFonts w:cs="Arial"/>
          <w:b/>
          <w:szCs w:val="20"/>
        </w:rPr>
      </w:pPr>
      <w:r w:rsidRPr="00CA74B7">
        <w:rPr>
          <w:rFonts w:cs="Arial"/>
          <w:b/>
          <w:szCs w:val="20"/>
        </w:rPr>
        <w:t>Programmed death ligand 1 immunohistochemistry</w:t>
      </w:r>
    </w:p>
    <w:p w14:paraId="6B04756D" w14:textId="77777777" w:rsidR="00AA77CD" w:rsidRPr="00CA74B7" w:rsidRDefault="00AA77CD" w:rsidP="005803FB">
      <w:pPr>
        <w:spacing w:after="0"/>
        <w:rPr>
          <w:rFonts w:cs="Arial"/>
          <w:b/>
          <w:szCs w:val="20"/>
        </w:rPr>
      </w:pPr>
    </w:p>
    <w:p w14:paraId="7034E8A4" w14:textId="20D1EB77" w:rsidR="005803FB" w:rsidRPr="00CA74B7" w:rsidRDefault="007C6B9F" w:rsidP="005803FB">
      <w:pPr>
        <w:pStyle w:val="NormalWeb"/>
        <w:spacing w:before="0" w:beforeAutospacing="0" w:after="0" w:afterAutospacing="0"/>
        <w:rPr>
          <w:rFonts w:ascii="Arial" w:hAnsi="Arial" w:cs="Arial"/>
          <w:color w:val="000000" w:themeColor="text1"/>
          <w:sz w:val="20"/>
          <w:szCs w:val="20"/>
          <w:shd w:val="clear" w:color="auto" w:fill="FFFFFF"/>
          <w:lang w:val="en-US"/>
        </w:rPr>
      </w:pPr>
      <w:r w:rsidRPr="00CA74B7">
        <w:rPr>
          <w:rFonts w:ascii="Arial" w:hAnsi="Arial" w:cs="Arial"/>
          <w:sz w:val="20"/>
          <w:szCs w:val="20"/>
        </w:rPr>
        <w:tab/>
      </w:r>
      <w:r w:rsidR="0041628A" w:rsidRPr="00CA74B7">
        <w:rPr>
          <w:rFonts w:ascii="Arial" w:hAnsi="Arial" w:cs="Arial"/>
          <w:sz w:val="20"/>
          <w:szCs w:val="20"/>
        </w:rPr>
        <w:t xml:space="preserve">The PD-L1 tumor proportion score (TPS) was determined by immunohistochemistry using validated anti-PD-L1 antibodies: E1L3N (Cell Signaling Technology, Danvers, MA), 22C3 (Dako North America Inc, Carpinteria, CA), </w:t>
      </w:r>
      <w:r w:rsidR="005803FB" w:rsidRPr="00CA74B7">
        <w:rPr>
          <w:rFonts w:ascii="Arial" w:hAnsi="Arial" w:cs="Arial"/>
          <w:sz w:val="20"/>
          <w:szCs w:val="20"/>
        </w:rPr>
        <w:t xml:space="preserve">and </w:t>
      </w:r>
      <w:r w:rsidR="005803FB" w:rsidRPr="00CA74B7">
        <w:rPr>
          <w:rFonts w:ascii="Arial" w:hAnsi="Arial" w:cs="Arial"/>
          <w:color w:val="000000" w:themeColor="text1"/>
          <w:sz w:val="20"/>
          <w:szCs w:val="20"/>
          <w:shd w:val="clear" w:color="auto" w:fill="FFFFFF"/>
          <w:lang w:val="en-US"/>
        </w:rPr>
        <w:t xml:space="preserve">SP263 </w:t>
      </w:r>
      <w:r w:rsidR="005803FB" w:rsidRPr="00CA74B7">
        <w:rPr>
          <w:rFonts w:ascii="Arial" w:hAnsi="Arial" w:cs="Arial"/>
          <w:color w:val="000000" w:themeColor="text1"/>
          <w:sz w:val="20"/>
          <w:szCs w:val="20"/>
          <w:shd w:val="clear" w:color="auto" w:fill="FFFFFF"/>
        </w:rPr>
        <w:t>[Roche Tissue Diagnostics, Oro Valley, AZ]) depending on local institutional practice.</w:t>
      </w:r>
    </w:p>
    <w:p w14:paraId="66EB500C" w14:textId="7066BC8B" w:rsidR="0041628A" w:rsidRPr="009630D9" w:rsidRDefault="0041628A" w:rsidP="009630D9">
      <w:pPr>
        <w:spacing w:after="0"/>
        <w:rPr>
          <w:rFonts w:cs="Arial"/>
          <w:b/>
          <w:szCs w:val="20"/>
        </w:rPr>
      </w:pPr>
      <w:r w:rsidRPr="00CA74B7">
        <w:rPr>
          <w:rFonts w:cs="Arial"/>
          <w:szCs w:val="20"/>
        </w:rPr>
        <w:t xml:space="preserve"> </w:t>
      </w:r>
    </w:p>
    <w:p w14:paraId="568F7C71" w14:textId="77777777" w:rsidR="006979A6" w:rsidRPr="00CA74B7" w:rsidRDefault="006979A6" w:rsidP="0041628A">
      <w:pPr>
        <w:spacing w:after="0"/>
        <w:ind w:firstLine="708"/>
        <w:rPr>
          <w:rFonts w:cs="Arial"/>
          <w:bCs/>
          <w:iCs/>
          <w:color w:val="000000"/>
          <w:szCs w:val="20"/>
        </w:rPr>
      </w:pPr>
    </w:p>
    <w:p w14:paraId="6C6ACAE0" w14:textId="77777777" w:rsidR="0041628A" w:rsidRPr="00CA74B7" w:rsidRDefault="0041628A" w:rsidP="0041628A">
      <w:pPr>
        <w:spacing w:after="0"/>
        <w:rPr>
          <w:rFonts w:cs="Arial"/>
          <w:b/>
          <w:color w:val="000000"/>
          <w:szCs w:val="20"/>
        </w:rPr>
      </w:pPr>
      <w:r w:rsidRPr="00CA74B7">
        <w:rPr>
          <w:rFonts w:cs="Arial"/>
          <w:b/>
          <w:color w:val="000000"/>
          <w:szCs w:val="20"/>
        </w:rPr>
        <w:t>Multiplexed immunofluorescence (ImmunoProfile)</w:t>
      </w:r>
    </w:p>
    <w:p w14:paraId="57F5F081" w14:textId="77777777" w:rsidR="0041628A" w:rsidRPr="00CA74B7" w:rsidRDefault="0041628A" w:rsidP="0041628A">
      <w:pPr>
        <w:spacing w:after="0"/>
        <w:rPr>
          <w:rFonts w:cs="Arial"/>
          <w:b/>
          <w:color w:val="000000"/>
          <w:szCs w:val="20"/>
        </w:rPr>
      </w:pPr>
    </w:p>
    <w:p w14:paraId="50C12587" w14:textId="76C5F470" w:rsidR="0041628A" w:rsidRDefault="007C6B9F" w:rsidP="0041628A">
      <w:pPr>
        <w:spacing w:after="0"/>
        <w:rPr>
          <w:rFonts w:eastAsia="Times New Roman" w:cs="Arial"/>
          <w:szCs w:val="20"/>
          <w:lang w:eastAsia="pt-BR"/>
        </w:rPr>
      </w:pPr>
      <w:r w:rsidRPr="00CA74B7">
        <w:rPr>
          <w:rFonts w:eastAsia="Times New Roman" w:cs="Arial"/>
          <w:szCs w:val="20"/>
          <w:lang w:eastAsia="pt-BR"/>
        </w:rPr>
        <w:tab/>
      </w:r>
      <w:r w:rsidR="0041628A" w:rsidRPr="00CA74B7">
        <w:rPr>
          <w:rFonts w:eastAsia="Times New Roman" w:cs="Arial"/>
          <w:szCs w:val="20"/>
          <w:lang w:eastAsia="pt-BR"/>
        </w:rPr>
        <w:t xml:space="preserve">Multiplexed immunofluorescence (mIF) </w:t>
      </w:r>
      <w:r w:rsidR="0041628A" w:rsidRPr="00CA74B7">
        <w:rPr>
          <w:rFonts w:eastAsia="Times New Roman" w:cs="Arial"/>
          <w:szCs w:val="20"/>
          <w:lang w:val="en"/>
        </w:rPr>
        <w:t xml:space="preserve">was performed on a separate cohort of NSCLCs </w:t>
      </w:r>
      <w:r w:rsidR="0041628A" w:rsidRPr="00CA74B7">
        <w:rPr>
          <w:rFonts w:eastAsia="Times New Roman" w:cs="Arial"/>
          <w:szCs w:val="20"/>
          <w:lang w:eastAsia="pt-BR"/>
        </w:rPr>
        <w:t xml:space="preserve">from the DFCI </w:t>
      </w:r>
      <w:r w:rsidR="0041628A" w:rsidRPr="00CA74B7">
        <w:rPr>
          <w:rFonts w:eastAsia="Times New Roman" w:cs="Arial"/>
          <w:szCs w:val="20"/>
          <w:lang w:val="en"/>
        </w:rPr>
        <w:t xml:space="preserve">to determine the immunophenotype-associated subgroups </w:t>
      </w:r>
      <w:r w:rsidR="0041628A" w:rsidRPr="00CA74B7">
        <w:rPr>
          <w:rFonts w:eastAsia="Times New Roman" w:cs="Arial"/>
          <w:szCs w:val="20"/>
          <w:lang w:eastAsia="pt-BR"/>
        </w:rPr>
        <w:t>by staining 5-micron formalin-fixed, paraffin-embedded (FFPE) whole tissue sections with standard, primary antibodies sequentially and paired with a unique fluorochrome followed by staining with nuclear counterstain/4′,6-diamidino-2-phenylindole (DAPI)</w:t>
      </w:r>
      <w:r w:rsidR="003B6153">
        <w:rPr>
          <w:rFonts w:eastAsia="Times New Roman" w:cs="Arial"/>
          <w:szCs w:val="20"/>
          <w:lang w:eastAsia="pt-BR"/>
        </w:rPr>
        <w:fldChar w:fldCharType="begin" w:fldLock="1"/>
      </w:r>
      <w:r w:rsidR="00996C9A">
        <w:rPr>
          <w:rFonts w:eastAsia="Times New Roman" w:cs="Arial"/>
          <w:szCs w:val="20"/>
          <w:lang w:eastAsia="pt-BR"/>
        </w:rPr>
        <w:instrText>ADDIN CSL_CITATION {"citationItems":[{"id":"ITEM-1","itemData":{"DOI":"10.1186/s40425-015-0091-z","ISSN":"20511426","PMID":"26500776","abstract":"Background: Adoptive T cell therapy (ACT) has shown great promise in melanoma, with over 50 % response rate in patients where autologous tumor-reactive tumor-infiltrating lymphocytes (TIL) can be cultured and expanded. A major limitation of ACT is the inability to generate or expand autologous tumor-reactive TIL in 25-45 % of patients tested. Methods that successfully identify tumors that are not suitable for TIL generation by standard methods would eliminate the costs of fruitless expansion and enable these patients to receive alternate therapy immediately. Methods: Multispectral fluorescent immunohistochemistry with a panel including CD3, CD8, FoxP3, CD163, PD-L1 was used to analyze the tumor microenvironment in 17 patients with melanoma among our 36-patient cohort to predict successful TIL generation. Additionally, we compared tumor fragments and enzymatic digestion of tumor samples for efficiency in generating tumor-reactive TIL. Results: Tumor-reactive TIL were generated from 21/36 (58 %) of melanomas and for 12/13 (92 %) tumors where both enzymatic and fragment methods were compared. TIL generation was successful in 10/13 enzymatic preparations and in 10/13 fragment cultures; combination of both methods resulted in successful generation of autologous tumor-reactive TIL in 12/13 patients. In 17 patients for whom tissue blocks were available, IHC analysis identified that while the presence of CD8+ T cells alone was insufficient to predict successful TIL generation, the CD8+ to FoxP3+ ratio was predictive with a positive-predictive value (PPV) of 91 % and negative-predictive value (NPV) of 86 %. Incorporation of CD163+ macrophage numbers and CD8:PD-L1 ratio did not improve the PPV. However, the NPV could be improved to 100 % by including the ratio of CD8+:PD-L1+ expressing cells. Conclusion: This is the first study to apply 7-color multispectral immunohistochemistry to analyze the immune environment of tumors from patients with melanoma. Assessment of the data using unsupervised hierarchical clustering identified tumors from which we were unable to generate TIL. If substantiated, this immune profile could be applied to select patients for TIL generation. Additionally, this biomarker profile may also indicate a pre-existing immune response, and serve as a predictive biomarker of patients who will respond to checkpoint blockade. We postulate that expanding the spectrum of inhibitory cells and molecules assessed using this technique could guide combinat…","author":[{"dropping-particle":"","family":"Feng","given":"Zipei","non-dropping-particle":"","parse-names":false,"suffix":""},{"dropping-particle":"","family":"Puri","given":"Sachin","non-dropping-particle":"","parse-names":false,"suffix":""},{"dropping-particle":"","family":"Moudgil","given":"Tarsem","non-dropping-particle":"","parse-names":false,"suffix":""},{"dropping-particle":"","family":"Wood","given":"William","non-dropping-particle":"","parse-names":false,"suffix":""},{"dropping-particle":"","family":"Hoyt","given":"Clifford C.","non-dropping-particle":"","parse-names":false,"suffix":""},{"dropping-particle":"","family":"Wang","given":"Chichung","non-dropping-particle":"","parse-names":false,"suffix":""},{"dropping-particle":"","family":"Urba","given":"Walter J.","non-dropping-particle":"","parse-names":false,"suffix":""},{"dropping-particle":"","family":"Curti","given":"Brendan D.","non-dropping-particle":"","parse-names":false,"suffix":""},{"dropping-particle":"","family":"Bifulco","given":"Carlo B.","non-dropping-particle":"","parse-names":false,"suffix":""},{"dropping-particle":"","family":"Fox","given":"Bernard A.","non-dropping-particle":"","parse-names":false,"suffix":""}],"container-title":"Journal for ImmunoTherapy of Cancer","id":"ITEM-1","issued":{"date-parts":[["2015"]]},"title":"Multispectral imaging of formalin-fixed tissue predicts ability to generate tumor-infiltrating lymphocytes from melanoma","type":"article-journal"},"uris":["http://www.mendeley.com/documents/?uuid=fa941fb1-a943-4b76-af2a-b000d62aade9"]},{"id":"ITEM-2","itemData":{"DOI":"10.1158/1078-0432.CCR-12-0397","ISSN":"10780432","PMID":"22966017","abstract":"Purpose: B-cell receptor (BCR)-mediated signaling is important in the pathogenesis of a subset of diffuse large B-cell lymphomas (DLBCL) and the BCR-associated kinases SYK and BTK have recently emerged as potential therapeutic targets. We sought to identify a signature of activated BCR signaling in DLBCL to aid the identification of tumors that may be most likely to respond to BCR-pathway inhibition. Experimental Design: We applied quantitative immunofluorescence (qIF) using antibodies to phosphorylated forms of proximal BCR signaling kinases LYN, SYK, and BTK and antibody to BCR-associated transcription factorFOXO1on BCR-cross-linked formalin-fixed paraffin-embedded (FFPE) DLBCLcell lines as a model system and on two clinical cohorts of FFPE DLBCL specimens (n = 154). Results: A robust signature of active BCR signaling was identified and validated in BCR-cross-linked DLBCL cell lines and in 71/154 (46%) of the primary DLBCL patient specimens. Further analysis of the primary biopsy samples revealed increased nuclear exclusion of FOXO1 among DLBCL with qIF evidence of active BCR signaling compared with those without (P = 0.004). Nuclear exclusion of FOXO1 was also detected in a subset of DLBCL without evidence of proximal BCR signaling suggesting that alternative mechanisms for PI3K/AKT activation may mediate FOXO1 subcellular localization in these cases. Conclusion: This study establishes the feasibility of detecting BCR activation in primary FFPE biopsy specimens of DLBCL. It lays a foundation for future dissection of signal transduction networks in DLBCL and provides a potential platform for evaluating individual tumors in patients receiving novel therapies targeting the BCR pathway. ©2012 AACR.","author":[{"dropping-particle":"","family":"Bogusz","given":"Agata M.","non-dropping-particle":"","parse-names":false,"suffix":""},{"dropping-particle":"","family":"Baxter","given":"Richard H.G.","non-dropping-particle":"","parse-names":false,"suffix":""},{"dropping-particle":"","family":"Currie","given":"Treeve","non-dropping-particle":"","parse-names":false,"suffix":""},{"dropping-particle":"","family":"Sinha","given":"Papiya","non-dropping-particle":"","parse-names":false,"suffix":""},{"dropping-particle":"","family":"Sohani","given":"Aliyah R.","non-dropping-particle":"","parse-names":false,"suffix":""},{"dropping-particle":"","family":"Kutok","given":"Jeffery L.","non-dropping-particle":"","parse-names":false,"suffix":""},{"dropping-particle":"","family":"Rodig","given":"Scott J.","non-dropping-particle":"","parse-names":false,"suffix":""}],"container-title":"Clinical Cancer Research","id":"ITEM-2","issued":{"date-parts":[["2012"]]},"title":"Quantitative immunofluorescence reveals the signature of active B-cell receptor signaling in diffuse large B-cell lymphoma","type":"article-journal"},"uris":["http://www.mendeley.com/documents/?uuid=ee4614ae-ac6c-4b3d-9406-e3ee867907dd"]}],"mendeley":{"formattedCitation":"&lt;sup&gt;1,2&lt;/sup&gt;","plainTextFormattedCitation":"1,2","previouslyFormattedCitation":"&lt;sup&gt;1, 2&lt;/sup&gt;"},"properties":{"noteIndex":0},"schema":"https://github.com/citation-style-language/schema/raw/master/csl-citation.json"}</w:instrText>
      </w:r>
      <w:r w:rsidR="003B6153">
        <w:rPr>
          <w:rFonts w:eastAsia="Times New Roman" w:cs="Arial"/>
          <w:szCs w:val="20"/>
          <w:lang w:eastAsia="pt-BR"/>
        </w:rPr>
        <w:fldChar w:fldCharType="separate"/>
      </w:r>
      <w:r w:rsidR="00996C9A" w:rsidRPr="00996C9A">
        <w:rPr>
          <w:rFonts w:eastAsia="Times New Roman" w:cs="Arial"/>
          <w:noProof/>
          <w:szCs w:val="20"/>
          <w:vertAlign w:val="superscript"/>
          <w:lang w:eastAsia="pt-BR"/>
        </w:rPr>
        <w:t>1,2</w:t>
      </w:r>
      <w:r w:rsidR="003B6153">
        <w:rPr>
          <w:rFonts w:eastAsia="Times New Roman" w:cs="Arial"/>
          <w:szCs w:val="20"/>
          <w:lang w:eastAsia="pt-BR"/>
        </w:rPr>
        <w:fldChar w:fldCharType="end"/>
      </w:r>
      <w:r w:rsidR="0041628A" w:rsidRPr="00CA74B7">
        <w:rPr>
          <w:rFonts w:eastAsia="Times New Roman" w:cs="Arial"/>
          <w:szCs w:val="20"/>
          <w:lang w:eastAsia="pt-BR"/>
        </w:rPr>
        <w:t>. All samples were stained for PD-1 (clone EPR4877[2]), CD8 (clone 4B11), and FOXP3 (clone D608R). Each sample had a single slide stained and scanned at 20x resolution by a Vectra Polaris imaging platform. Regions of Interest (ROIs) were defined for each image, and only these regions were used for quantitative image analysis. Within each ROI, InForm Image Analysis software (Perkin Elmer/ Akoya) was run to phenotype and score cells based on biomarker expression. A custom script quantified the number/ percentage of positive cells for relevant biomarkers in the intra-tumoral region, defined as the region of the slide consisting of tumors beyond the tumor-stroma interface. Cell count was calculated per ROI and averaged (unweighted) across ROIs, reported as count per millimeter squared +/- standard error. Statistical significance of differential cell type enrichment between groups was estimated with the Wilcox Rank Sum test.</w:t>
      </w:r>
    </w:p>
    <w:p w14:paraId="4A119704" w14:textId="77777777" w:rsidR="00A045E1" w:rsidRPr="00CA74B7" w:rsidRDefault="00A045E1" w:rsidP="0041628A">
      <w:pPr>
        <w:spacing w:after="0"/>
        <w:rPr>
          <w:rFonts w:eastAsia="Times New Roman" w:cs="Arial"/>
          <w:szCs w:val="20"/>
          <w:lang w:eastAsia="pt-BR"/>
        </w:rPr>
      </w:pPr>
    </w:p>
    <w:p w14:paraId="68E9F72D" w14:textId="77777777" w:rsidR="00CF09B0" w:rsidRDefault="00CF09B0" w:rsidP="00CF09B0">
      <w:pPr>
        <w:widowControl w:val="0"/>
        <w:autoSpaceDE w:val="0"/>
        <w:autoSpaceDN w:val="0"/>
        <w:adjustRightInd w:val="0"/>
        <w:spacing w:after="160"/>
        <w:rPr>
          <w:rFonts w:cs="Arial"/>
          <w:b/>
          <w:bCs/>
          <w:i/>
          <w:iCs/>
          <w:color w:val="000000" w:themeColor="text1"/>
          <w:szCs w:val="20"/>
        </w:rPr>
      </w:pPr>
    </w:p>
    <w:p w14:paraId="12A0B08D" w14:textId="343B7AFC" w:rsidR="00CF09B0" w:rsidRPr="00CF09B0" w:rsidRDefault="00CF09B0" w:rsidP="00CF09B0">
      <w:pPr>
        <w:widowControl w:val="0"/>
        <w:autoSpaceDE w:val="0"/>
        <w:autoSpaceDN w:val="0"/>
        <w:adjustRightInd w:val="0"/>
        <w:spacing w:after="160"/>
        <w:rPr>
          <w:rFonts w:cs="Arial"/>
          <w:b/>
          <w:bCs/>
          <w:i/>
          <w:iCs/>
          <w:color w:val="000000" w:themeColor="text1"/>
          <w:szCs w:val="20"/>
        </w:rPr>
      </w:pPr>
      <w:r w:rsidRPr="00CF09B0">
        <w:rPr>
          <w:rFonts w:cs="Arial"/>
          <w:b/>
          <w:bCs/>
          <w:i/>
          <w:iCs/>
          <w:color w:val="000000" w:themeColor="text1"/>
          <w:szCs w:val="20"/>
        </w:rPr>
        <w:t xml:space="preserve">Targeted tumor next-generation sequencing (NGS) </w:t>
      </w:r>
    </w:p>
    <w:p w14:paraId="39A1C4C6" w14:textId="3389DCB6" w:rsidR="00CF09B0" w:rsidRPr="00CF09B0" w:rsidRDefault="00CF09B0" w:rsidP="00CF09B0">
      <w:pPr>
        <w:widowControl w:val="0"/>
        <w:autoSpaceDE w:val="0"/>
        <w:autoSpaceDN w:val="0"/>
        <w:adjustRightInd w:val="0"/>
        <w:spacing w:after="160"/>
        <w:rPr>
          <w:rFonts w:cs="Arial"/>
          <w:szCs w:val="20"/>
        </w:rPr>
      </w:pPr>
      <w:r>
        <w:rPr>
          <w:rFonts w:cs="Arial"/>
          <w:color w:val="000000" w:themeColor="text1"/>
          <w:szCs w:val="20"/>
        </w:rPr>
        <w:tab/>
      </w:r>
      <w:r w:rsidRPr="00CF09B0">
        <w:rPr>
          <w:rFonts w:cs="Arial"/>
          <w:color w:val="000000" w:themeColor="text1"/>
          <w:szCs w:val="20"/>
        </w:rPr>
        <w:t>Non-small cell lung cancers typically underwent genomic sequencing using the following platforms at each institution:</w:t>
      </w:r>
      <w:r>
        <w:rPr>
          <w:rFonts w:cs="Arial"/>
          <w:color w:val="000000" w:themeColor="text1"/>
          <w:szCs w:val="20"/>
        </w:rPr>
        <w:t xml:space="preserve"> </w:t>
      </w:r>
      <w:r w:rsidRPr="00CF09B0">
        <w:rPr>
          <w:rFonts w:cs="Arial"/>
          <w:color w:val="000000" w:themeColor="text1"/>
          <w:szCs w:val="20"/>
        </w:rPr>
        <w:t>OncoPanel at DFCI</w:t>
      </w:r>
      <w:r w:rsidR="00897D74">
        <w:rPr>
          <w:rFonts w:cs="Arial"/>
          <w:color w:val="000000" w:themeColor="text1"/>
          <w:szCs w:val="20"/>
        </w:rPr>
        <w:fldChar w:fldCharType="begin" w:fldLock="1"/>
      </w:r>
      <w:r w:rsidR="00760D25">
        <w:rPr>
          <w:rFonts w:cs="Arial"/>
          <w:color w:val="000000" w:themeColor="text1"/>
          <w:szCs w:val="20"/>
        </w:rPr>
        <w:instrText>ADDIN CSL_CITATION {"citationItems":[{"id":"ITEM-1","itemData":{"DOI":"10.1172/jci.insight.87062","ISSN":"2379-3708","abstract":"BACKGROUND. Comprehensive genomic profiling of a patient's cancer can be used to diagnose, monitor, and recommend treatment. Clinical implementation of tumor profiling in an enterprise-wide, unselected cancer patient population has yet to be reported. METHODS. We deployed a hybrid-capture and massively parallel sequencing assay (OncoPanel) for all adult and pediatric patients at our combined cancer centers. Results were categorized by pathologists based on actionability. We report the results for the first 3,727 patients tested. RESULTS. Our cohort consists of cancer patients unrestricted by disease site or stage. Across all consented patients, half had sufficient and available (&gt;20% tumor) material for profiling; once specimens were received in the laboratory for pathology review, 73% were scored as adequate for genomic testing. When sufficient DNA was obtained, OncoPanel yielded a result in 96% of cases. 73% of patients harbored an actionable or informative alteration; only 19% of these represented a current standard of care for therapeutic stratification. The findings recapitulate those of previous studies of common cancers but also identify alterations, including in AXL and EGFR, associated with response to targeted therapies. In rare cancers, potentially actionable alterations suggest the utility of a \"cancer-agnostic\" approach in genomic profiling. Retrospective analyses uncovered contextual genomic features that may inform therapeutic response and examples where diagnoses revised by genomic profiling markedly changed clinical management. CONCLUSIONS. Broad sequencing-based testing deployed across an unselected cancer cohort is feasible. Genomic results may alter management in diverse scenarios; however, additional barriers must be overcome to enable precision cancer medicine on a large scale. FUNDING. This work was supported by DFCI, BWH, and the National Cancer Institute (5R33CA155554 and 5K23CA157631).","author":[{"dropping-particle":"","family":"Sholl","given":"Lynette M.","non-dropping-particle":"","parse-names":false,"suffix":""},{"dropping-particle":"","family":"Do","given":"Khanh","non-dropping-particle":"","parse-names":false,"suffix":""},{"dropping-particle":"","family":"Shivdasani","given":"Priyanka","non-dropping-particle":"","parse-names":false,"suffix":""},{"dropping-particle":"","family":"Cerami","given":"Ethan","non-dropping-particle":"","parse-names":false,"suffix":""},{"dropping-particle":"","family":"Dubuc","given":"Adrian M.","non-dropping-particle":"","parse-names":false,"suffix":""},{"dropping-particle":"","family":"Kuo","given":"Frank C.","non-dropping-particle":"","parse-names":false,"suffix":""},{"dropping-particle":"","family":"Garcia","given":"Elizabeth P.","non-dropping-particle":"","parse-names":false,"suffix":""},{"dropping-particle":"","family":"Jia","given":"Yonghui","non-dropping-particle":"","parse-names":false,"suffix":""},{"dropping-particle":"","family":"Davineni","given":"Phani","non-dropping-particle":"","parse-names":false,"suffix":""},{"dropping-particle":"","family":"Abo","given":"Ryan P.","non-dropping-particle":"","parse-names":false,"suffix":""},{"dropping-particle":"","family":"Pugh","given":"Trevor J.","non-dropping-particle":"","parse-names":false,"suffix":""},{"dropping-particle":"","family":"Hummelen","given":"Paul","non-dropping-particle":"van","parse-names":false,"suffix":""},{"dropping-particle":"","family":"Thorner","given":"Aaron R.","non-dropping-particle":"","parse-names":false,"suffix":""},{"dropping-particle":"","family":"Ducar","given":"Matthew","non-dropping-particle":"","parse-names":false,"suffix":""},{"dropping-particle":"","family":"Berger","given":"Alice H.","non-dropping-particle":"","parse-names":false,"suffix":""},{"dropping-particle":"","family":"Nishino","given":"Mizuki","non-dropping-particle":"","parse-names":false,"suffix":""},{"dropping-particle":"","family":"Janeway","given":"Katherine A.","non-dropping-particle":"","parse-names":false,"suffix":""},{"dropping-particle":"","family":"Church","given":"Alanna","non-dropping-particle":"","parse-names":false,"suffix":""},{"dropping-particle":"","family":"Harris","given":"Marian","non-dropping-particle":"","parse-names":false,"suffix":""},{"dropping-particle":"","family":"Ritterhouse","given":"Lauren L.","non-dropping-particle":"","parse-names":false,"suffix":""},{"dropping-particle":"","family":"Campbell","given":"Joshua D.","non-dropping-particle":"","parse-names":false,"suffix":""},{"dropping-particle":"","family":"Rojas-Rudilla","given":"Vanesa","non-dropping-particle":"","parse-names":false,"suffix":""},{"dropping-particle":"","family":"Ligon","given":"Azra H.","non-dropping-particle":"","parse-names":false,"suffix":""},{"dropping-particle":"","family":"Ramkissoon","given":"Shakti","non-dropping-particle":"","parse-names":false,"suffix":""},{"dropping-particle":"","family":"Cleary","given":"James M.","non-dropping-particle":"","parse-names":false,"suffix":""},{"dropping-particle":"","family":"Matulonis","given":"Ursula","non-dropping-particle":"","parse-names":false,"suffix":""},{"dropping-particle":"","family":"Oxnard","given":"Geoffrey R.","non-dropping-particle":"","parse-names":false,"suffix":""},{"dropping-particle":"","family":"Chao","given":"Richard","non-dropping-particle":"","parse-names":false,"suffix":""},{"dropping-particle":"","family":"Tassell","given":"Vanessa","non-dropping-particle":"","parse-names":false,"suffix":""},{"dropping-particle":"","family":"Christensen","given":"James","non-dropping-particle":"","parse-names":false,"suffix":""},{"dropping-particle":"","family":"Hahn","given":"William C.","non-dropping-particle":"","parse-names":false,"suffix":""},{"dropping-particle":"","family":"Kantoff","given":"Philip W.","non-dropping-particle":"","parse-names":false,"suffix":""},{"dropping-particle":"","family":"Kwiatkowski","given":"David J.","non-dropping-particle":"","parse-names":false,"suffix":""},{"dropping-particle":"","family":"Johnson","given":"Bruce E.","non-dropping-particle":"","parse-names":false,"suffix":""},{"dropping-particle":"","family":"Meyerson","given":"Matthew","non-dropping-particle":"","parse-names":false,"suffix":""},{"dropping-particle":"","family":"Garraway","given":"Levi A.","non-dropping-particle":"","parse-names":false,"suffix":""},{"dropping-particle":"","family":"Shapiro","given":"Geoffrey I.","non-dropping-particle":"","parse-names":false,"suffix":""},{"dropping-particle":"","family":"Rollins","given":"Barrett J.","non-dropping-particle":"","parse-names":false,"suffix":""},{"dropping-particle":"","family":"Lindeman","given":"Neal I.","non-dropping-particle":"","parse-names":false,"suffix":""},{"dropping-particle":"","family":"MacConaill","given":"Laura E.","non-dropping-particle":"","parse-names":false,"suffix":""}],"container-title":"JCI Insight","id":"ITEM-1","issued":{"date-parts":[["2016"]]},"title":"Institutional implementation of clinical tumor profiling on an unselected cancer population","type":"article-journal"},"uris":["http://www.mendeley.com/documents/?uuid=47772d40-ff21-4cb6-991f-657f651d13d5"]}],"mendeley":{"formattedCitation":"&lt;sup&gt;3&lt;/sup&gt;","plainTextFormattedCitation":"3","previouslyFormattedCitation":"&lt;sup&gt;3&lt;/sup&gt;"},"properties":{"noteIndex":0},"schema":"https://github.com/citation-style-language/schema/raw/master/csl-citation.json"}</w:instrText>
      </w:r>
      <w:r w:rsidR="00897D74">
        <w:rPr>
          <w:rFonts w:cs="Arial"/>
          <w:color w:val="000000" w:themeColor="text1"/>
          <w:szCs w:val="20"/>
        </w:rPr>
        <w:fldChar w:fldCharType="separate"/>
      </w:r>
      <w:r w:rsidR="003B6153" w:rsidRPr="003B6153">
        <w:rPr>
          <w:rFonts w:cs="Arial"/>
          <w:noProof/>
          <w:color w:val="000000" w:themeColor="text1"/>
          <w:szCs w:val="20"/>
          <w:vertAlign w:val="superscript"/>
        </w:rPr>
        <w:t>3</w:t>
      </w:r>
      <w:r w:rsidR="00897D74">
        <w:rPr>
          <w:rFonts w:cs="Arial"/>
          <w:color w:val="000000" w:themeColor="text1"/>
          <w:szCs w:val="20"/>
        </w:rPr>
        <w:fldChar w:fldCharType="end"/>
      </w:r>
      <w:r>
        <w:rPr>
          <w:rFonts w:cs="Arial"/>
          <w:color w:val="000000" w:themeColor="text1"/>
          <w:szCs w:val="20"/>
        </w:rPr>
        <w:t xml:space="preserve"> and</w:t>
      </w:r>
      <w:r w:rsidRPr="00CF09B0">
        <w:rPr>
          <w:rFonts w:cs="Arial"/>
          <w:color w:val="000000" w:themeColor="text1"/>
          <w:szCs w:val="20"/>
        </w:rPr>
        <w:t xml:space="preserve"> MSK-IMPACT</w:t>
      </w:r>
      <w:r w:rsidR="00897D74">
        <w:rPr>
          <w:rFonts w:cs="Arial"/>
          <w:color w:val="000000" w:themeColor="text1"/>
          <w:szCs w:val="20"/>
        </w:rPr>
        <w:fldChar w:fldCharType="begin" w:fldLock="1"/>
      </w:r>
      <w:r w:rsidR="00760D25">
        <w:rPr>
          <w:rFonts w:cs="Arial"/>
          <w:color w:val="000000" w:themeColor="text1"/>
          <w:szCs w:val="20"/>
        </w:rPr>
        <w:instrText>ADDIN CSL_CITATION {"citationItems":[{"id":"ITEM-1","itemData":{"DOI":"10.1016/j.jmoldx.2014.12.006","ISSN":"15251578","author":[{"dropping-particle":"","family":"Cheng","given":"Donavan T.","non-dropping-particle":"","parse-names":false,"suffix":""},{"dropping-particle":"","family":"Mitchell","given":"Talia N.","non-dropping-particle":"","parse-names":false,"suffix":""},{"dropping-particle":"","family":"Zehir","given":"Ahmet","non-dropping-particle":"","parse-names":false,"suffix":""},{"dropping-particle":"","family":"Shah","given":"Ronak H.","non-dropping-particle":"","parse-names":false,"suffix":""},{"dropping-particle":"","family":"Benayed","given":"Ryma","non-dropping-particle":"","parse-names":false,"suffix":""},{"dropping-particle":"","family":"Syed","given":"Aijazuddin","non-dropping-particle":"","parse-names":false,"suffix":""},{"dropping-particle":"","family":"Chandramohan","given":"Raghu","non-dropping-particle":"","parse-names":false,"suffix":""},{"dropping-particle":"","family":"Liu","given":"Zhen Yu","non-dropping-particle":"","parse-names":false,"suffix":""},{"dropping-particle":"","family":"Won","given":"Helen H.","non-dropping-particle":"","parse-names":false,"suffix":""},{"dropping-particle":"","family":"Scott","given":"Sasinya N.","non-dropping-particle":"","parse-names":false,"suffix":""},{"dropping-particle":"","family":"Brannon","given":"A. Rose","non-dropping-particle":"","parse-names":false,"suffix":""},{"dropping-particle":"","family":"O'Reilly","given":"Catherine","non-dropping-particle":"","parse-names":false,"suffix":""},{"dropping-particle":"","family":"Sadowska","given":"Justyna","non-dropping-particle":"","parse-names":false,"suffix":""},{"dropping-particle":"","family":"Casanova","given":"Jacklyn","non-dropping-particle":"","parse-names":false,"suffix":""},{"dropping-particle":"","family":"Yannes","given":"Angela","non-dropping-particle":"","parse-names":false,"suffix":""},{"dropping-particle":"","family":"Hechtman","given":"Jaclyn F.","non-dropping-particle":"","parse-names":false,"suffix":""},{"dropping-particle":"","family":"Yao","given":"Jinjuan","non-dropping-particle":"","parse-names":false,"suffix":""},{"dropping-particle":"","family":"Song","given":"Wei","non-dropping-particle":"","parse-names":false,"suffix":""},{"dropping-particle":"","family":"Ross","given":"Dara S.","non-dropping-particle":"","parse-names":false,"suffix":""},{"dropping-particle":"","family":"Oultache","given":"Alifya","non-dropping-particle":"","parse-names":false,"suffix":""},{"dropping-particle":"","family":"Dogan","given":"Snjezana","non-dropping-particle":"","parse-names":false,"suffix":""},{"dropping-particle":"","family":"Borsu","given":"Laetitia","non-dropping-particle":"","parse-names":false,"suffix":""},{"dropping-particle":"","family":"Hameed","given":"Meera","non-dropping-particle":"","parse-names":false,"suffix":""},{"dropping-particle":"","family":"Nafa","given":"Khedoudja","non-dropping-particle":"","parse-names":false,"suffix":""},{"dropping-particle":"","family":"Arcila","given":"Maria E.","non-dropping-particle":"","parse-names":false,"suffix":""},{"dropping-particle":"","family":"Ladanyi","given":"Marc","non-dropping-particle":"","parse-names":false,"suffix":""},{"dropping-particle":"","family":"Berger","given":"Michael F.","non-dropping-particle":"","parse-names":false,"suffix":""}],"container-title":"The Journal of Molecular Diagnostics","id":"ITEM-1","issue":"3","issued":{"date-parts":[["2015","5"]]},"page":"251-264","title":"Memorial Sloan Kettering-Integrated Mutation Profiling of Actionable Cancer Targets (MSK-IMPACT)","type":"article-journal","volume":"17"},"uris":["http://www.mendeley.com/documents/?uuid=962e6cec-0d82-3f80-a1e6-d099de7ac076"]}],"mendeley":{"formattedCitation":"&lt;sup&gt;4&lt;/sup&gt;","plainTextFormattedCitation":"4","previouslyFormattedCitation":"&lt;sup&gt;4&lt;/sup&gt;"},"properties":{"noteIndex":0},"schema":"https://github.com/citation-style-language/schema/raw/master/csl-citation.json"}</w:instrText>
      </w:r>
      <w:r w:rsidR="00897D74">
        <w:rPr>
          <w:rFonts w:cs="Arial"/>
          <w:color w:val="000000" w:themeColor="text1"/>
          <w:szCs w:val="20"/>
        </w:rPr>
        <w:fldChar w:fldCharType="separate"/>
      </w:r>
      <w:r w:rsidR="003B6153" w:rsidRPr="003B6153">
        <w:rPr>
          <w:rFonts w:cs="Arial"/>
          <w:noProof/>
          <w:color w:val="000000" w:themeColor="text1"/>
          <w:szCs w:val="20"/>
          <w:vertAlign w:val="superscript"/>
        </w:rPr>
        <w:t>4</w:t>
      </w:r>
      <w:r w:rsidR="00897D74">
        <w:rPr>
          <w:rFonts w:cs="Arial"/>
          <w:color w:val="000000" w:themeColor="text1"/>
          <w:szCs w:val="20"/>
        </w:rPr>
        <w:fldChar w:fldCharType="end"/>
      </w:r>
      <w:r w:rsidRPr="00CF09B0">
        <w:rPr>
          <w:rFonts w:cs="Arial"/>
          <w:color w:val="000000" w:themeColor="text1"/>
          <w:szCs w:val="20"/>
        </w:rPr>
        <w:t xml:space="preserve"> at MSKCC.</w:t>
      </w:r>
      <w:r w:rsidRPr="00CF09B0">
        <w:rPr>
          <w:rFonts w:cs="Arial"/>
          <w:szCs w:val="20"/>
        </w:rPr>
        <w:t xml:space="preserve"> Additional commercial assays such as from Foundation Medicine were also included</w:t>
      </w:r>
      <w:r>
        <w:rPr>
          <w:rFonts w:cs="Arial"/>
          <w:szCs w:val="20"/>
        </w:rPr>
        <w:t xml:space="preserve"> at the DFCI</w:t>
      </w:r>
      <w:r w:rsidRPr="00CF09B0">
        <w:rPr>
          <w:rFonts w:cs="Arial"/>
          <w:szCs w:val="20"/>
        </w:rPr>
        <w:t xml:space="preserve">.  </w:t>
      </w:r>
    </w:p>
    <w:p w14:paraId="41B59D3C" w14:textId="77777777" w:rsidR="00CF09B0" w:rsidRDefault="00CF09B0" w:rsidP="00CF09B0">
      <w:pPr>
        <w:widowControl w:val="0"/>
        <w:autoSpaceDE w:val="0"/>
        <w:autoSpaceDN w:val="0"/>
        <w:adjustRightInd w:val="0"/>
        <w:spacing w:after="160"/>
        <w:rPr>
          <w:rFonts w:cs="Arial"/>
          <w:b/>
          <w:bCs/>
          <w:i/>
          <w:iCs/>
          <w:color w:val="000000" w:themeColor="text1"/>
          <w:szCs w:val="20"/>
        </w:rPr>
      </w:pPr>
    </w:p>
    <w:p w14:paraId="71A2C5A0" w14:textId="72BC6D2F" w:rsidR="00CF09B0" w:rsidRPr="00CF09B0" w:rsidRDefault="00CF09B0" w:rsidP="00CF09B0">
      <w:pPr>
        <w:widowControl w:val="0"/>
        <w:autoSpaceDE w:val="0"/>
        <w:autoSpaceDN w:val="0"/>
        <w:adjustRightInd w:val="0"/>
        <w:spacing w:after="160"/>
        <w:rPr>
          <w:rFonts w:cs="Arial"/>
          <w:color w:val="000000" w:themeColor="text1"/>
          <w:szCs w:val="20"/>
        </w:rPr>
      </w:pPr>
      <w:r w:rsidRPr="00CF09B0">
        <w:rPr>
          <w:rFonts w:cs="Arial"/>
          <w:b/>
          <w:bCs/>
          <w:i/>
          <w:iCs/>
          <w:color w:val="000000" w:themeColor="text1"/>
          <w:szCs w:val="20"/>
        </w:rPr>
        <w:t>Tumor mutational burden assessment and harmonization</w:t>
      </w:r>
    </w:p>
    <w:p w14:paraId="536F912F" w14:textId="5ECDA5A1" w:rsidR="0062601C" w:rsidRDefault="00CF09B0" w:rsidP="00543781">
      <w:pPr>
        <w:widowControl w:val="0"/>
        <w:autoSpaceDE w:val="0"/>
        <w:autoSpaceDN w:val="0"/>
        <w:adjustRightInd w:val="0"/>
        <w:spacing w:after="160"/>
        <w:rPr>
          <w:rFonts w:cs="Arial"/>
          <w:color w:val="000000" w:themeColor="text1"/>
          <w:szCs w:val="20"/>
        </w:rPr>
      </w:pPr>
      <w:r>
        <w:rPr>
          <w:rFonts w:cs="Arial"/>
          <w:color w:val="000000" w:themeColor="text1"/>
          <w:szCs w:val="20"/>
        </w:rPr>
        <w:lastRenderedPageBreak/>
        <w:tab/>
      </w:r>
      <w:r w:rsidRPr="00CF09B0">
        <w:rPr>
          <w:rFonts w:cs="Arial"/>
          <w:color w:val="000000" w:themeColor="text1"/>
          <w:szCs w:val="20"/>
        </w:rPr>
        <w:t>Tumor mutational burden (TMB), defined as the number of somatic, coding, base substitution, and indel mutations per megabase (Mb) of genome examined, was determined using the OncoPanel and MSK-IMPACT NGS platforms. DFCI mutation counts were divided by the number of bases covered in each OncoPanel version: v1, 0.753334 Mb; v2, 0.826167 Mb; and v3, 1.315078 Mb. For MSKCC samples, the mutation count was divided by 0.896665, 1.016478, and 1.139322 Mb for the 341-, 410-, and 468-gene panels, respectively. Because TMB was determined using two different platforms, TMB distributions were harmonized across institutions by applying a normal transformation followed by standardization to Z-scores, as previously described</w:t>
      </w:r>
      <w:r w:rsidR="00760D25">
        <w:rPr>
          <w:rFonts w:cs="Arial"/>
          <w:color w:val="000000" w:themeColor="text1"/>
          <w:szCs w:val="20"/>
        </w:rPr>
        <w:fldChar w:fldCharType="begin" w:fldLock="1"/>
      </w:r>
      <w:r w:rsidR="00760D25">
        <w:rPr>
          <w:rFonts w:cs="Arial"/>
          <w:color w:val="000000" w:themeColor="text1"/>
          <w:szCs w:val="20"/>
        </w:rPr>
        <w:instrText>ADDIN CSL_CITATION {"citationItems":[{"id":"ITEM-1","itemData":{"DOI":"10.1200/PO.19.00171","abstract":"PURPOSEHeterogeneity in tumor mutational burden (TMB) quantification across sequencing platforms limits the application and further study of this potential biomarker of response to immune checkpoin...","author":[{"dropping-particle":"","family":"Vokes","given":"Natalie I.","non-dropping-particle":"","parse-names":false,"suffix":""},{"dropping-particle":"","family":"Liu","given":"David","non-dropping-particle":"","parse-names":false,"suffix":""},{"dropping-particle":"","family":"Ricciuti","given":"Biagio","non-dropping-particle":"","parse-names":false,"suffix":""},{"dropping-particle":"","family":"Jimenez-Aguilar","given":"Elizabeth","non-dropping-particle":"","parse-names":false,"suffix":""},{"dropping-particle":"","family":"Rizvi","given":"Hira","non-dropping-particle":"","parse-names":false,"suffix":""},{"dropping-particle":"","family":"Dietlein","given":"Felix","non-dropping-particle":"","parse-names":false,"suffix":""},{"dropping-particle":"","family":"He","given":"Meng Xiao","non-dropping-particle":"","parse-names":false,"suffix":""},{"dropping-particle":"","family":"Margolis","given":"Claire A.","non-dropping-particle":"","parse-names":false,"suffix":""},{"dropping-particle":"","family":"Elmarakeby","given":"Haitham A.","non-dropping-particle":"","parse-names":false,"suffix":""},{"dropping-particle":"","family":"Girshman","given":"Jeffrey","non-dropping-particle":"","parse-names":false,"suffix":""},{"dropping-particle":"","family":"Adeni","given":"Anika","non-dropping-particle":"","parse-names":false,"suffix":""},{"dropping-particle":"","family":"Sanchez-Vega","given":"Francisco","non-dropping-particle":"","parse-names":false,"suffix":""},{"dropping-particle":"","family":"Schultz","given":"Nikolaus","non-dropping-particle":"","parse-names":false,"suffix":""},{"dropping-particle":"","family":"Dahlberg","given":"Suzanne","non-dropping-particle":"","parse-names":false,"suffix":""},{"dropping-particle":"","family":"Zehir","given":"Ahmet","non-dropping-particle":"","parse-names":false,"suffix":""},{"dropping-particle":"","family":"Jänne","given":"Pasi A.","non-dropping-particle":"","parse-names":false,"suffix":""},{"dropping-particle":"","family":"Nishino","given":"Mizuki","non-dropping-particle":"","parse-names":false,"suffix":""},{"dropping-particle":"","family":"Umeton","given":"Renato","non-dropping-particle":"","parse-names":false,"suffix":""},{"dropping-particle":"","family":"Sholl","given":"Lynette M.","non-dropping-particle":"","parse-names":false,"suffix":""},{"dropping-particle":"Van","family":"Allen","given":"Eliezer M.","non-dropping-particle":"","parse-names":false,"suffix":""},{"dropping-particle":"","family":"Hellmann","given":"Matthew D.","non-dropping-particle":"","parse-names":false,"suffix":""},{"dropping-particle":"","family":"Awad","given":"Mark M.","non-dropping-particle":"","parse-names":false,"suffix":""}],"container-title":"https://doi.org/10.1200/PO.19.00171","id":"ITEM-1","issue":"3","issued":{"date-parts":[["2019","11","12"]]},"page":"1-12","publisher":"American Society of Clinical Oncology","title":"Harmonization of Tumor Mutational Burden Quantification and Association With Response to Immune Checkpoint Blockade in Non–Small-Cell Lung Cancer","type":"article-journal"},"uris":["http://www.mendeley.com/documents/?uuid=8fa2dc0e-b40d-3142-ba3b-b07ef975c903"]}],"mendeley":{"formattedCitation":"&lt;sup&gt;5&lt;/sup&gt;","plainTextFormattedCitation":"5","previouslyFormattedCitation":"&lt;sup&gt;5&lt;/sup&gt;"},"properties":{"noteIndex":0},"schema":"https://github.com/citation-style-language/schema/raw/master/csl-citation.json"}</w:instrText>
      </w:r>
      <w:r w:rsidR="00760D25">
        <w:rPr>
          <w:rFonts w:cs="Arial"/>
          <w:color w:val="000000" w:themeColor="text1"/>
          <w:szCs w:val="20"/>
        </w:rPr>
        <w:fldChar w:fldCharType="separate"/>
      </w:r>
      <w:r w:rsidR="00760D25" w:rsidRPr="00760D25">
        <w:rPr>
          <w:rFonts w:cs="Arial"/>
          <w:noProof/>
          <w:color w:val="000000" w:themeColor="text1"/>
          <w:szCs w:val="20"/>
          <w:vertAlign w:val="superscript"/>
        </w:rPr>
        <w:t>5</w:t>
      </w:r>
      <w:r w:rsidR="00760D25">
        <w:rPr>
          <w:rFonts w:cs="Arial"/>
          <w:color w:val="000000" w:themeColor="text1"/>
          <w:szCs w:val="20"/>
        </w:rPr>
        <w:fldChar w:fldCharType="end"/>
      </w:r>
      <w:r w:rsidRPr="00CF09B0">
        <w:rPr>
          <w:rFonts w:cs="Arial"/>
          <w:color w:val="000000" w:themeColor="text1"/>
          <w:szCs w:val="20"/>
        </w:rPr>
        <w:t xml:space="preserve">. Power transformations were used to normalize cohort-specific TMB distributions, and Tukey’s ladder of powers in the rcompanion package was used to identify the optimal transformation coefficient. Normalized distributions were then standardized into Z-scores by subtracting the transformed distribution mean and dividing by the standard deviation. </w:t>
      </w:r>
    </w:p>
    <w:p w14:paraId="1257FB11" w14:textId="77777777" w:rsidR="0061432D" w:rsidRDefault="0061432D" w:rsidP="00543781">
      <w:pPr>
        <w:widowControl w:val="0"/>
        <w:autoSpaceDE w:val="0"/>
        <w:autoSpaceDN w:val="0"/>
        <w:adjustRightInd w:val="0"/>
        <w:spacing w:after="160"/>
        <w:rPr>
          <w:rFonts w:cs="Arial"/>
          <w:color w:val="000000" w:themeColor="text1"/>
          <w:szCs w:val="20"/>
        </w:rPr>
      </w:pPr>
    </w:p>
    <w:p w14:paraId="0081E7E9" w14:textId="333DA41C" w:rsidR="0061432D" w:rsidRPr="0061432D" w:rsidRDefault="0061432D" w:rsidP="00543781">
      <w:pPr>
        <w:widowControl w:val="0"/>
        <w:autoSpaceDE w:val="0"/>
        <w:autoSpaceDN w:val="0"/>
        <w:adjustRightInd w:val="0"/>
        <w:spacing w:after="160"/>
        <w:rPr>
          <w:rFonts w:cs="Arial"/>
          <w:b/>
          <w:bCs/>
          <w:color w:val="000000" w:themeColor="text1"/>
          <w:szCs w:val="20"/>
        </w:rPr>
      </w:pPr>
      <w:r w:rsidRPr="0061432D">
        <w:rPr>
          <w:rFonts w:cs="Arial"/>
          <w:b/>
          <w:bCs/>
          <w:color w:val="000000" w:themeColor="text1"/>
          <w:szCs w:val="20"/>
        </w:rPr>
        <w:t xml:space="preserve">Follow up and treatment-related pneumonitis </w:t>
      </w:r>
      <w:r>
        <w:rPr>
          <w:rFonts w:cs="Arial"/>
          <w:b/>
          <w:bCs/>
          <w:color w:val="000000" w:themeColor="text1"/>
          <w:szCs w:val="20"/>
        </w:rPr>
        <w:t xml:space="preserve">assessment </w:t>
      </w:r>
    </w:p>
    <w:p w14:paraId="31E2B860" w14:textId="7D22527E" w:rsidR="0061432D" w:rsidRPr="00EB55AA" w:rsidRDefault="0061432D" w:rsidP="00543781">
      <w:pPr>
        <w:widowControl w:val="0"/>
        <w:autoSpaceDE w:val="0"/>
        <w:autoSpaceDN w:val="0"/>
        <w:adjustRightInd w:val="0"/>
        <w:spacing w:after="160"/>
        <w:rPr>
          <w:rFonts w:cs="Arial"/>
          <w:color w:val="000000" w:themeColor="text1"/>
          <w:szCs w:val="20"/>
          <w:shd w:val="clear" w:color="auto" w:fill="FFFFFF"/>
        </w:rPr>
      </w:pPr>
      <w:r>
        <w:rPr>
          <w:rFonts w:cs="Arial"/>
          <w:color w:val="000000" w:themeColor="text1"/>
          <w:szCs w:val="20"/>
          <w:shd w:val="clear" w:color="auto" w:fill="FFFFFF"/>
        </w:rPr>
        <w:tab/>
      </w:r>
      <w:r w:rsidRPr="00757056">
        <w:rPr>
          <w:rFonts w:cs="Arial"/>
          <w:color w:val="000000" w:themeColor="text1"/>
          <w:szCs w:val="20"/>
          <w:shd w:val="clear" w:color="auto" w:fill="FFFFFF"/>
        </w:rPr>
        <w:t>The clinical follow-up schedule followed standard treatment</w:t>
      </w:r>
      <w:r w:rsidR="00944B5B" w:rsidRPr="00757056">
        <w:rPr>
          <w:rFonts w:cs="Arial"/>
          <w:color w:val="000000" w:themeColor="text1"/>
          <w:szCs w:val="20"/>
          <w:shd w:val="clear" w:color="auto" w:fill="FFFFFF"/>
        </w:rPr>
        <w:t xml:space="preserve"> and</w:t>
      </w:r>
      <w:r w:rsidRPr="00757056">
        <w:rPr>
          <w:rFonts w:cs="Arial"/>
          <w:color w:val="000000" w:themeColor="text1"/>
          <w:szCs w:val="20"/>
          <w:shd w:val="clear" w:color="auto" w:fill="FFFFFF"/>
        </w:rPr>
        <w:t xml:space="preserve"> included history, physical, and chest CT every 3</w:t>
      </w:r>
      <w:r w:rsidR="00944B5B" w:rsidRPr="00757056">
        <w:rPr>
          <w:rFonts w:cs="Arial"/>
          <w:color w:val="000000" w:themeColor="text1"/>
          <w:szCs w:val="20"/>
          <w:shd w:val="clear" w:color="auto" w:fill="FFFFFF"/>
        </w:rPr>
        <w:t>-4</w:t>
      </w:r>
      <w:r w:rsidRPr="00757056">
        <w:rPr>
          <w:rFonts w:cs="Arial"/>
          <w:color w:val="000000" w:themeColor="text1"/>
          <w:szCs w:val="20"/>
          <w:shd w:val="clear" w:color="auto" w:fill="FFFFFF"/>
        </w:rPr>
        <w:t xml:space="preserve"> months for the first 2 years. Patients were defined to have </w:t>
      </w:r>
      <w:r w:rsidR="00944B5B" w:rsidRPr="00757056">
        <w:rPr>
          <w:rFonts w:cs="Arial"/>
          <w:color w:val="000000" w:themeColor="text1"/>
          <w:szCs w:val="20"/>
          <w:shd w:val="clear" w:color="auto" w:fill="FFFFFF"/>
        </w:rPr>
        <w:t>treatment-related pneumonitis</w:t>
      </w:r>
      <w:r w:rsidRPr="00757056">
        <w:rPr>
          <w:rFonts w:cs="Arial"/>
          <w:color w:val="000000" w:themeColor="text1"/>
          <w:szCs w:val="20"/>
          <w:shd w:val="clear" w:color="auto" w:fill="FFFFFF"/>
        </w:rPr>
        <w:t xml:space="preserve"> based </w:t>
      </w:r>
      <w:r w:rsidR="00944B5B" w:rsidRPr="00757056">
        <w:rPr>
          <w:rFonts w:cs="Arial"/>
          <w:color w:val="000000" w:themeColor="text1"/>
          <w:szCs w:val="20"/>
          <w:shd w:val="clear" w:color="auto" w:fill="FFFFFF"/>
        </w:rPr>
        <w:t>on</w:t>
      </w:r>
      <w:r w:rsidRPr="00757056">
        <w:rPr>
          <w:rFonts w:cs="Arial"/>
          <w:color w:val="000000" w:themeColor="text1"/>
          <w:szCs w:val="20"/>
          <w:shd w:val="clear" w:color="auto" w:fill="FFFFFF"/>
        </w:rPr>
        <w:t xml:space="preserve"> clinical and imaging findings</w:t>
      </w:r>
      <w:r w:rsidR="008E34F0" w:rsidRPr="00757056">
        <w:rPr>
          <w:rFonts w:cs="Arial"/>
          <w:color w:val="000000" w:themeColor="text1"/>
          <w:szCs w:val="20"/>
          <w:shd w:val="clear" w:color="auto" w:fill="FFFFFF"/>
        </w:rPr>
        <w:t xml:space="preserve"> as follow</w:t>
      </w:r>
      <w:r w:rsidR="00685719" w:rsidRPr="00757056">
        <w:rPr>
          <w:rFonts w:cs="Arial"/>
          <w:color w:val="000000" w:themeColor="text1"/>
          <w:szCs w:val="20"/>
          <w:shd w:val="clear" w:color="auto" w:fill="FFFFFF"/>
        </w:rPr>
        <w:t>s</w:t>
      </w:r>
      <w:r w:rsidR="008E34F0" w:rsidRPr="00757056">
        <w:rPr>
          <w:rFonts w:cs="Arial"/>
          <w:color w:val="000000" w:themeColor="text1"/>
          <w:szCs w:val="20"/>
          <w:shd w:val="clear" w:color="auto" w:fill="FFFFFF"/>
        </w:rPr>
        <w:t xml:space="preserve">: </w:t>
      </w:r>
      <w:r w:rsidRPr="00757056">
        <w:rPr>
          <w:rFonts w:cs="Arial"/>
          <w:color w:val="000000" w:themeColor="text1"/>
          <w:szCs w:val="20"/>
          <w:shd w:val="clear" w:color="auto" w:fill="FFFFFF"/>
        </w:rPr>
        <w:t>(</w:t>
      </w:r>
      <w:r w:rsidR="008E34F0" w:rsidRPr="00757056">
        <w:rPr>
          <w:rFonts w:cs="Arial"/>
          <w:color w:val="000000" w:themeColor="text1"/>
          <w:szCs w:val="20"/>
          <w:shd w:val="clear" w:color="auto" w:fill="FFFFFF"/>
        </w:rPr>
        <w:t>1</w:t>
      </w:r>
      <w:r w:rsidRPr="00757056">
        <w:rPr>
          <w:rFonts w:cs="Arial"/>
          <w:color w:val="000000" w:themeColor="text1"/>
          <w:szCs w:val="20"/>
          <w:shd w:val="clear" w:color="auto" w:fill="FFFFFF"/>
        </w:rPr>
        <w:t>) had pulmonary symptoms including dyspnea and/or cough, (</w:t>
      </w:r>
      <w:r w:rsidR="008E34F0" w:rsidRPr="00757056">
        <w:rPr>
          <w:rFonts w:cs="Arial"/>
          <w:color w:val="000000" w:themeColor="text1"/>
          <w:szCs w:val="20"/>
          <w:shd w:val="clear" w:color="auto" w:fill="FFFFFF"/>
        </w:rPr>
        <w:t>2</w:t>
      </w:r>
      <w:r w:rsidRPr="00757056">
        <w:rPr>
          <w:rFonts w:cs="Arial"/>
          <w:color w:val="000000" w:themeColor="text1"/>
          <w:szCs w:val="20"/>
          <w:shd w:val="clear" w:color="auto" w:fill="FFFFFF"/>
        </w:rPr>
        <w:t xml:space="preserve">) had CT-based imaging changes involving </w:t>
      </w:r>
      <w:r w:rsidR="008E34F0" w:rsidRPr="00757056">
        <w:rPr>
          <w:rFonts w:cs="Arial"/>
          <w:color w:val="000000" w:themeColor="text1"/>
          <w:szCs w:val="20"/>
          <w:shd w:val="clear" w:color="auto" w:fill="FFFFFF"/>
        </w:rPr>
        <w:t>either inside the</w:t>
      </w:r>
      <w:r w:rsidRPr="00757056">
        <w:rPr>
          <w:rFonts w:cs="Arial"/>
          <w:color w:val="000000" w:themeColor="text1"/>
          <w:szCs w:val="20"/>
          <w:shd w:val="clear" w:color="auto" w:fill="FFFFFF"/>
        </w:rPr>
        <w:t xml:space="preserve"> radiated field</w:t>
      </w:r>
      <w:r w:rsidR="008E34F0" w:rsidRPr="00757056">
        <w:rPr>
          <w:rFonts w:cs="Arial"/>
          <w:color w:val="000000" w:themeColor="text1"/>
          <w:szCs w:val="20"/>
          <w:shd w:val="clear" w:color="auto" w:fill="FFFFFF"/>
        </w:rPr>
        <w:t xml:space="preserve"> or outside</w:t>
      </w:r>
      <w:r w:rsidRPr="00757056">
        <w:rPr>
          <w:rFonts w:cs="Arial"/>
          <w:color w:val="000000" w:themeColor="text1"/>
          <w:szCs w:val="20"/>
          <w:shd w:val="clear" w:color="auto" w:fill="FFFFFF"/>
        </w:rPr>
        <w:t xml:space="preserve">, and (c) had symptoms occur </w:t>
      </w:r>
      <w:r w:rsidR="008E34F0" w:rsidRPr="00757056">
        <w:rPr>
          <w:rFonts w:cs="Arial"/>
          <w:color w:val="000000" w:themeColor="text1"/>
          <w:szCs w:val="20"/>
          <w:shd w:val="clear" w:color="auto" w:fill="FFFFFF"/>
        </w:rPr>
        <w:t xml:space="preserve">after completion of radiation and first dose of durvalumab and </w:t>
      </w:r>
      <w:r w:rsidRPr="00757056">
        <w:rPr>
          <w:rFonts w:cs="Arial"/>
          <w:color w:val="000000" w:themeColor="text1"/>
          <w:szCs w:val="20"/>
          <w:shd w:val="clear" w:color="auto" w:fill="FFFFFF"/>
        </w:rPr>
        <w:t xml:space="preserve">within </w:t>
      </w:r>
      <w:r w:rsidR="008E34F0" w:rsidRPr="00757056">
        <w:rPr>
          <w:rFonts w:cs="Arial"/>
          <w:color w:val="000000" w:themeColor="text1"/>
          <w:szCs w:val="20"/>
          <w:shd w:val="clear" w:color="auto" w:fill="FFFFFF"/>
        </w:rPr>
        <w:t xml:space="preserve">the </w:t>
      </w:r>
      <w:r w:rsidRPr="00757056">
        <w:rPr>
          <w:rFonts w:cs="Arial"/>
          <w:color w:val="000000" w:themeColor="text1"/>
          <w:szCs w:val="20"/>
          <w:shd w:val="clear" w:color="auto" w:fill="FFFFFF"/>
        </w:rPr>
        <w:t>12 </w:t>
      </w:r>
      <w:r w:rsidR="00EB55AA">
        <w:rPr>
          <w:rFonts w:cs="Arial"/>
          <w:color w:val="000000" w:themeColor="text1"/>
          <w:szCs w:val="20"/>
          <w:shd w:val="clear" w:color="auto" w:fill="FFFFFF"/>
        </w:rPr>
        <w:t>cycles</w:t>
      </w:r>
      <w:r w:rsidRPr="00757056">
        <w:rPr>
          <w:rFonts w:cs="Arial"/>
          <w:color w:val="000000" w:themeColor="text1"/>
          <w:szCs w:val="20"/>
          <w:shd w:val="clear" w:color="auto" w:fill="FFFFFF"/>
        </w:rPr>
        <w:t xml:space="preserve"> </w:t>
      </w:r>
      <w:r w:rsidR="008E34F0" w:rsidRPr="00757056">
        <w:rPr>
          <w:rFonts w:cs="Arial"/>
          <w:color w:val="000000" w:themeColor="text1"/>
          <w:szCs w:val="20"/>
          <w:shd w:val="clear" w:color="auto" w:fill="FFFFFF"/>
        </w:rPr>
        <w:t>of immunotherapy consolidation by standard protocol</w:t>
      </w:r>
      <w:r w:rsidRPr="00757056">
        <w:rPr>
          <w:rFonts w:cs="Arial"/>
          <w:color w:val="000000" w:themeColor="text1"/>
          <w:szCs w:val="20"/>
          <w:shd w:val="clear" w:color="auto" w:fill="FFFFFF"/>
        </w:rPr>
        <w:t>. </w:t>
      </w:r>
      <w:r w:rsidR="00685719" w:rsidRPr="00757056">
        <w:rPr>
          <w:rFonts w:cs="Arial"/>
          <w:color w:val="000000" w:themeColor="text1"/>
          <w:szCs w:val="20"/>
          <w:shd w:val="clear" w:color="auto" w:fill="FFFFFF"/>
        </w:rPr>
        <w:t xml:space="preserve">Definitive </w:t>
      </w:r>
      <w:r w:rsidR="00757056" w:rsidRPr="00757056">
        <w:rPr>
          <w:rFonts w:cs="Arial"/>
          <w:color w:val="000000" w:themeColor="text1"/>
          <w:szCs w:val="20"/>
          <w:shd w:val="clear" w:color="auto" w:fill="FFFFFF"/>
        </w:rPr>
        <w:t xml:space="preserve">discontinuation of durvalumab </w:t>
      </w:r>
      <w:r w:rsidR="00EB55AA">
        <w:rPr>
          <w:rFonts w:cs="Arial"/>
          <w:color w:val="000000" w:themeColor="text1"/>
          <w:szCs w:val="20"/>
          <w:shd w:val="clear" w:color="auto" w:fill="FFFFFF"/>
        </w:rPr>
        <w:t xml:space="preserve">was defined based on toxicity grading ≥G2 and medical oncologist ascription. </w:t>
      </w:r>
      <w:r w:rsidRPr="0061432D">
        <w:rPr>
          <w:rFonts w:cs="Arial"/>
          <w:color w:val="000000" w:themeColor="text1"/>
          <w:szCs w:val="20"/>
          <w:shd w:val="clear" w:color="auto" w:fill="FFFFFF"/>
        </w:rPr>
        <w:t>Patient characteristics including age,</w:t>
      </w:r>
      <w:r w:rsidR="00EB55AA">
        <w:rPr>
          <w:rFonts w:cs="Arial"/>
          <w:color w:val="000000" w:themeColor="text1"/>
          <w:szCs w:val="20"/>
          <w:shd w:val="clear" w:color="auto" w:fill="FFFFFF"/>
        </w:rPr>
        <w:t xml:space="preserve"> sex,</w:t>
      </w:r>
      <w:r w:rsidRPr="0061432D">
        <w:rPr>
          <w:rFonts w:cs="Arial"/>
          <w:color w:val="000000" w:themeColor="text1"/>
          <w:szCs w:val="20"/>
          <w:shd w:val="clear" w:color="auto" w:fill="FFFFFF"/>
        </w:rPr>
        <w:t xml:space="preserve"> AJCC stage, smoking history, </w:t>
      </w:r>
      <w:r w:rsidR="00EB55AA">
        <w:rPr>
          <w:rFonts w:cs="Arial"/>
          <w:color w:val="000000" w:themeColor="text1"/>
          <w:szCs w:val="20"/>
          <w:shd w:val="clear" w:color="auto" w:fill="FFFFFF"/>
        </w:rPr>
        <w:t xml:space="preserve">histology, and </w:t>
      </w:r>
      <w:r w:rsidRPr="0061432D">
        <w:rPr>
          <w:rFonts w:cs="Arial"/>
          <w:color w:val="000000" w:themeColor="text1"/>
          <w:szCs w:val="20"/>
          <w:shd w:val="clear" w:color="auto" w:fill="FFFFFF"/>
        </w:rPr>
        <w:t>radiation treatment details</w:t>
      </w:r>
      <w:r w:rsidR="003938BF">
        <w:rPr>
          <w:rFonts w:cs="Arial"/>
          <w:color w:val="000000" w:themeColor="text1"/>
          <w:szCs w:val="20"/>
          <w:shd w:val="clear" w:color="auto" w:fill="FFFFFF"/>
        </w:rPr>
        <w:t xml:space="preserve"> </w:t>
      </w:r>
      <w:r w:rsidRPr="0061432D">
        <w:rPr>
          <w:rFonts w:cs="Arial"/>
          <w:color w:val="000000" w:themeColor="text1"/>
          <w:szCs w:val="20"/>
          <w:shd w:val="clear" w:color="auto" w:fill="FFFFFF"/>
        </w:rPr>
        <w:t xml:space="preserve">were retrospectively reviewed. Patients with clinical and imaging characteristics consistent with </w:t>
      </w:r>
      <w:r w:rsidR="003938BF">
        <w:rPr>
          <w:rFonts w:cs="Arial"/>
          <w:color w:val="000000" w:themeColor="text1"/>
          <w:szCs w:val="20"/>
          <w:shd w:val="clear" w:color="auto" w:fill="FFFFFF"/>
        </w:rPr>
        <w:t>treatment-related pneumonitis</w:t>
      </w:r>
      <w:r w:rsidRPr="0061432D">
        <w:rPr>
          <w:rFonts w:cs="Arial"/>
          <w:color w:val="000000" w:themeColor="text1"/>
          <w:szCs w:val="20"/>
          <w:shd w:val="clear" w:color="auto" w:fill="FFFFFF"/>
        </w:rPr>
        <w:t xml:space="preserve"> were retrospectively assessed for clinical </w:t>
      </w:r>
      <w:r w:rsidR="003938BF">
        <w:rPr>
          <w:rFonts w:cs="Arial"/>
          <w:color w:val="000000" w:themeColor="text1"/>
          <w:szCs w:val="20"/>
          <w:shd w:val="clear" w:color="auto" w:fill="FFFFFF"/>
        </w:rPr>
        <w:t>outcomes</w:t>
      </w:r>
      <w:r w:rsidRPr="0061432D">
        <w:rPr>
          <w:rFonts w:cs="Arial"/>
          <w:color w:val="000000" w:themeColor="text1"/>
          <w:szCs w:val="20"/>
          <w:shd w:val="clear" w:color="auto" w:fill="FFFFFF"/>
        </w:rPr>
        <w:t>.</w:t>
      </w:r>
      <w:r w:rsidR="00550C41">
        <w:rPr>
          <w:rFonts w:cs="Arial"/>
          <w:color w:val="000000" w:themeColor="text1"/>
          <w:szCs w:val="20"/>
          <w:shd w:val="clear" w:color="auto" w:fill="FFFFFF"/>
        </w:rPr>
        <w:t xml:space="preserve"> </w:t>
      </w:r>
      <w:r w:rsidRPr="0061432D">
        <w:rPr>
          <w:rFonts w:cs="Arial"/>
          <w:color w:val="000000" w:themeColor="text1"/>
          <w:szCs w:val="20"/>
          <w:shd w:val="clear" w:color="auto" w:fill="FFFFFF"/>
        </w:rPr>
        <w:t xml:space="preserve">Toxicity grading was based on the Common Terminology Criteria for Adverse Events (CTCAE) v. 5.0 scoring system. </w:t>
      </w:r>
    </w:p>
    <w:p w14:paraId="2579F8A4" w14:textId="77777777" w:rsidR="00543781" w:rsidRPr="00543781" w:rsidRDefault="00543781" w:rsidP="00543781">
      <w:pPr>
        <w:widowControl w:val="0"/>
        <w:autoSpaceDE w:val="0"/>
        <w:autoSpaceDN w:val="0"/>
        <w:adjustRightInd w:val="0"/>
        <w:spacing w:after="160"/>
        <w:rPr>
          <w:rFonts w:cs="Arial"/>
          <w:color w:val="000000" w:themeColor="text1"/>
          <w:szCs w:val="20"/>
        </w:rPr>
      </w:pPr>
    </w:p>
    <w:p w14:paraId="0C9DC2D5" w14:textId="77777777" w:rsidR="0041628A" w:rsidRPr="00CF09B0" w:rsidRDefault="0041628A" w:rsidP="00CF09B0">
      <w:pPr>
        <w:spacing w:after="0"/>
        <w:rPr>
          <w:rFonts w:cs="Arial"/>
          <w:i/>
          <w:iCs/>
          <w:szCs w:val="20"/>
        </w:rPr>
      </w:pPr>
    </w:p>
    <w:p w14:paraId="3DB81562" w14:textId="77777777" w:rsidR="0041628A" w:rsidRPr="00CF09B0" w:rsidRDefault="0041628A" w:rsidP="00CF09B0">
      <w:pPr>
        <w:spacing w:after="0"/>
        <w:rPr>
          <w:rFonts w:cs="Arial"/>
          <w:b/>
          <w:szCs w:val="20"/>
        </w:rPr>
      </w:pPr>
    </w:p>
    <w:p w14:paraId="005978C2" w14:textId="6D6CD923" w:rsidR="00307070" w:rsidRDefault="00550C41" w:rsidP="00CF09B0">
      <w:pPr>
        <w:rPr>
          <w:rFonts w:cs="Arial"/>
          <w:szCs w:val="20"/>
        </w:rPr>
      </w:pPr>
    </w:p>
    <w:p w14:paraId="03D2F533" w14:textId="4F156524" w:rsidR="00897D74" w:rsidRDefault="00897D74" w:rsidP="00CF09B0">
      <w:pPr>
        <w:rPr>
          <w:rFonts w:cs="Arial"/>
          <w:szCs w:val="20"/>
        </w:rPr>
      </w:pPr>
    </w:p>
    <w:p w14:paraId="02D5F817" w14:textId="659B2DF2" w:rsidR="00897D74" w:rsidRDefault="00897D74" w:rsidP="00CF09B0">
      <w:pPr>
        <w:rPr>
          <w:rFonts w:cs="Arial"/>
          <w:szCs w:val="20"/>
        </w:rPr>
      </w:pPr>
    </w:p>
    <w:p w14:paraId="0D3E8179" w14:textId="31F9C04C" w:rsidR="00897D74" w:rsidRDefault="00897D74" w:rsidP="00CF09B0">
      <w:pPr>
        <w:rPr>
          <w:rFonts w:cs="Arial"/>
          <w:szCs w:val="20"/>
        </w:rPr>
      </w:pPr>
    </w:p>
    <w:p w14:paraId="5552E612" w14:textId="68511ECC" w:rsidR="00897D74" w:rsidRDefault="00897D74" w:rsidP="00CF09B0">
      <w:pPr>
        <w:rPr>
          <w:rFonts w:cs="Arial"/>
          <w:szCs w:val="20"/>
        </w:rPr>
      </w:pPr>
    </w:p>
    <w:p w14:paraId="76F382DF" w14:textId="162FB14E" w:rsidR="00996C9A" w:rsidRDefault="00996C9A" w:rsidP="00897D74">
      <w:pPr>
        <w:spacing w:after="160"/>
        <w:rPr>
          <w:rFonts w:cs="Arial"/>
          <w:szCs w:val="20"/>
        </w:rPr>
      </w:pPr>
    </w:p>
    <w:p w14:paraId="3EB1BF7F" w14:textId="440C53E3" w:rsidR="00A8463F" w:rsidRDefault="00A8463F" w:rsidP="00897D74">
      <w:pPr>
        <w:spacing w:after="160"/>
        <w:rPr>
          <w:rFonts w:cs="Arial"/>
          <w:szCs w:val="20"/>
        </w:rPr>
      </w:pPr>
    </w:p>
    <w:p w14:paraId="27FB02C2" w14:textId="63A59767" w:rsidR="00A8463F" w:rsidRDefault="00A8463F" w:rsidP="00897D74">
      <w:pPr>
        <w:spacing w:after="160"/>
        <w:rPr>
          <w:rFonts w:cs="Arial"/>
          <w:szCs w:val="20"/>
        </w:rPr>
      </w:pPr>
    </w:p>
    <w:p w14:paraId="62AE3CD5" w14:textId="51609F3B" w:rsidR="00A8463F" w:rsidRDefault="00A8463F" w:rsidP="00897D74">
      <w:pPr>
        <w:spacing w:after="160"/>
        <w:rPr>
          <w:rFonts w:cs="Arial"/>
          <w:szCs w:val="20"/>
        </w:rPr>
      </w:pPr>
    </w:p>
    <w:p w14:paraId="02C96AD6" w14:textId="04144367" w:rsidR="00A8463F" w:rsidRDefault="00A8463F" w:rsidP="00897D74">
      <w:pPr>
        <w:spacing w:after="160"/>
        <w:rPr>
          <w:rFonts w:cs="Arial"/>
          <w:szCs w:val="20"/>
        </w:rPr>
      </w:pPr>
    </w:p>
    <w:p w14:paraId="186A679E" w14:textId="4515CE6A" w:rsidR="00A8463F" w:rsidRDefault="00A8463F" w:rsidP="00897D74">
      <w:pPr>
        <w:spacing w:after="160"/>
        <w:rPr>
          <w:rFonts w:cs="Arial"/>
          <w:szCs w:val="20"/>
        </w:rPr>
      </w:pPr>
    </w:p>
    <w:p w14:paraId="709C81AC" w14:textId="3F279ED1" w:rsidR="00A8463F" w:rsidRDefault="00A8463F" w:rsidP="00897D74">
      <w:pPr>
        <w:spacing w:after="160"/>
        <w:rPr>
          <w:rFonts w:cs="Arial"/>
          <w:szCs w:val="20"/>
        </w:rPr>
      </w:pPr>
    </w:p>
    <w:p w14:paraId="6E04912A" w14:textId="4041DEE9" w:rsidR="00A8463F" w:rsidRDefault="00A8463F" w:rsidP="00897D74">
      <w:pPr>
        <w:spacing w:after="160"/>
        <w:rPr>
          <w:rFonts w:cs="Arial"/>
          <w:szCs w:val="20"/>
        </w:rPr>
      </w:pPr>
    </w:p>
    <w:p w14:paraId="3A1164CA" w14:textId="4854728C" w:rsidR="00A8463F" w:rsidRDefault="00A8463F" w:rsidP="00897D74">
      <w:pPr>
        <w:spacing w:after="160"/>
        <w:rPr>
          <w:rFonts w:cs="Arial"/>
          <w:szCs w:val="20"/>
        </w:rPr>
      </w:pPr>
    </w:p>
    <w:p w14:paraId="6ABB448A" w14:textId="77777777" w:rsidR="00A8463F" w:rsidRDefault="00A8463F" w:rsidP="00897D74">
      <w:pPr>
        <w:spacing w:after="160"/>
        <w:rPr>
          <w:rFonts w:cs="Arial"/>
          <w:szCs w:val="20"/>
        </w:rPr>
      </w:pPr>
    </w:p>
    <w:p w14:paraId="63D1FCC9" w14:textId="5CC7C593" w:rsidR="00897D74" w:rsidRPr="00897D74" w:rsidRDefault="00897D74" w:rsidP="00897D74">
      <w:pPr>
        <w:spacing w:after="160"/>
        <w:rPr>
          <w:rFonts w:cs="Arial"/>
          <w:b/>
          <w:szCs w:val="20"/>
        </w:rPr>
      </w:pPr>
      <w:r w:rsidRPr="00897D74">
        <w:rPr>
          <w:rFonts w:cs="Arial"/>
          <w:b/>
          <w:szCs w:val="20"/>
        </w:rPr>
        <w:lastRenderedPageBreak/>
        <w:t>Supplementary References</w:t>
      </w:r>
    </w:p>
    <w:p w14:paraId="31787771" w14:textId="5F224470" w:rsidR="00996C9A" w:rsidRPr="00996C9A" w:rsidRDefault="00897D74" w:rsidP="00996C9A">
      <w:pPr>
        <w:widowControl w:val="0"/>
        <w:autoSpaceDE w:val="0"/>
        <w:autoSpaceDN w:val="0"/>
        <w:adjustRightInd w:val="0"/>
        <w:spacing w:line="276" w:lineRule="auto"/>
        <w:ind w:left="640" w:hanging="640"/>
        <w:rPr>
          <w:rFonts w:cs="Arial"/>
          <w:noProof/>
          <w:szCs w:val="24"/>
        </w:rPr>
      </w:pPr>
      <w:r>
        <w:rPr>
          <w:rFonts w:cs="Arial"/>
          <w:szCs w:val="20"/>
        </w:rPr>
        <w:fldChar w:fldCharType="begin" w:fldLock="1"/>
      </w:r>
      <w:r>
        <w:rPr>
          <w:rFonts w:cs="Arial"/>
          <w:szCs w:val="20"/>
        </w:rPr>
        <w:instrText xml:space="preserve">ADDIN Mendeley Bibliography CSL_BIBLIOGRAPHY </w:instrText>
      </w:r>
      <w:r>
        <w:rPr>
          <w:rFonts w:cs="Arial"/>
          <w:szCs w:val="20"/>
        </w:rPr>
        <w:fldChar w:fldCharType="separate"/>
      </w:r>
      <w:r w:rsidR="00996C9A" w:rsidRPr="00996C9A">
        <w:rPr>
          <w:rFonts w:cs="Arial"/>
          <w:noProof/>
          <w:szCs w:val="24"/>
        </w:rPr>
        <w:t>1.</w:t>
      </w:r>
      <w:r w:rsidR="00996C9A" w:rsidRPr="00996C9A">
        <w:rPr>
          <w:rFonts w:cs="Arial"/>
          <w:noProof/>
          <w:szCs w:val="24"/>
        </w:rPr>
        <w:tab/>
        <w:t xml:space="preserve">Feng, Z. </w:t>
      </w:r>
      <w:r w:rsidR="00996C9A" w:rsidRPr="00996C9A">
        <w:rPr>
          <w:rFonts w:cs="Arial"/>
          <w:i/>
          <w:iCs/>
          <w:noProof/>
          <w:szCs w:val="24"/>
        </w:rPr>
        <w:t>et al.</w:t>
      </w:r>
      <w:r w:rsidR="00996C9A" w:rsidRPr="00996C9A">
        <w:rPr>
          <w:rFonts w:cs="Arial"/>
          <w:noProof/>
          <w:szCs w:val="24"/>
        </w:rPr>
        <w:t xml:space="preserve"> Multispectral imaging of formalin-fixed tissue predicts ability to generate tumor-infiltrating lymphocytes from melanoma. </w:t>
      </w:r>
      <w:r w:rsidR="00996C9A" w:rsidRPr="00996C9A">
        <w:rPr>
          <w:rFonts w:cs="Arial"/>
          <w:i/>
          <w:iCs/>
          <w:noProof/>
          <w:szCs w:val="24"/>
        </w:rPr>
        <w:t>J. Immunother. Cancer</w:t>
      </w:r>
      <w:r w:rsidR="00996C9A" w:rsidRPr="00996C9A">
        <w:rPr>
          <w:rFonts w:cs="Arial"/>
          <w:noProof/>
          <w:szCs w:val="24"/>
        </w:rPr>
        <w:t xml:space="preserve"> (2015) doi:10.1186/s40425-015-0091-z.</w:t>
      </w:r>
    </w:p>
    <w:p w14:paraId="758AEB03" w14:textId="77777777" w:rsidR="00996C9A" w:rsidRPr="00996C9A" w:rsidRDefault="00996C9A" w:rsidP="00996C9A">
      <w:pPr>
        <w:widowControl w:val="0"/>
        <w:autoSpaceDE w:val="0"/>
        <w:autoSpaceDN w:val="0"/>
        <w:adjustRightInd w:val="0"/>
        <w:spacing w:line="276" w:lineRule="auto"/>
        <w:ind w:left="640" w:hanging="640"/>
        <w:rPr>
          <w:rFonts w:cs="Arial"/>
          <w:noProof/>
          <w:szCs w:val="24"/>
        </w:rPr>
      </w:pPr>
      <w:r w:rsidRPr="00996C9A">
        <w:rPr>
          <w:rFonts w:cs="Arial"/>
          <w:noProof/>
          <w:szCs w:val="24"/>
        </w:rPr>
        <w:t>2.</w:t>
      </w:r>
      <w:r w:rsidRPr="00996C9A">
        <w:rPr>
          <w:rFonts w:cs="Arial"/>
          <w:noProof/>
          <w:szCs w:val="24"/>
        </w:rPr>
        <w:tab/>
        <w:t xml:space="preserve">Bogusz, A. M. </w:t>
      </w:r>
      <w:r w:rsidRPr="00996C9A">
        <w:rPr>
          <w:rFonts w:cs="Arial"/>
          <w:i/>
          <w:iCs/>
          <w:noProof/>
          <w:szCs w:val="24"/>
        </w:rPr>
        <w:t>et al.</w:t>
      </w:r>
      <w:r w:rsidRPr="00996C9A">
        <w:rPr>
          <w:rFonts w:cs="Arial"/>
          <w:noProof/>
          <w:szCs w:val="24"/>
        </w:rPr>
        <w:t xml:space="preserve"> Quantitative immunofluorescence reveals the signature of active B-cell receptor signaling in diffuse large B-cell lymphoma. </w:t>
      </w:r>
      <w:r w:rsidRPr="00996C9A">
        <w:rPr>
          <w:rFonts w:cs="Arial"/>
          <w:i/>
          <w:iCs/>
          <w:noProof/>
          <w:szCs w:val="24"/>
        </w:rPr>
        <w:t>Clin. Cancer Res.</w:t>
      </w:r>
      <w:r w:rsidRPr="00996C9A">
        <w:rPr>
          <w:rFonts w:cs="Arial"/>
          <w:noProof/>
          <w:szCs w:val="24"/>
        </w:rPr>
        <w:t xml:space="preserve"> (2012) doi:10.1158/1078-0432.CCR-12-0397.</w:t>
      </w:r>
    </w:p>
    <w:p w14:paraId="6D66BE6F" w14:textId="77777777" w:rsidR="00996C9A" w:rsidRPr="00996C9A" w:rsidRDefault="00996C9A" w:rsidP="00996C9A">
      <w:pPr>
        <w:widowControl w:val="0"/>
        <w:autoSpaceDE w:val="0"/>
        <w:autoSpaceDN w:val="0"/>
        <w:adjustRightInd w:val="0"/>
        <w:spacing w:line="276" w:lineRule="auto"/>
        <w:ind w:left="640" w:hanging="640"/>
        <w:rPr>
          <w:rFonts w:cs="Arial"/>
          <w:noProof/>
          <w:szCs w:val="24"/>
        </w:rPr>
      </w:pPr>
      <w:r w:rsidRPr="00996C9A">
        <w:rPr>
          <w:rFonts w:cs="Arial"/>
          <w:noProof/>
          <w:szCs w:val="24"/>
        </w:rPr>
        <w:t>3.</w:t>
      </w:r>
      <w:r w:rsidRPr="00996C9A">
        <w:rPr>
          <w:rFonts w:cs="Arial"/>
          <w:noProof/>
          <w:szCs w:val="24"/>
        </w:rPr>
        <w:tab/>
        <w:t xml:space="preserve">Sholl, L. M. </w:t>
      </w:r>
      <w:r w:rsidRPr="00996C9A">
        <w:rPr>
          <w:rFonts w:cs="Arial"/>
          <w:i/>
          <w:iCs/>
          <w:noProof/>
          <w:szCs w:val="24"/>
        </w:rPr>
        <w:t>et al.</w:t>
      </w:r>
      <w:r w:rsidRPr="00996C9A">
        <w:rPr>
          <w:rFonts w:cs="Arial"/>
          <w:noProof/>
          <w:szCs w:val="24"/>
        </w:rPr>
        <w:t xml:space="preserve"> Institutional implementation of clinical tumor profiling on an unselected cancer population. </w:t>
      </w:r>
      <w:r w:rsidRPr="00996C9A">
        <w:rPr>
          <w:rFonts w:cs="Arial"/>
          <w:i/>
          <w:iCs/>
          <w:noProof/>
          <w:szCs w:val="24"/>
        </w:rPr>
        <w:t>JCI Insight</w:t>
      </w:r>
      <w:r w:rsidRPr="00996C9A">
        <w:rPr>
          <w:rFonts w:cs="Arial"/>
          <w:noProof/>
          <w:szCs w:val="24"/>
        </w:rPr>
        <w:t xml:space="preserve"> (2016) doi:10.1172/jci.insight.87062.</w:t>
      </w:r>
    </w:p>
    <w:p w14:paraId="19A49B58" w14:textId="77777777" w:rsidR="00996C9A" w:rsidRPr="00996C9A" w:rsidRDefault="00996C9A" w:rsidP="00996C9A">
      <w:pPr>
        <w:widowControl w:val="0"/>
        <w:autoSpaceDE w:val="0"/>
        <w:autoSpaceDN w:val="0"/>
        <w:adjustRightInd w:val="0"/>
        <w:spacing w:line="276" w:lineRule="auto"/>
        <w:ind w:left="640" w:hanging="640"/>
        <w:rPr>
          <w:rFonts w:cs="Arial"/>
          <w:noProof/>
          <w:szCs w:val="24"/>
        </w:rPr>
      </w:pPr>
      <w:r w:rsidRPr="00996C9A">
        <w:rPr>
          <w:rFonts w:cs="Arial"/>
          <w:noProof/>
          <w:szCs w:val="24"/>
        </w:rPr>
        <w:t>4.</w:t>
      </w:r>
      <w:r w:rsidRPr="00996C9A">
        <w:rPr>
          <w:rFonts w:cs="Arial"/>
          <w:noProof/>
          <w:szCs w:val="24"/>
        </w:rPr>
        <w:tab/>
        <w:t xml:space="preserve">Cheng, D. T. </w:t>
      </w:r>
      <w:r w:rsidRPr="00996C9A">
        <w:rPr>
          <w:rFonts w:cs="Arial"/>
          <w:i/>
          <w:iCs/>
          <w:noProof/>
          <w:szCs w:val="24"/>
        </w:rPr>
        <w:t>et al.</w:t>
      </w:r>
      <w:r w:rsidRPr="00996C9A">
        <w:rPr>
          <w:rFonts w:cs="Arial"/>
          <w:noProof/>
          <w:szCs w:val="24"/>
        </w:rPr>
        <w:t xml:space="preserve"> Memorial Sloan Kettering-Integrated Mutation Profiling of Actionable Cancer Targets (MSK-IMPACT). </w:t>
      </w:r>
      <w:r w:rsidRPr="00996C9A">
        <w:rPr>
          <w:rFonts w:cs="Arial"/>
          <w:i/>
          <w:iCs/>
          <w:noProof/>
          <w:szCs w:val="24"/>
        </w:rPr>
        <w:t>J. Mol. Diagnostics</w:t>
      </w:r>
      <w:r w:rsidRPr="00996C9A">
        <w:rPr>
          <w:rFonts w:cs="Arial"/>
          <w:noProof/>
          <w:szCs w:val="24"/>
        </w:rPr>
        <w:t xml:space="preserve"> </w:t>
      </w:r>
      <w:r w:rsidRPr="00996C9A">
        <w:rPr>
          <w:rFonts w:cs="Arial"/>
          <w:b/>
          <w:bCs/>
          <w:noProof/>
          <w:szCs w:val="24"/>
        </w:rPr>
        <w:t>17</w:t>
      </w:r>
      <w:r w:rsidRPr="00996C9A">
        <w:rPr>
          <w:rFonts w:cs="Arial"/>
          <w:noProof/>
          <w:szCs w:val="24"/>
        </w:rPr>
        <w:t>, 251–264 (2015).</w:t>
      </w:r>
    </w:p>
    <w:p w14:paraId="5AE82B8D" w14:textId="77777777" w:rsidR="00996C9A" w:rsidRPr="00996C9A" w:rsidRDefault="00996C9A" w:rsidP="00996C9A">
      <w:pPr>
        <w:widowControl w:val="0"/>
        <w:autoSpaceDE w:val="0"/>
        <w:autoSpaceDN w:val="0"/>
        <w:adjustRightInd w:val="0"/>
        <w:spacing w:line="276" w:lineRule="auto"/>
        <w:ind w:left="640" w:hanging="640"/>
        <w:rPr>
          <w:rFonts w:cs="Arial"/>
          <w:noProof/>
        </w:rPr>
      </w:pPr>
      <w:r w:rsidRPr="00996C9A">
        <w:rPr>
          <w:rFonts w:cs="Arial"/>
          <w:noProof/>
          <w:szCs w:val="24"/>
        </w:rPr>
        <w:t>5.</w:t>
      </w:r>
      <w:r w:rsidRPr="00996C9A">
        <w:rPr>
          <w:rFonts w:cs="Arial"/>
          <w:noProof/>
          <w:szCs w:val="24"/>
        </w:rPr>
        <w:tab/>
        <w:t xml:space="preserve">Vokes, N. I. </w:t>
      </w:r>
      <w:r w:rsidRPr="00996C9A">
        <w:rPr>
          <w:rFonts w:cs="Arial"/>
          <w:i/>
          <w:iCs/>
          <w:noProof/>
          <w:szCs w:val="24"/>
        </w:rPr>
        <w:t>et al.</w:t>
      </w:r>
      <w:r w:rsidRPr="00996C9A">
        <w:rPr>
          <w:rFonts w:cs="Arial"/>
          <w:noProof/>
          <w:szCs w:val="24"/>
        </w:rPr>
        <w:t xml:space="preserve"> Harmonization of Tumor Mutational Burden Quantification and Association With Response to Immune Checkpoint Blockade in Non–Small-Cell Lung Cancer. </w:t>
      </w:r>
      <w:r w:rsidRPr="00996C9A">
        <w:rPr>
          <w:rFonts w:cs="Arial"/>
          <w:i/>
          <w:iCs/>
          <w:noProof/>
          <w:szCs w:val="24"/>
        </w:rPr>
        <w:t>https://doi.org/10.1200/PO.19.00171</w:t>
      </w:r>
      <w:r w:rsidRPr="00996C9A">
        <w:rPr>
          <w:rFonts w:cs="Arial"/>
          <w:noProof/>
          <w:szCs w:val="24"/>
        </w:rPr>
        <w:t xml:space="preserve"> 1–12 (2019) doi:10.1200/PO.19.00171.</w:t>
      </w:r>
    </w:p>
    <w:p w14:paraId="414E3112" w14:textId="10B5BB8E" w:rsidR="00897D74" w:rsidRPr="00CF09B0" w:rsidRDefault="00897D74" w:rsidP="00897D74">
      <w:pPr>
        <w:rPr>
          <w:rFonts w:cs="Arial"/>
          <w:szCs w:val="20"/>
        </w:rPr>
      </w:pPr>
      <w:r>
        <w:rPr>
          <w:rFonts w:cs="Arial"/>
          <w:szCs w:val="20"/>
        </w:rPr>
        <w:fldChar w:fldCharType="end"/>
      </w:r>
    </w:p>
    <w:sectPr w:rsidR="00897D74" w:rsidRPr="00CF09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628A"/>
    <w:rsid w:val="000436A4"/>
    <w:rsid w:val="000818A1"/>
    <w:rsid w:val="00083487"/>
    <w:rsid w:val="000C090F"/>
    <w:rsid w:val="000D412E"/>
    <w:rsid w:val="000E44FC"/>
    <w:rsid w:val="0010707E"/>
    <w:rsid w:val="001A44D7"/>
    <w:rsid w:val="001A56CD"/>
    <w:rsid w:val="001D0711"/>
    <w:rsid w:val="00206FD2"/>
    <w:rsid w:val="00391DC8"/>
    <w:rsid w:val="003938BF"/>
    <w:rsid w:val="003B6153"/>
    <w:rsid w:val="003F7888"/>
    <w:rsid w:val="0041628A"/>
    <w:rsid w:val="00480471"/>
    <w:rsid w:val="004A4350"/>
    <w:rsid w:val="004B5F25"/>
    <w:rsid w:val="00543781"/>
    <w:rsid w:val="005501A1"/>
    <w:rsid w:val="00550C41"/>
    <w:rsid w:val="005803FB"/>
    <w:rsid w:val="005960C5"/>
    <w:rsid w:val="005D7EB7"/>
    <w:rsid w:val="0061432D"/>
    <w:rsid w:val="0062601C"/>
    <w:rsid w:val="0065273D"/>
    <w:rsid w:val="00685719"/>
    <w:rsid w:val="006979A6"/>
    <w:rsid w:val="00746177"/>
    <w:rsid w:val="00757056"/>
    <w:rsid w:val="00760D25"/>
    <w:rsid w:val="007B117C"/>
    <w:rsid w:val="007C387F"/>
    <w:rsid w:val="007C6B9F"/>
    <w:rsid w:val="00814AD5"/>
    <w:rsid w:val="00876CE4"/>
    <w:rsid w:val="00897D74"/>
    <w:rsid w:val="008C17CD"/>
    <w:rsid w:val="008D6961"/>
    <w:rsid w:val="008E34F0"/>
    <w:rsid w:val="008E427D"/>
    <w:rsid w:val="00915273"/>
    <w:rsid w:val="009374CF"/>
    <w:rsid w:val="00944B5B"/>
    <w:rsid w:val="009630D9"/>
    <w:rsid w:val="00996C9A"/>
    <w:rsid w:val="009F5B66"/>
    <w:rsid w:val="00A045E1"/>
    <w:rsid w:val="00A62449"/>
    <w:rsid w:val="00A8463F"/>
    <w:rsid w:val="00A85406"/>
    <w:rsid w:val="00AA77CD"/>
    <w:rsid w:val="00AB76D0"/>
    <w:rsid w:val="00B220EB"/>
    <w:rsid w:val="00B40C46"/>
    <w:rsid w:val="00B555BF"/>
    <w:rsid w:val="00B5613B"/>
    <w:rsid w:val="00B66118"/>
    <w:rsid w:val="00B960C0"/>
    <w:rsid w:val="00C208B3"/>
    <w:rsid w:val="00CA74B7"/>
    <w:rsid w:val="00CB5899"/>
    <w:rsid w:val="00CF09B0"/>
    <w:rsid w:val="00CF2B5C"/>
    <w:rsid w:val="00E25054"/>
    <w:rsid w:val="00EB4078"/>
    <w:rsid w:val="00EB55AA"/>
    <w:rsid w:val="00FF0267"/>
    <w:rsid w:val="00FF5C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AC51B6"/>
  <w15:chartTrackingRefBased/>
  <w15:docId w15:val="{B02981BF-6A78-4D3A-A7CD-E913106693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628A"/>
    <w:pPr>
      <w:spacing w:after="200" w:line="240" w:lineRule="auto"/>
    </w:pPr>
    <w:rPr>
      <w:rFonts w:ascii="Arial" w:hAnsi="Arial"/>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5803FB"/>
    <w:pPr>
      <w:spacing w:before="100" w:beforeAutospacing="1" w:after="100" w:afterAutospacing="1"/>
    </w:pPr>
    <w:rPr>
      <w:rFonts w:ascii="Times New Roman" w:eastAsia="Times New Roman" w:hAnsi="Times New Roman" w:cs="Times New Roman"/>
      <w:sz w:val="24"/>
      <w:szCs w:val="24"/>
      <w:lang w:val="pt-BR" w:eastAsia="pt-BR"/>
    </w:rPr>
  </w:style>
  <w:style w:type="character" w:styleId="Hyperlink">
    <w:name w:val="Hyperlink"/>
    <w:basedOn w:val="DefaultParagraphFont"/>
    <w:uiPriority w:val="99"/>
    <w:semiHidden/>
    <w:unhideWhenUsed/>
    <w:rsid w:val="0061432D"/>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7352B4-D6A6-48EE-A717-476B4263A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3413</TotalTime>
  <Pages>3</Pages>
  <Words>4350</Words>
  <Characters>24799</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29091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 Joao Victor M.</dc:creator>
  <cp:keywords/>
  <dc:description/>
  <cp:lastModifiedBy>Alessi, Joao Victor M.</cp:lastModifiedBy>
  <cp:revision>68</cp:revision>
  <dcterms:created xsi:type="dcterms:W3CDTF">2022-06-29T00:00:00Z</dcterms:created>
  <dcterms:modified xsi:type="dcterms:W3CDTF">2022-11-08T20:58:00Z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vt:lpwstr>
  </property>
  <property fmtid="{D5CDD505-2E9C-101B-9397-08002B2CF9AE}" pid="4" name="Mendeley Recent Style Id 1_1">
    <vt:lpwstr>http://www.zotero.org/styles/annals-of-oncology</vt:lpwstr>
  </property>
  <property fmtid="{D5CDD505-2E9C-101B-9397-08002B2CF9AE}" pid="5" name="Mendeley Recent Style Name 1_1">
    <vt:lpwstr>Annals of Oncology</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http://www.zotero.org/styles/elsevier-vancouver-author-date</vt:lpwstr>
  </property>
  <property fmtid="{D5CDD505-2E9C-101B-9397-08002B2CF9AE}" pid="9" name="Mendeley Recent Style Name 3_1">
    <vt:lpwstr>Elsevier - Vancouver (author-date)</vt:lpwstr>
  </property>
  <property fmtid="{D5CDD505-2E9C-101B-9397-08002B2CF9AE}" pid="10" name="Mendeley Recent Style Id 4_1">
    <vt:lpwstr>http://www.zotero.org/styles/journal-for-immunotherapy-of-cancer</vt:lpwstr>
  </property>
  <property fmtid="{D5CDD505-2E9C-101B-9397-08002B2CF9AE}" pid="11" name="Mendeley Recent Style Name 4_1">
    <vt:lpwstr>Journal for ImmunoTherapy of Cancer</vt:lpwstr>
  </property>
  <property fmtid="{D5CDD505-2E9C-101B-9397-08002B2CF9AE}" pid="12" name="Mendeley Recent Style Id 5_1">
    <vt:lpwstr>http://www.zotero.org/styles/journal-of-clinical-oncology</vt:lpwstr>
  </property>
  <property fmtid="{D5CDD505-2E9C-101B-9397-08002B2CF9AE}" pid="13" name="Mendeley Recent Style Name 5_1">
    <vt:lpwstr>Journal of Clinical Oncology</vt:lpwstr>
  </property>
  <property fmtid="{D5CDD505-2E9C-101B-9397-08002B2CF9AE}" pid="14" name="Mendeley Recent Style Id 6_1">
    <vt:lpwstr>http://www.zotero.org/styles/journal-of-thoracic-oncology</vt:lpwstr>
  </property>
  <property fmtid="{D5CDD505-2E9C-101B-9397-08002B2CF9AE}" pid="15" name="Mendeley Recent Style Name 6_1">
    <vt:lpwstr>Journal of Thoracic Oncology</vt:lpwstr>
  </property>
  <property fmtid="{D5CDD505-2E9C-101B-9397-08002B2CF9AE}" pid="16" name="Mendeley Recent Style Id 7_1">
    <vt:lpwstr>http://www.zotero.org/styles/nature</vt:lpwstr>
  </property>
  <property fmtid="{D5CDD505-2E9C-101B-9397-08002B2CF9AE}" pid="17" name="Mendeley Recent Style Name 7_1">
    <vt:lpwstr>Nature</vt:lpwstr>
  </property>
  <property fmtid="{D5CDD505-2E9C-101B-9397-08002B2CF9AE}" pid="18" name="Mendeley Recent Style Id 8_1">
    <vt:lpwstr>http://www.zotero.org/styles/the-lancet</vt:lpwstr>
  </property>
  <property fmtid="{D5CDD505-2E9C-101B-9397-08002B2CF9AE}" pid="19" name="Mendeley Recent Style Name 8_1">
    <vt:lpwstr>The Lancet</vt:lpwstr>
  </property>
  <property fmtid="{D5CDD505-2E9C-101B-9397-08002B2CF9AE}" pid="20" name="Mendeley Recent Style Id 9_1">
    <vt:lpwstr>http://www.zotero.org/styles/vancouver</vt:lpwstr>
  </property>
  <property fmtid="{D5CDD505-2E9C-101B-9397-08002B2CF9AE}" pid="21" name="Mendeley Recent Style Name 9_1">
    <vt:lpwstr>Vancouver</vt:lpwstr>
  </property>
  <property fmtid="{D5CDD505-2E9C-101B-9397-08002B2CF9AE}" pid="22" name="Mendeley Document_1">
    <vt:lpwstr>True</vt:lpwstr>
  </property>
  <property fmtid="{D5CDD505-2E9C-101B-9397-08002B2CF9AE}" pid="23" name="Mendeley Unique User Id_1">
    <vt:lpwstr>0af14710-c8aa-3274-80d7-7d4a3409ae46</vt:lpwstr>
  </property>
  <property fmtid="{D5CDD505-2E9C-101B-9397-08002B2CF9AE}" pid="24" name="Mendeley Citation Style_1">
    <vt:lpwstr>http://www.zotero.org/styles/nature</vt:lpwstr>
  </property>
</Properties>
</file>