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32D871" w14:textId="7DB270E4" w:rsidR="00B807E2" w:rsidRDefault="00B807E2" w:rsidP="00662455">
      <w:pPr>
        <w:pStyle w:val="Heading1"/>
        <w:numPr>
          <w:ilvl w:val="0"/>
          <w:numId w:val="0"/>
        </w:numPr>
      </w:pPr>
      <w:r>
        <w:t xml:space="preserve">Supplementary Information For: </w:t>
      </w:r>
      <w:r w:rsidR="00662455" w:rsidRPr="00662455">
        <w:t>Where do they come from, where do they go? Emissions and fate of OPEs in global megacities</w:t>
      </w:r>
    </w:p>
    <w:p w14:paraId="77F263F2" w14:textId="4C0EED0C" w:rsidR="00662455" w:rsidRPr="00E41EDC" w:rsidRDefault="00662455" w:rsidP="00662455">
      <w:pPr>
        <w:rPr>
          <w:vertAlign w:val="superscript"/>
        </w:rPr>
      </w:pPr>
      <w:r>
        <w:t>Timothy F. M. Rodgers</w:t>
      </w:r>
      <w:r>
        <w:rPr>
          <w:vertAlign w:val="superscript"/>
        </w:rPr>
        <w:t>1</w:t>
      </w:r>
      <w:r>
        <w:t>, Amanda Giang</w:t>
      </w:r>
      <w:r>
        <w:rPr>
          <w:vertAlign w:val="superscript"/>
        </w:rPr>
        <w:t>1</w:t>
      </w:r>
      <w:r w:rsidR="00D32028">
        <w:rPr>
          <w:vertAlign w:val="superscript"/>
        </w:rPr>
        <w:t>*</w:t>
      </w:r>
      <w:r>
        <w:t>, Miriam L. Diamond</w:t>
      </w:r>
      <w:r>
        <w:rPr>
          <w:vertAlign w:val="superscript"/>
        </w:rPr>
        <w:t>2,3</w:t>
      </w:r>
      <w:r>
        <w:t>, Emma Gillies</w:t>
      </w:r>
      <w:r>
        <w:rPr>
          <w:vertAlign w:val="superscript"/>
        </w:rPr>
        <w:t>1</w:t>
      </w:r>
      <w:r>
        <w:t>, Amandeep Saini</w:t>
      </w:r>
      <w:r>
        <w:rPr>
          <w:vertAlign w:val="superscript"/>
        </w:rPr>
        <w:t>4*</w:t>
      </w:r>
    </w:p>
    <w:p w14:paraId="28F12FCE" w14:textId="77777777" w:rsidR="00662455" w:rsidRPr="00A606A9" w:rsidRDefault="00662455" w:rsidP="00662455">
      <w:pPr>
        <w:spacing w:after="0"/>
        <w:rPr>
          <w:rFonts w:cstheme="minorHAnsi"/>
        </w:rPr>
      </w:pPr>
      <w:r w:rsidRPr="009D5E9C">
        <w:rPr>
          <w:rFonts w:cstheme="minorHAnsi"/>
          <w:vertAlign w:val="superscript"/>
        </w:rPr>
        <w:t>1</w:t>
      </w:r>
      <w:r w:rsidRPr="009D5E9C">
        <w:rPr>
          <w:rFonts w:cstheme="minorHAnsi"/>
        </w:rPr>
        <w:t xml:space="preserve">Institute for Resources, Environment and Sustainability, University of British Columbia, Vancouver Canada </w:t>
      </w:r>
      <w:r w:rsidRPr="009D5E9C">
        <w:rPr>
          <w:rStyle w:val="lrzxr"/>
          <w:rFonts w:cstheme="minorHAnsi"/>
        </w:rPr>
        <w:t>V6T 1Z4</w:t>
      </w:r>
    </w:p>
    <w:p w14:paraId="47C3B319" w14:textId="77777777" w:rsidR="00662455" w:rsidRPr="00FB1E98" w:rsidRDefault="00662455" w:rsidP="00662455">
      <w:pPr>
        <w:spacing w:after="0" w:line="240" w:lineRule="auto"/>
        <w:jc w:val="both"/>
      </w:pPr>
      <w:r>
        <w:rPr>
          <w:vertAlign w:val="superscript"/>
        </w:rPr>
        <w:t>2</w:t>
      </w:r>
      <w:r w:rsidRPr="00FB1E98">
        <w:t>Department of Earth Sciences, University of Toronto, Toronto, Canada M5S 3B1</w:t>
      </w:r>
    </w:p>
    <w:p w14:paraId="39BAA7F0" w14:textId="77777777" w:rsidR="00662455" w:rsidRDefault="00662455" w:rsidP="00662455">
      <w:pPr>
        <w:spacing w:after="0" w:line="240" w:lineRule="auto"/>
        <w:jc w:val="both"/>
      </w:pPr>
      <w:r>
        <w:rPr>
          <w:vertAlign w:val="superscript"/>
        </w:rPr>
        <w:t>3</w:t>
      </w:r>
      <w:r w:rsidRPr="00D20E36">
        <w:t>School of the Environment, Univers</w:t>
      </w:r>
      <w:r>
        <w:t>ity of Toronto, Toronto, Canada</w:t>
      </w:r>
      <w:r w:rsidRPr="00D20E36">
        <w:t xml:space="preserve"> M5S 3B1</w:t>
      </w:r>
    </w:p>
    <w:p w14:paraId="48C98491" w14:textId="77777777" w:rsidR="00662455" w:rsidRPr="003A19B0" w:rsidRDefault="00662455" w:rsidP="00662455">
      <w:r w:rsidRPr="003A19B0">
        <w:rPr>
          <w:vertAlign w:val="superscript"/>
        </w:rPr>
        <w:t>4</w:t>
      </w:r>
      <w:r w:rsidRPr="003A19B0">
        <w:t>Air Quality Processes Research Section, Environment and Climate Change Canada, Toronto, Canada</w:t>
      </w:r>
      <w:r>
        <w:t xml:space="preserve"> M3H5T4</w:t>
      </w:r>
    </w:p>
    <w:p w14:paraId="1EA62A1D" w14:textId="629F573A" w:rsidR="004E4C5D" w:rsidRDefault="00B807E2" w:rsidP="00196C14">
      <w:pPr>
        <w:pStyle w:val="Heading1"/>
      </w:pPr>
      <w:r w:rsidRPr="00196C14">
        <w:t>Model</w:t>
      </w:r>
      <w:r>
        <w:t xml:space="preserve"> Evaluation</w:t>
      </w:r>
    </w:p>
    <w:p w14:paraId="6BAFCD9A" w14:textId="5AD6A853" w:rsidR="00294E53" w:rsidRDefault="00294E53" w:rsidP="00FC7AB9">
      <w:r>
        <w:t xml:space="preserve">The </w:t>
      </w:r>
      <w:r w:rsidR="00070EA4">
        <w:t xml:space="preserve">surface </w:t>
      </w:r>
      <w:r>
        <w:t>water concentration predicted by the model</w:t>
      </w:r>
      <w:r w:rsidR="00070EA4">
        <w:t>, representing rivers in the modeled cities,</w:t>
      </w:r>
      <w:r>
        <w:t xml:space="preserve"> was within the range of </w:t>
      </w:r>
      <w:r w:rsidR="00473C22">
        <w:t xml:space="preserve">measured </w:t>
      </w:r>
      <w:r>
        <w:t xml:space="preserve">values </w:t>
      </w:r>
      <w:r w:rsidR="00473C22">
        <w:t xml:space="preserve">reported in the literature, </w:t>
      </w:r>
      <w:r>
        <w:t xml:space="preserve">for 86% of predictions, and within a factor of 100 for 78% of predictions. </w:t>
      </w:r>
      <w:r w:rsidR="00473C22">
        <w:t>Some of th</w:t>
      </w:r>
      <w:r w:rsidR="00D77858">
        <w:t>is</w:t>
      </w:r>
      <w:r w:rsidR="00473C22">
        <w:t xml:space="preserve"> model underestimat</w:t>
      </w:r>
      <w:r w:rsidR="00D77858">
        <w:t>ion</w:t>
      </w:r>
      <w:r w:rsidR="00473C22">
        <w:t xml:space="preserve"> of </w:t>
      </w:r>
      <w:r w:rsidR="00D77858">
        <w:t>water concentrations</w:t>
      </w:r>
      <w:r w:rsidR="00473C22">
        <w:t xml:space="preserve"> could be due to neglecting </w:t>
      </w:r>
      <w:r>
        <w:t>direct water emissions.</w:t>
      </w:r>
      <w:r>
        <w:fldChar w:fldCharType="begin"/>
      </w:r>
      <w:r w:rsidR="00135428">
        <w:instrText xml:space="preserve"> ADDIN ZOTERO_ITEM CSL_CITATION {"citationID":"VlH0qGYr","properties":{"formattedCitation":"\\super 1\\nosupersub{}","plainCitation":"1","noteIndex":0},"citationItems":[{"id":2947,"uris":["http://zotero.org/users/8676880/items/N2R75XBE"],"itemData":{"id":2947,"type":"article-journal","abstract":"Organophosphate esters (OPEs), used as flame retardants and plasticizers, occur at relatively high concentrations in urban air and surface waters. We tested the hypothesis that some OPEs could be considered persistent and mobile organic compounds (PMOCs), using the poly parameter linear free energy relationship-modified Multimedia Urban Model (ppLFER-MUM) in Toronto, Canada, as a case study. Modeled air emissions of σ 6 OPEs of 3300 (190-190000) kg yr -1 were 10-100 times higher than emissions of polychlorinated biphenyls (σ 5 PCBs) and polybrominated diphenyl ethers (σ 5 PBDEs). Model results suggested that measured σ 6 OPE stream concentrations of </w:instrText>
      </w:r>
      <w:r w:rsidR="00135428">
        <w:rPr>
          <w:rFonts w:ascii="Cambria Math" w:hAnsi="Cambria Math" w:cs="Cambria Math"/>
        </w:rPr>
        <w:instrText>∼</w:instrText>
      </w:r>
      <w:r w:rsidR="00135428">
        <w:instrText xml:space="preserve">2000 ng L -1 originate from emissions to urban air transferred to water mostly via precipitation. Water transport removed 7-28% of total air inputs compared to 0.1-10% for PCBs and 2-10% for PBDEs. Chlorinated OPEs were efficiently transported via surface water due to their persistence and high solubility. Loadings of σ 6 OPEs to Lake Ontario from wastewater treatment plants, streams, and atmospheric deposition were 70%, 18%, and 13%, respectively, of σ 6 OPE loadings of 3100 (1200-45000) kg yr -1 . Our results support the hypothesis that three chlorinated OPEs, tris(2-chloroethyl)phosphate phosphate (TCEP), tris(chloroisopropyl)phosphate (TCiPP), and tris(1,3-dichloroisopropyl)phosphate (TDCiPP), fit the profile of PMOCs due to their mobility and persistence in surface waters. © 2018 American Chemical Society.","container-title":"Environ. Sci. Technol.","DOI":"10.1021/acs.est.8b02576","issue":"21","journalAbbreviation":"Environ. Sci. Technol.","note":"publisher: American Chemical Society","page":"12465-12474","title":"Organophosphate Ester Transport, Fate, and Emissions in Toronto, Canada, Estimated Using an Updated Multimedia Urban Model","volume":"52","author":[{"family":"Rodgers","given":"T.F.M."},{"family":"Truong","given":"J.W."},{"family":"Jantunen","given":"L.M."},{"family":"Helm","given":"P.A."},{"family":"Diamond","given":"M.L."}],"issued":{"date-parts":[["2018"]]}}}],"schema":"https://github.com/citation-style-language/schema/raw/master/csl-citation.json"} </w:instrText>
      </w:r>
      <w:r>
        <w:fldChar w:fldCharType="separate"/>
      </w:r>
      <w:r w:rsidR="00135428" w:rsidRPr="00135428">
        <w:rPr>
          <w:rFonts w:ascii="Calibri" w:hAnsi="Calibri" w:cs="Calibri"/>
          <w:szCs w:val="24"/>
          <w:vertAlign w:val="superscript"/>
        </w:rPr>
        <w:t>1</w:t>
      </w:r>
      <w:r>
        <w:fldChar w:fldCharType="end"/>
      </w:r>
      <w:r>
        <w:t xml:space="preserve"> In the soil, 68% of predictions were within the range of measured values, and 79% within a factor of 100. The model also appeared to under-predict measured soil concentration, although this may be because many of the soil measurements were taken from areas where higher concentrations would be expected such as on roadsides</w:t>
      </w:r>
      <w:r>
        <w:fldChar w:fldCharType="begin"/>
      </w:r>
      <w:r w:rsidR="00135428">
        <w:instrText xml:space="preserve"> ADDIN ZOTERO_ITEM CSL_CITATION {"citationID":"WDsEYRlu","properties":{"formattedCitation":"\\super 2,3\\nosupersub{}","plainCitation":"2,3","noteIndex":0},"citationItems":[{"id":3876,"uris":["http://zotero.org/users/8676880/items/2QTT2NQL"],"itemData":{"id":3876,"type":"article-journal","abstract":"The occurrence and concentrations of a wide range of organic phosphates (OPEs) in vehicle's exhaust (VPM), ambient air particulate matter (APM), and soil of various urban environments were researched. VPM comes from passenger cars, commercial vehicles, marine and bus engines emitted in New European Driving Cycle tests whereas APM was sampled in several sites of the Upper Silesia region (Poland). APM and VPM collected on filters and soil from the same locations as APM sampling sites were extracted with dichloromethane and extracts analyzed by gas chromatography-mass spectrometry. The OPEs found include aryl phosphates such as triphenyl phosphate (TPhP) and tricresyl phosphate (TCP), alkyl phosphates - triethyl phosphate (TEP), tripropyl phosphate (TPP), tributyl phosphate (TBP) and tri(butoxyethyl)phosphate (TBEP), and alkylchlorinated phosphates including tris-(2-chloroisopropyl) phosphate (TCiPP) and tris(2-chloroethyl) phosphate (TCEP). Occurrence and concentrations of these compounds in the PM investigated are highly variable. It was found that total concentrations in APM are directly related to traffic density in particular sites of the urban environment and a style of a vehicle driving. The highest emission of OPEs was found at a crossroad and city center sites where traffic is the densest and vehicles stops and starts are frequent. Village and residential areas were less exposed to OPEs emission. Since OPEs concentrations show exponential correlations to each other also human exposure to these compounds increases exponentially with increasing traffic density. High TEP and TBP level is tentatively proposed as an indicator of emission from petrol-fueled cars. Concentrations of OPEs in some soil are related to their emission to the air and resistance to degradation of a particular compound since only the most resistant TCiPP and TPhP were identified in soil extracts. Occurrence, distribution, and concentrations of organic phosphates in the ambient air of the different sites of the urban environment are related to emission from traffic sources. © 2018 Elsevier Ltd","container-title":"Environ. Pollut.","DOI":"10.1016/j.envpol.2018.10.060","journalAbbreviation":"Environ. Pollut.","note":"publisher: Elsevier Ltd","page":"351-360","title":"Occurrence of organic phosphates in particulate matter of the vehicle exhausts and outdoor environment – A case study","volume":"244","author":[{"family":"Fabiańska","given":"M.J."},{"family":"Kozielska","given":"B."},{"family":"Konieczyński","given":"J."},{"family":"Bielaczyc","given":"P."}],"issued":{"date-parts":[["2019"]]}}},{"id":3479,"uris":["http://zotero.org/users/8676880/items/6SL68GBF"],"itemData":{"id":3479,"type":"article-journal","abstract":"As a major group of plasticizers and flame-retardants, organophosphate esters (OPEs) have attracted particular attention due to their wide occurrence and potential impacts on human health and ecosystems. In the present study, the occurrence and distribution of 14 OPEs, including seven Alkyl-OPEs, three Cl-OPEs, and four Aryl-OPEs, were investigated in 65 road dust samples collected from November to December 2014 in Beijing, China. Cl-OPEs were the predominant compounds in the road dust samples, with the median concentration of 646 μg/kg, followed by the Alkyl-OPEs (median 135 μg/kg) and Aryl-OPEs (median 129 μg/kg). Tris(2-chloro-1-methylethyl) phosphate (TCPP) was the most abundant OPE with the median concentration of 384 μg/kg. In addition, OPEs levels showed significant difference (p &lt; 0.05) in the spatial distribution. Markedly higher levels of OPEs were observed in 2nd and 3rd ring road with heavy traffic and high population density, indicating that the traffic and population were important factors for this distribution pattern. It was further supported by the analysis of OPEs in roadside soil and indoor dust in the vicinity of road dust sample sites. Finally, the average daily dose (ADD) for OPEs via inhalation, dermal absorption, and ingestion was calculated to evaluate the carcinogenic and non-carcinogenic risks to residents exposed to OPEs in the road dust. Risk assessment revealed that the risk originating from exposure to OPEs of road dust is currently low in Beijing, China. © 2018 Elsevier Ltd","container-title":"Environ. Pollut.","DOI":"10.1016/j.envpol.2018.05.092","journalAbbreviation":"Environ. Pollut.","note":"publisher: Elsevier Ltd","page":"566-575","title":"Occurrence, distribution and risk of organophosphate esters in urban road dust in Beijing, China","volume":"241","author":[{"family":"Li","given":"W."},{"family":"Shi","given":"Y."},{"family":"Gao","given":"L."},{"family":"Wu","given":"C."},{"family":"Liu","given":"J."},{"family":"Cai","given":"Y."}],"issued":{"date-parts":[["2018"]]}}}],"schema":"https://github.com/citation-style-language/schema/raw/master/csl-citation.json"} </w:instrText>
      </w:r>
      <w:r>
        <w:fldChar w:fldCharType="separate"/>
      </w:r>
      <w:r w:rsidR="00135428" w:rsidRPr="00135428">
        <w:rPr>
          <w:rFonts w:ascii="Calibri" w:hAnsi="Calibri" w:cs="Calibri"/>
          <w:szCs w:val="24"/>
          <w:vertAlign w:val="superscript"/>
        </w:rPr>
        <w:t>2,3</w:t>
      </w:r>
      <w:r>
        <w:fldChar w:fldCharType="end"/>
      </w:r>
      <w:r>
        <w:t xml:space="preserve"> or near e-waste recycling facilities</w:t>
      </w:r>
      <w:r>
        <w:fldChar w:fldCharType="begin"/>
      </w:r>
      <w:r w:rsidR="00135428">
        <w:instrText xml:space="preserve"> ADDIN ZOTERO_ITEM CSL_CITATION {"citationID":"0TIAqGHo","properties":{"formattedCitation":"\\super 4\\nosupersub{}","plainCitation":"4","noteIndex":0},"citationItems":[{"id":8501,"uris":["http://zotero.org/groups/4495317/items/EWHS3EH4"],"itemData":{"id":8501,"type":"article-journal","abstract":"Distribution of 12 organophosphate flame retardants (OPFRs) was determined in soil and outdoor settled dust samples collected from a multi-waste (electronic, plastic, and rubber wastes and abandoned household-appliances and vehicles) recycling area, that encompassed different modes of operation i.e. open (ORS) and semi-closed recycling (SCRS). Among the twelve OPFRs analyzed, eleven were detected at a frequency of 75%–100% in all soil and dust samples. In soil samples, ΣOPFR concentrations were significantly higher at ORS (122–2100 ng/g) than at SCRS (58.5–316 ng/g) and nearby farmlands (37.7–156 ng/g). The ΣOPFR concentrations in dust samples were higher than those in soil samples with spatial distribution similar to that observed for soil, decreasing from ORS (1390–42,700 ng/g) to SCRS (914–7940 ng/g). Tris(2-chloroisopropyl) phosphate (TCIPP) was the major OPFRs in both soil (&amp;lt; MDL–1370 ng/g) and dust (39.9–16,300 ng/g) samples. Chlorinated OPFRs [TCIPP, tris(1,3-dichloroisopropyl) phosphate (TDCIPP) and tris(2-chloroethyl) phosphate (TCEP)] and aryl-OPFRs [triphenyl phosphate (TPHP), tris(methylphenyl) phosphate (TMPP)] exhibited spatial difference between ORS and SCRS. Principle component analysis (PCA) of OPFR concentrations revealed that TCIPP, TDCIPP, TPHP, TMPP originated from similar sources. TMPP was assessed to pose eco-toxicological risk (risk quotient values: RQs) in the soil ecosystem. The median estimated daily intake (EDI) of OPFRs via soil and outdoor settled dust ingestion (based on average ingestion rate) was 3.14 × 10− 1 ng/kg bw/day for adults at ORS. Our results suggest that waste recycling is an important source of chlorinated- and aryl-OPFRs in the environment. © 2018 Elsevier B.V.","container-title":"Sci. Total Environ.","DOI":"10.1016/j.scitotenv.2018.01.013","journalAbbreviation":"Sci. Total Environ.","note":"publisher: Elsevier B.V.","page":"1056-1064","title":"Occurrence and distribution of organophosphate flame retardants (OPFRs) in soil and outdoor settled dust from a multi-waste recycling area in China","volume":"625","author":[{"family":"Wang","given":"Y."},{"family":"Sun","given":"H."},{"family":"Zhu","given":"H."},{"family":"Yao","given":"Y."},{"family":"Chen","given":"H."},{"family":"Ren","given":"C."},{"family":"Wu","given":"F."},{"family":"Kannan","given":"K."}],"issued":{"date-parts":[["2018"]]}}}],"schema":"https://github.com/citation-style-language/schema/raw/master/csl-citation.json"} </w:instrText>
      </w:r>
      <w:r>
        <w:fldChar w:fldCharType="separate"/>
      </w:r>
      <w:r w:rsidR="00135428" w:rsidRPr="00135428">
        <w:rPr>
          <w:rFonts w:ascii="Calibri" w:hAnsi="Calibri" w:cs="Calibri"/>
          <w:szCs w:val="24"/>
          <w:vertAlign w:val="superscript"/>
        </w:rPr>
        <w:t>4</w:t>
      </w:r>
      <w:r>
        <w:fldChar w:fldCharType="end"/>
      </w:r>
      <w:r>
        <w:t xml:space="preserve"> </w:t>
      </w:r>
      <w:r w:rsidR="00473C22">
        <w:t xml:space="preserve">compared with the model considering “average” conditions. </w:t>
      </w:r>
    </w:p>
    <w:p w14:paraId="48BFBD4F" w14:textId="2F708653" w:rsidR="00F50A91" w:rsidRPr="00D858FB" w:rsidRDefault="00F50A91" w:rsidP="00FC7AB9">
      <w:r>
        <w:t>Emissions fluxes for each city calculated with the different system boundaries were within a factor of 0.51-1.98 (</w:t>
      </w:r>
      <w:r>
        <w:fldChar w:fldCharType="begin"/>
      </w:r>
      <w:r>
        <w:instrText xml:space="preserve"> REF _Ref104371904 \h </w:instrText>
      </w:r>
      <w:r>
        <w:fldChar w:fldCharType="separate"/>
      </w:r>
      <w:r w:rsidR="004E4C5D">
        <w:t>Table S</w:t>
      </w:r>
      <w:r w:rsidR="004E4C5D">
        <w:rPr>
          <w:noProof/>
        </w:rPr>
        <w:t>1</w:t>
      </w:r>
      <w:r>
        <w:fldChar w:fldCharType="end"/>
      </w:r>
      <w:r>
        <w:t>). This is well within the expected ~order of magnitude uncertainty of the model,</w:t>
      </w:r>
      <w:r>
        <w:fldChar w:fldCharType="begin"/>
      </w:r>
      <w:r w:rsidR="00135428">
        <w:instrText xml:space="preserve"> ADDIN ZOTERO_ITEM CSL_CITATION {"citationID":"QpdPqP3P","properties":{"formattedCitation":"\\super 1\\nosupersub{}","plainCitation":"1","noteIndex":0},"citationItems":[{"id":2947,"uris":["http://zotero.org/users/8676880/items/N2R75XBE"],"itemData":{"id":2947,"type":"article-journal","abstract":"Organophosphate esters (OPEs), used as flame retardants and plasticizers, occur at relatively high concentrations in urban air and surface waters. We tested the hypothesis that some OPEs could be considered persistent and mobile organic compounds (PMOCs), using the poly parameter linear free energy relationship-modified Multimedia Urban Model (ppLFER-MUM) in Toronto, Canada, as a case study. Modeled air emissions of σ 6 OPEs of 3300 (190-190000) kg yr -1 were 10-100 times higher than emissions of polychlorinated biphenyls (σ 5 PCBs) and polybrominated diphenyl ethers (σ 5 PBDEs). Model results suggested that measured σ 6 OPE stream concentrations of </w:instrText>
      </w:r>
      <w:r w:rsidR="00135428">
        <w:rPr>
          <w:rFonts w:ascii="Cambria Math" w:hAnsi="Cambria Math" w:cs="Cambria Math"/>
        </w:rPr>
        <w:instrText>∼</w:instrText>
      </w:r>
      <w:r w:rsidR="00135428">
        <w:instrText xml:space="preserve">2000 ng L -1 originate from emissions to urban air transferred to water mostly via precipitation. Water transport removed 7-28% of total air inputs compared to 0.1-10% for PCBs and 2-10% for PBDEs. Chlorinated OPEs were efficiently transported via surface water due to their persistence and high solubility. Loadings of σ 6 OPEs to Lake Ontario from wastewater treatment plants, streams, and atmospheric deposition were 70%, 18%, and 13%, respectively, of σ 6 OPE loadings of 3100 (1200-45000) kg yr -1 . Our results support the hypothesis that three chlorinated OPEs, tris(2-chloroethyl)phosphate phosphate (TCEP), tris(chloroisopropyl)phosphate (TCiPP), and tris(1,3-dichloroisopropyl)phosphate (TDCiPP), fit the profile of PMOCs due to their mobility and persistence in surface waters. © 2018 American Chemical Society.","container-title":"Environ. Sci. Technol.","DOI":"10.1021/acs.est.8b02576","issue":"21","journalAbbreviation":"Environ. Sci. Technol.","note":"publisher: American Chemical Society","page":"12465-12474","title":"Organophosphate Ester Transport, Fate, and Emissions in Toronto, Canada, Estimated Using an Updated Multimedia Urban Model","volume":"52","author":[{"family":"Rodgers","given":"T.F.M."},{"family":"Truong","given":"J.W."},{"family":"Jantunen","given":"L.M."},{"family":"Helm","given":"P.A."},{"family":"Diamond","given":"M.L."}],"issued":{"date-parts":[["2018"]]}}}],"schema":"https://github.com/citation-style-language/schema/raw/master/csl-citation.json"} </w:instrText>
      </w:r>
      <w:r>
        <w:fldChar w:fldCharType="separate"/>
      </w:r>
      <w:r w:rsidR="00135428" w:rsidRPr="00135428">
        <w:rPr>
          <w:rFonts w:ascii="Calibri" w:hAnsi="Calibri" w:cs="Calibri"/>
          <w:szCs w:val="24"/>
          <w:vertAlign w:val="superscript"/>
        </w:rPr>
        <w:t>1</w:t>
      </w:r>
      <w:r>
        <w:fldChar w:fldCharType="end"/>
      </w:r>
      <w:r>
        <w:t xml:space="preserve"> indicating that fate processes were similar across a city’s area, regardless of how the boundary was defined. The largest fluxes were estimated for the smallest (5km radius) boundary and the smallest for the larger 15 km buffer. The administrative areas, which tended to be larger than either, generally fell between the two buffer areas. </w:t>
      </w:r>
      <w:r>
        <w:rPr>
          <w:rFonts w:cstheme="minorHAnsi"/>
        </w:rPr>
        <w:t>Across all cities the average ∑</w:t>
      </w:r>
      <w:r w:rsidRPr="00DD1686">
        <w:rPr>
          <w:vertAlign w:val="subscript"/>
        </w:rPr>
        <w:t>10</w:t>
      </w:r>
      <w:r>
        <w:t>OPEs varied by an average of &lt;10% between boundaries, driven by</w:t>
      </w:r>
      <w:r w:rsidRPr="00DD1686">
        <w:t xml:space="preserve"> </w:t>
      </w:r>
      <w:r>
        <w:t xml:space="preserve">the low sensitivity of TCEP and TCPP, which had the largest emissions. </w:t>
      </w:r>
    </w:p>
    <w:p w14:paraId="7ECE527E" w14:textId="3B5FC812" w:rsidR="00F50A91" w:rsidRDefault="00F50A91" w:rsidP="00F50A91">
      <w:pPr>
        <w:pStyle w:val="Caption"/>
        <w:keepNext/>
      </w:pPr>
      <w:bookmarkStart w:id="0" w:name="_Ref104371904"/>
      <w:r>
        <w:t xml:space="preserve">Table </w:t>
      </w:r>
      <w:r w:rsidR="00FC7AB9">
        <w:t>S</w:t>
      </w:r>
      <w:r w:rsidR="00E90D29">
        <w:fldChar w:fldCharType="begin"/>
      </w:r>
      <w:r w:rsidR="00E90D29">
        <w:instrText xml:space="preserve"> SEQ Table \* ARABIC </w:instrText>
      </w:r>
      <w:r w:rsidR="00E90D29">
        <w:fldChar w:fldCharType="separate"/>
      </w:r>
      <w:r w:rsidR="004E4C5D">
        <w:rPr>
          <w:noProof/>
        </w:rPr>
        <w:t>1</w:t>
      </w:r>
      <w:r w:rsidR="00E90D29">
        <w:rPr>
          <w:noProof/>
        </w:rPr>
        <w:fldChar w:fldCharType="end"/>
      </w:r>
      <w:bookmarkEnd w:id="0"/>
      <w:r>
        <w:t>: Summary statistics showing the sensitivity of modeled emissions fluxes to the choice of model boundary definition.</w:t>
      </w:r>
    </w:p>
    <w:tbl>
      <w:tblPr>
        <w:tblW w:w="5120" w:type="dxa"/>
        <w:jc w:val="center"/>
        <w:tblLook w:val="04A0" w:firstRow="1" w:lastRow="0" w:firstColumn="1" w:lastColumn="0" w:noHBand="0" w:noVBand="1"/>
      </w:tblPr>
      <w:tblGrid>
        <w:gridCol w:w="1280"/>
        <w:gridCol w:w="960"/>
        <w:gridCol w:w="960"/>
        <w:gridCol w:w="960"/>
        <w:gridCol w:w="960"/>
      </w:tblGrid>
      <w:tr w:rsidR="00F50A91" w:rsidRPr="00A13F64" w14:paraId="01CD5835" w14:textId="77777777" w:rsidTr="004E4C5D">
        <w:trPr>
          <w:trHeight w:val="300"/>
          <w:jc w:val="center"/>
        </w:trPr>
        <w:tc>
          <w:tcPr>
            <w:tcW w:w="1280" w:type="dxa"/>
            <w:tcBorders>
              <w:top w:val="nil"/>
              <w:left w:val="nil"/>
              <w:bottom w:val="single" w:sz="4" w:space="0" w:color="auto"/>
              <w:right w:val="nil"/>
            </w:tcBorders>
            <w:shd w:val="clear" w:color="auto" w:fill="auto"/>
            <w:noWrap/>
            <w:vAlign w:val="bottom"/>
            <w:hideMark/>
          </w:tcPr>
          <w:p w14:paraId="4C3FA0F6" w14:textId="77777777" w:rsidR="00F50A91" w:rsidRPr="00A13F64" w:rsidRDefault="00F50A91" w:rsidP="004E4C5D">
            <w:pPr>
              <w:spacing w:after="0" w:line="240" w:lineRule="auto"/>
              <w:rPr>
                <w:rFonts w:ascii="Calibri" w:eastAsia="Times New Roman" w:hAnsi="Calibri" w:cs="Calibri"/>
                <w:color w:val="000000"/>
              </w:rPr>
            </w:pPr>
            <w:r w:rsidRPr="00A13F64">
              <w:rPr>
                <w:rFonts w:ascii="Calibri" w:eastAsia="Times New Roman" w:hAnsi="Calibri" w:cs="Calibri"/>
                <w:color w:val="000000"/>
              </w:rPr>
              <w:t>Boundaries</w:t>
            </w:r>
          </w:p>
        </w:tc>
        <w:tc>
          <w:tcPr>
            <w:tcW w:w="960" w:type="dxa"/>
            <w:tcBorders>
              <w:top w:val="nil"/>
              <w:left w:val="single" w:sz="4" w:space="0" w:color="auto"/>
              <w:bottom w:val="single" w:sz="4" w:space="0" w:color="auto"/>
              <w:right w:val="nil"/>
            </w:tcBorders>
            <w:shd w:val="clear" w:color="auto" w:fill="auto"/>
            <w:noWrap/>
            <w:vAlign w:val="bottom"/>
            <w:hideMark/>
          </w:tcPr>
          <w:p w14:paraId="400EDA81" w14:textId="77777777" w:rsidR="00F50A91" w:rsidRPr="00A13F64" w:rsidRDefault="00F50A91" w:rsidP="004E4C5D">
            <w:pPr>
              <w:spacing w:after="0" w:line="240" w:lineRule="auto"/>
              <w:rPr>
                <w:rFonts w:ascii="Calibri" w:eastAsia="Times New Roman" w:hAnsi="Calibri" w:cs="Calibri"/>
                <w:color w:val="000000"/>
              </w:rPr>
            </w:pPr>
            <w:r w:rsidRPr="00A13F64">
              <w:rPr>
                <w:rFonts w:ascii="Calibri" w:eastAsia="Times New Roman" w:hAnsi="Calibri" w:cs="Calibri"/>
                <w:color w:val="000000"/>
              </w:rPr>
              <w:t>Min</w:t>
            </w:r>
          </w:p>
        </w:tc>
        <w:tc>
          <w:tcPr>
            <w:tcW w:w="960" w:type="dxa"/>
            <w:tcBorders>
              <w:top w:val="nil"/>
              <w:left w:val="nil"/>
              <w:bottom w:val="single" w:sz="4" w:space="0" w:color="auto"/>
              <w:right w:val="nil"/>
            </w:tcBorders>
            <w:shd w:val="clear" w:color="auto" w:fill="auto"/>
            <w:noWrap/>
            <w:vAlign w:val="bottom"/>
            <w:hideMark/>
          </w:tcPr>
          <w:p w14:paraId="14E1583D" w14:textId="77777777" w:rsidR="00F50A91" w:rsidRPr="00A13F64" w:rsidRDefault="00F50A91" w:rsidP="004E4C5D">
            <w:pPr>
              <w:spacing w:after="0" w:line="240" w:lineRule="auto"/>
              <w:rPr>
                <w:rFonts w:ascii="Calibri" w:eastAsia="Times New Roman" w:hAnsi="Calibri" w:cs="Calibri"/>
                <w:color w:val="000000"/>
              </w:rPr>
            </w:pPr>
            <w:r w:rsidRPr="00A13F64">
              <w:rPr>
                <w:rFonts w:ascii="Calibri" w:eastAsia="Times New Roman" w:hAnsi="Calibri" w:cs="Calibri"/>
                <w:color w:val="000000"/>
              </w:rPr>
              <w:t>Max</w:t>
            </w:r>
          </w:p>
        </w:tc>
        <w:tc>
          <w:tcPr>
            <w:tcW w:w="960" w:type="dxa"/>
            <w:tcBorders>
              <w:top w:val="nil"/>
              <w:left w:val="nil"/>
              <w:bottom w:val="single" w:sz="4" w:space="0" w:color="auto"/>
              <w:right w:val="nil"/>
            </w:tcBorders>
            <w:shd w:val="clear" w:color="auto" w:fill="auto"/>
            <w:noWrap/>
            <w:vAlign w:val="bottom"/>
            <w:hideMark/>
          </w:tcPr>
          <w:p w14:paraId="2402D9AE" w14:textId="77777777" w:rsidR="00F50A91" w:rsidRPr="00A13F64" w:rsidRDefault="00F50A91" w:rsidP="004E4C5D">
            <w:pPr>
              <w:spacing w:after="0" w:line="240" w:lineRule="auto"/>
              <w:rPr>
                <w:rFonts w:ascii="Calibri" w:eastAsia="Times New Roman" w:hAnsi="Calibri" w:cs="Calibri"/>
                <w:color w:val="000000"/>
              </w:rPr>
            </w:pPr>
            <w:r w:rsidRPr="00A13F64">
              <w:rPr>
                <w:rFonts w:ascii="Calibri" w:eastAsia="Times New Roman" w:hAnsi="Calibri" w:cs="Calibri"/>
                <w:color w:val="000000"/>
              </w:rPr>
              <w:t>Mean</w:t>
            </w:r>
          </w:p>
        </w:tc>
        <w:tc>
          <w:tcPr>
            <w:tcW w:w="960" w:type="dxa"/>
            <w:tcBorders>
              <w:top w:val="nil"/>
              <w:left w:val="nil"/>
              <w:bottom w:val="single" w:sz="4" w:space="0" w:color="auto"/>
              <w:right w:val="nil"/>
            </w:tcBorders>
            <w:shd w:val="clear" w:color="auto" w:fill="auto"/>
            <w:noWrap/>
            <w:vAlign w:val="bottom"/>
            <w:hideMark/>
          </w:tcPr>
          <w:p w14:paraId="1C65A08F" w14:textId="77777777" w:rsidR="00F50A91" w:rsidRPr="00A13F64" w:rsidRDefault="00F50A91" w:rsidP="004E4C5D">
            <w:pPr>
              <w:spacing w:after="0" w:line="240" w:lineRule="auto"/>
              <w:rPr>
                <w:rFonts w:ascii="Calibri" w:eastAsia="Times New Roman" w:hAnsi="Calibri" w:cs="Calibri"/>
                <w:color w:val="000000"/>
              </w:rPr>
            </w:pPr>
            <w:r w:rsidRPr="00A13F64">
              <w:rPr>
                <w:rFonts w:ascii="Calibri" w:eastAsia="Times New Roman" w:hAnsi="Calibri" w:cs="Calibri"/>
                <w:color w:val="000000"/>
              </w:rPr>
              <w:t>Median</w:t>
            </w:r>
          </w:p>
        </w:tc>
      </w:tr>
      <w:tr w:rsidR="00F50A91" w:rsidRPr="00A13F64" w14:paraId="14D05919" w14:textId="77777777" w:rsidTr="004E4C5D">
        <w:trPr>
          <w:trHeight w:val="300"/>
          <w:jc w:val="center"/>
        </w:trPr>
        <w:tc>
          <w:tcPr>
            <w:tcW w:w="1280" w:type="dxa"/>
            <w:tcBorders>
              <w:top w:val="nil"/>
              <w:left w:val="nil"/>
              <w:bottom w:val="nil"/>
              <w:right w:val="nil"/>
            </w:tcBorders>
            <w:shd w:val="clear" w:color="auto" w:fill="auto"/>
            <w:noWrap/>
            <w:vAlign w:val="bottom"/>
            <w:hideMark/>
          </w:tcPr>
          <w:p w14:paraId="3DBD9CF4" w14:textId="77777777" w:rsidR="00F50A91" w:rsidRPr="00A13F64" w:rsidRDefault="00F50A91" w:rsidP="004E4C5D">
            <w:pPr>
              <w:spacing w:after="0" w:line="240" w:lineRule="auto"/>
              <w:rPr>
                <w:rFonts w:ascii="Calibri" w:eastAsia="Times New Roman" w:hAnsi="Calibri" w:cs="Calibri"/>
                <w:color w:val="000000"/>
              </w:rPr>
            </w:pPr>
            <w:r w:rsidRPr="00A13F64">
              <w:rPr>
                <w:rFonts w:ascii="Calibri" w:eastAsia="Times New Roman" w:hAnsi="Calibri" w:cs="Calibri"/>
                <w:color w:val="000000"/>
              </w:rPr>
              <w:t>5k/admin</w:t>
            </w:r>
          </w:p>
        </w:tc>
        <w:tc>
          <w:tcPr>
            <w:tcW w:w="960" w:type="dxa"/>
            <w:tcBorders>
              <w:top w:val="nil"/>
              <w:left w:val="single" w:sz="4" w:space="0" w:color="auto"/>
              <w:bottom w:val="nil"/>
              <w:right w:val="nil"/>
            </w:tcBorders>
            <w:shd w:val="clear" w:color="auto" w:fill="auto"/>
            <w:noWrap/>
            <w:vAlign w:val="bottom"/>
            <w:hideMark/>
          </w:tcPr>
          <w:p w14:paraId="2E3B2339"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0.64</w:t>
            </w:r>
          </w:p>
        </w:tc>
        <w:tc>
          <w:tcPr>
            <w:tcW w:w="960" w:type="dxa"/>
            <w:tcBorders>
              <w:top w:val="nil"/>
              <w:left w:val="nil"/>
              <w:bottom w:val="nil"/>
              <w:right w:val="nil"/>
            </w:tcBorders>
            <w:shd w:val="clear" w:color="auto" w:fill="auto"/>
            <w:noWrap/>
            <w:vAlign w:val="bottom"/>
            <w:hideMark/>
          </w:tcPr>
          <w:p w14:paraId="2DC2FF60"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1.98</w:t>
            </w:r>
          </w:p>
        </w:tc>
        <w:tc>
          <w:tcPr>
            <w:tcW w:w="960" w:type="dxa"/>
            <w:tcBorders>
              <w:top w:val="nil"/>
              <w:left w:val="nil"/>
              <w:bottom w:val="nil"/>
              <w:right w:val="nil"/>
            </w:tcBorders>
            <w:shd w:val="clear" w:color="auto" w:fill="auto"/>
            <w:noWrap/>
            <w:vAlign w:val="bottom"/>
            <w:hideMark/>
          </w:tcPr>
          <w:p w14:paraId="2CCBCC29"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1.16</w:t>
            </w:r>
          </w:p>
        </w:tc>
        <w:tc>
          <w:tcPr>
            <w:tcW w:w="960" w:type="dxa"/>
            <w:tcBorders>
              <w:top w:val="nil"/>
              <w:left w:val="nil"/>
              <w:bottom w:val="nil"/>
              <w:right w:val="nil"/>
            </w:tcBorders>
            <w:shd w:val="clear" w:color="auto" w:fill="auto"/>
            <w:noWrap/>
            <w:vAlign w:val="bottom"/>
            <w:hideMark/>
          </w:tcPr>
          <w:p w14:paraId="216402E9"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1.10</w:t>
            </w:r>
          </w:p>
        </w:tc>
      </w:tr>
      <w:tr w:rsidR="00F50A91" w:rsidRPr="00A13F64" w14:paraId="2633FF2C" w14:textId="77777777" w:rsidTr="004E4C5D">
        <w:trPr>
          <w:trHeight w:val="300"/>
          <w:jc w:val="center"/>
        </w:trPr>
        <w:tc>
          <w:tcPr>
            <w:tcW w:w="1280" w:type="dxa"/>
            <w:tcBorders>
              <w:top w:val="nil"/>
              <w:left w:val="nil"/>
              <w:bottom w:val="nil"/>
              <w:right w:val="nil"/>
            </w:tcBorders>
            <w:shd w:val="clear" w:color="auto" w:fill="auto"/>
            <w:noWrap/>
            <w:vAlign w:val="bottom"/>
            <w:hideMark/>
          </w:tcPr>
          <w:p w14:paraId="17F6CD41" w14:textId="77777777" w:rsidR="00F50A91" w:rsidRPr="00A13F64" w:rsidRDefault="00F50A91" w:rsidP="004E4C5D">
            <w:pPr>
              <w:spacing w:after="0" w:line="240" w:lineRule="auto"/>
              <w:rPr>
                <w:rFonts w:ascii="Calibri" w:eastAsia="Times New Roman" w:hAnsi="Calibri" w:cs="Calibri"/>
                <w:color w:val="000000"/>
              </w:rPr>
            </w:pPr>
            <w:r w:rsidRPr="00A13F64">
              <w:rPr>
                <w:rFonts w:ascii="Calibri" w:eastAsia="Times New Roman" w:hAnsi="Calibri" w:cs="Calibri"/>
                <w:color w:val="000000"/>
              </w:rPr>
              <w:t>15k/admin</w:t>
            </w:r>
          </w:p>
        </w:tc>
        <w:tc>
          <w:tcPr>
            <w:tcW w:w="960" w:type="dxa"/>
            <w:tcBorders>
              <w:top w:val="nil"/>
              <w:left w:val="single" w:sz="4" w:space="0" w:color="auto"/>
              <w:bottom w:val="nil"/>
              <w:right w:val="nil"/>
            </w:tcBorders>
            <w:shd w:val="clear" w:color="auto" w:fill="auto"/>
            <w:noWrap/>
            <w:vAlign w:val="bottom"/>
            <w:hideMark/>
          </w:tcPr>
          <w:p w14:paraId="722D00CA"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0.51</w:t>
            </w:r>
          </w:p>
        </w:tc>
        <w:tc>
          <w:tcPr>
            <w:tcW w:w="960" w:type="dxa"/>
            <w:tcBorders>
              <w:top w:val="nil"/>
              <w:left w:val="nil"/>
              <w:bottom w:val="nil"/>
              <w:right w:val="nil"/>
            </w:tcBorders>
            <w:shd w:val="clear" w:color="auto" w:fill="auto"/>
            <w:noWrap/>
            <w:vAlign w:val="bottom"/>
            <w:hideMark/>
          </w:tcPr>
          <w:p w14:paraId="43843ED7"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1.38</w:t>
            </w:r>
          </w:p>
        </w:tc>
        <w:tc>
          <w:tcPr>
            <w:tcW w:w="960" w:type="dxa"/>
            <w:tcBorders>
              <w:top w:val="nil"/>
              <w:left w:val="nil"/>
              <w:bottom w:val="nil"/>
              <w:right w:val="nil"/>
            </w:tcBorders>
            <w:shd w:val="clear" w:color="auto" w:fill="auto"/>
            <w:noWrap/>
            <w:vAlign w:val="bottom"/>
            <w:hideMark/>
          </w:tcPr>
          <w:p w14:paraId="436BA8E1"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0.95</w:t>
            </w:r>
          </w:p>
        </w:tc>
        <w:tc>
          <w:tcPr>
            <w:tcW w:w="960" w:type="dxa"/>
            <w:tcBorders>
              <w:top w:val="nil"/>
              <w:left w:val="nil"/>
              <w:bottom w:val="nil"/>
              <w:right w:val="nil"/>
            </w:tcBorders>
            <w:shd w:val="clear" w:color="auto" w:fill="auto"/>
            <w:noWrap/>
            <w:vAlign w:val="bottom"/>
            <w:hideMark/>
          </w:tcPr>
          <w:p w14:paraId="143A935C"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0.99</w:t>
            </w:r>
          </w:p>
        </w:tc>
      </w:tr>
      <w:tr w:rsidR="00F50A91" w:rsidRPr="00A13F64" w14:paraId="401141CD" w14:textId="77777777" w:rsidTr="004E4C5D">
        <w:trPr>
          <w:trHeight w:val="300"/>
          <w:jc w:val="center"/>
        </w:trPr>
        <w:tc>
          <w:tcPr>
            <w:tcW w:w="1280" w:type="dxa"/>
            <w:tcBorders>
              <w:top w:val="nil"/>
              <w:left w:val="nil"/>
              <w:bottom w:val="single" w:sz="4" w:space="0" w:color="auto"/>
              <w:right w:val="nil"/>
            </w:tcBorders>
            <w:shd w:val="clear" w:color="auto" w:fill="auto"/>
            <w:noWrap/>
            <w:vAlign w:val="bottom"/>
            <w:hideMark/>
          </w:tcPr>
          <w:p w14:paraId="33D11127" w14:textId="77777777" w:rsidR="00F50A91" w:rsidRPr="00A13F64" w:rsidRDefault="00F50A91" w:rsidP="004E4C5D">
            <w:pPr>
              <w:spacing w:after="0" w:line="240" w:lineRule="auto"/>
              <w:rPr>
                <w:rFonts w:ascii="Calibri" w:eastAsia="Times New Roman" w:hAnsi="Calibri" w:cs="Calibri"/>
                <w:color w:val="000000"/>
              </w:rPr>
            </w:pPr>
            <w:r w:rsidRPr="00A13F64">
              <w:rPr>
                <w:rFonts w:ascii="Calibri" w:eastAsia="Times New Roman" w:hAnsi="Calibri" w:cs="Calibri"/>
                <w:color w:val="000000"/>
              </w:rPr>
              <w:t>5k/15k</w:t>
            </w:r>
          </w:p>
        </w:tc>
        <w:tc>
          <w:tcPr>
            <w:tcW w:w="960" w:type="dxa"/>
            <w:tcBorders>
              <w:top w:val="nil"/>
              <w:left w:val="single" w:sz="4" w:space="0" w:color="auto"/>
              <w:bottom w:val="single" w:sz="4" w:space="0" w:color="auto"/>
              <w:right w:val="nil"/>
            </w:tcBorders>
            <w:shd w:val="clear" w:color="auto" w:fill="auto"/>
            <w:noWrap/>
            <w:vAlign w:val="bottom"/>
            <w:hideMark/>
          </w:tcPr>
          <w:p w14:paraId="768BDAA8"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0.80</w:t>
            </w:r>
          </w:p>
        </w:tc>
        <w:tc>
          <w:tcPr>
            <w:tcW w:w="960" w:type="dxa"/>
            <w:tcBorders>
              <w:top w:val="nil"/>
              <w:left w:val="nil"/>
              <w:bottom w:val="single" w:sz="4" w:space="0" w:color="auto"/>
              <w:right w:val="nil"/>
            </w:tcBorders>
            <w:shd w:val="clear" w:color="auto" w:fill="auto"/>
            <w:noWrap/>
            <w:vAlign w:val="bottom"/>
            <w:hideMark/>
          </w:tcPr>
          <w:p w14:paraId="6E5068E6"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1.60</w:t>
            </w:r>
          </w:p>
        </w:tc>
        <w:tc>
          <w:tcPr>
            <w:tcW w:w="960" w:type="dxa"/>
            <w:tcBorders>
              <w:top w:val="nil"/>
              <w:left w:val="nil"/>
              <w:bottom w:val="single" w:sz="4" w:space="0" w:color="auto"/>
              <w:right w:val="nil"/>
            </w:tcBorders>
            <w:shd w:val="clear" w:color="auto" w:fill="auto"/>
            <w:noWrap/>
            <w:vAlign w:val="bottom"/>
            <w:hideMark/>
          </w:tcPr>
          <w:p w14:paraId="1DD521CA"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1.23</w:t>
            </w:r>
          </w:p>
        </w:tc>
        <w:tc>
          <w:tcPr>
            <w:tcW w:w="960" w:type="dxa"/>
            <w:tcBorders>
              <w:top w:val="nil"/>
              <w:left w:val="nil"/>
              <w:bottom w:val="single" w:sz="4" w:space="0" w:color="auto"/>
              <w:right w:val="nil"/>
            </w:tcBorders>
            <w:shd w:val="clear" w:color="auto" w:fill="auto"/>
            <w:noWrap/>
            <w:vAlign w:val="bottom"/>
            <w:hideMark/>
          </w:tcPr>
          <w:p w14:paraId="147DFAF5" w14:textId="77777777" w:rsidR="00F50A91" w:rsidRPr="00A13F64" w:rsidRDefault="00F50A91" w:rsidP="004E4C5D">
            <w:pPr>
              <w:spacing w:after="0" w:line="240" w:lineRule="auto"/>
              <w:jc w:val="right"/>
              <w:rPr>
                <w:rFonts w:ascii="Calibri" w:eastAsia="Times New Roman" w:hAnsi="Calibri" w:cs="Calibri"/>
                <w:color w:val="000000"/>
              </w:rPr>
            </w:pPr>
            <w:r w:rsidRPr="00A13F64">
              <w:rPr>
                <w:rFonts w:ascii="Calibri" w:eastAsia="Times New Roman" w:hAnsi="Calibri" w:cs="Calibri"/>
                <w:color w:val="000000"/>
              </w:rPr>
              <w:t>1.25</w:t>
            </w:r>
          </w:p>
        </w:tc>
      </w:tr>
    </w:tbl>
    <w:p w14:paraId="10B508FF" w14:textId="33D3A36C" w:rsidR="00F50A91" w:rsidRPr="00F50A91" w:rsidRDefault="00F50A91" w:rsidP="00F50A91">
      <w:r>
        <w:br w:type="page"/>
      </w:r>
    </w:p>
    <w:p w14:paraId="67AA63D0" w14:textId="07BCF8CC" w:rsidR="00B807E2" w:rsidRDefault="00B807E2" w:rsidP="00B807E2">
      <w:r>
        <w:lastRenderedPageBreak/>
        <w:t xml:space="preserve">The 2018 </w:t>
      </w:r>
      <w:r w:rsidRPr="00234A47">
        <w:rPr>
          <w:rFonts w:cstheme="minorHAnsi"/>
        </w:rPr>
        <w:t>∑</w:t>
      </w:r>
      <w:r w:rsidRPr="00234A47">
        <w:rPr>
          <w:vertAlign w:val="subscript"/>
        </w:rPr>
        <w:t>10</w:t>
      </w:r>
      <w:r>
        <w:t>OPEs estimate presented here for Toronto of 1,800 kg yr</w:t>
      </w:r>
      <w:r w:rsidRPr="00234A47">
        <w:rPr>
          <w:vertAlign w:val="superscript"/>
        </w:rPr>
        <w:t>-1</w:t>
      </w:r>
      <w:r>
        <w:t xml:space="preserve"> was lower than the 3,300 kg yr</w:t>
      </w:r>
      <w:r w:rsidRPr="00234A47">
        <w:rPr>
          <w:vertAlign w:val="superscript"/>
        </w:rPr>
        <w:t>-1</w:t>
      </w:r>
      <w:r>
        <w:t xml:space="preserve"> mean value presented in Rodgers et al.</w:t>
      </w:r>
      <w:r>
        <w:fldChar w:fldCharType="begin"/>
      </w:r>
      <w:r w:rsidR="00135428">
        <w:instrText xml:space="preserve"> ADDIN ZOTERO_ITEM CSL_CITATION {"citationID":"hyeOCD3F","properties":{"formattedCitation":"\\super 1\\nosupersub{}","plainCitation":"1","noteIndex":0},"citationItems":[{"id":2947,"uris":["http://zotero.org/users/8676880/items/N2R75XBE"],"itemData":{"id":2947,"type":"article-journal","abstract":"Organophosphate esters (OPEs), used as flame retardants and plasticizers, occur at relatively high concentrations in urban air and surface waters. We tested the hypothesis that some OPEs could be considered persistent and mobile organic compounds (PMOCs), using the poly parameter linear free energy relationship-modified Multimedia Urban Model (ppLFER-MUM) in Toronto, Canada, as a case study. Modeled air emissions of σ 6 OPEs of 3300 (190-190000) kg yr -1 were 10-100 times higher than emissions of polychlorinated biphenyls (σ 5 PCBs) and polybrominated diphenyl ethers (σ 5 PBDEs). Model results suggested that measured σ 6 OPE stream concentrations of </w:instrText>
      </w:r>
      <w:r w:rsidR="00135428">
        <w:rPr>
          <w:rFonts w:ascii="Cambria Math" w:hAnsi="Cambria Math" w:cs="Cambria Math"/>
        </w:rPr>
        <w:instrText>∼</w:instrText>
      </w:r>
      <w:r w:rsidR="00135428">
        <w:instrText xml:space="preserve">2000 ng L -1 originate from emissions to urban air transferred to water mostly via precipitation. Water transport removed 7-28% of total air inputs compared to 0.1-10% for PCBs and 2-10% for PBDEs. Chlorinated OPEs were efficiently transported via surface water due to their persistence and high solubility. Loadings of σ 6 OPEs to Lake Ontario from wastewater treatment plants, streams, and atmospheric deposition were 70%, 18%, and 13%, respectively, of σ 6 OPE loadings of 3100 (1200-45000) kg yr -1 . Our results support the hypothesis that three chlorinated OPEs, tris(2-chloroethyl)phosphate phosphate (TCEP), tris(chloroisopropyl)phosphate (TCiPP), and tris(1,3-dichloroisopropyl)phosphate (TDCiPP), fit the profile of PMOCs due to their mobility and persistence in surface waters. © 2018 American Chemical Society.","container-title":"Environ. Sci. Technol.","DOI":"10.1021/acs.est.8b02576","issue":"21","journalAbbreviation":"Environ. Sci. Technol.","note":"publisher: American Chemical Society","page":"12465-12474","title":"Organophosphate Ester Transport, Fate, and Emissions in Toronto, Canada, Estimated Using an Updated Multimedia Urban Model","volume":"52","author":[{"family":"Rodgers","given":"T.F.M."},{"family":"Truong","given":"J.W."},{"family":"Jantunen","given":"L.M."},{"family":"Helm","given":"P.A."},{"family":"Diamond","given":"M.L."}],"issued":{"date-parts":[["2018"]]}}}],"schema":"https://github.com/citation-style-language/schema/raw/master/csl-citation.json"} </w:instrText>
      </w:r>
      <w:r>
        <w:fldChar w:fldCharType="separate"/>
      </w:r>
      <w:r w:rsidR="00135428" w:rsidRPr="00135428">
        <w:rPr>
          <w:rFonts w:ascii="Calibri" w:hAnsi="Calibri" w:cs="Calibri"/>
          <w:szCs w:val="24"/>
          <w:vertAlign w:val="superscript"/>
        </w:rPr>
        <w:t>1</w:t>
      </w:r>
      <w:r>
        <w:fldChar w:fldCharType="end"/>
      </w:r>
      <w:r>
        <w:t xml:space="preserve"> for 2010 using the same model and boundary area. </w:t>
      </w:r>
      <w:r w:rsidR="00733100">
        <w:t>This near halving of emissions was caused by lower measured air concentrations; u</w:t>
      </w:r>
      <w:r>
        <w:t xml:space="preserve">sing the 2010 </w:t>
      </w:r>
      <w:r w:rsidR="00AF7AEC">
        <w:t xml:space="preserve">air </w:t>
      </w:r>
      <w:r>
        <w:t>concentrations with the 2018 parameterization gave an estimate of ~3,100 kg yr</w:t>
      </w:r>
      <w:r w:rsidRPr="00234A47">
        <w:rPr>
          <w:vertAlign w:val="superscript"/>
        </w:rPr>
        <w:t>-1</w:t>
      </w:r>
      <w:r>
        <w:t xml:space="preserve">. </w:t>
      </w:r>
      <w:r w:rsidR="00733100">
        <w:t>Emissions in 2010 and 2018 were dominated by TCEP which</w:t>
      </w:r>
      <w:r>
        <w:t xml:space="preserve"> was designated as “harmful to human health” under the Canadian Chemicals Management Plan in 2013,</w:t>
      </w:r>
      <w:r>
        <w:fldChar w:fldCharType="begin"/>
      </w:r>
      <w:r w:rsidR="00135428">
        <w:instrText xml:space="preserve"> ADDIN ZOTERO_ITEM CSL_CITATION {"citationID":"EJQfZ4Pm","properties":{"formattedCitation":"\\super 5\\nosupersub{}","plainCitation":"5","noteIndex":0},"citationItems":[{"id":649,"uris":["http://zotero.org/users/8676880/items/95LEYYG5"],"itemData":{"id":649,"type":"document","title":"Order 2013-87-01-01 Amending the Domestic Substances List persuant to subsection 87(3) of the act","author":[{"literal":"CEPA"}],"issued":{"date-parts":[["2013"]]}}}],"schema":"https://github.com/citation-style-language/schema/raw/master/csl-citation.json"} </w:instrText>
      </w:r>
      <w:r>
        <w:fldChar w:fldCharType="separate"/>
      </w:r>
      <w:r w:rsidR="00135428" w:rsidRPr="00135428">
        <w:rPr>
          <w:rFonts w:ascii="Calibri" w:hAnsi="Calibri" w:cs="Calibri"/>
          <w:szCs w:val="24"/>
          <w:vertAlign w:val="superscript"/>
        </w:rPr>
        <w:t>5</w:t>
      </w:r>
      <w:r>
        <w:fldChar w:fldCharType="end"/>
      </w:r>
      <w:r>
        <w:t xml:space="preserve"> although the formal restrictions introduced on its use were limited to products intended for children under the age of three, which would likely not be sufficient to cause such a decrease. </w:t>
      </w:r>
    </w:p>
    <w:p w14:paraId="0EC41522" w14:textId="2485C895" w:rsidR="00B807E2" w:rsidRDefault="00B807E2" w:rsidP="00B807E2">
      <w:r>
        <w:t>He et al.</w:t>
      </w:r>
      <w:r>
        <w:fldChar w:fldCharType="begin"/>
      </w:r>
      <w:r w:rsidR="00135428">
        <w:instrText xml:space="preserve"> ADDIN ZOTERO_ITEM CSL_CITATION {"citationID":"gIbzOCnu","properties":{"formattedCitation":"\\super 6\\nosupersub{}","plainCitation":"6","noteIndex":0},"citationItems":[{"id":2557,"uris":["http://zotero.org/users/8676880/items/QA6TICUI"],"itemData":{"id":2557,"type":"article-journal","abstract":"The bioaccumulation and adverse effects of organophosphorus flame retardants (OPFRs) on human health have become a global concern. China produces the largest amount of OPFRs globally and has the highest global market share. However, little is known about its emission level and environmental cycling, thereby causing uncertainties in the assessment of the environmental and health impacts of OPFRs. We developed a gridded annual OPFRs emission inventory at 1/4° longitude by 1/4° latitude resolution over China from 2014 to 2018. The results show that the annual OPFRs emissions increased from approximately 670 tons/yr in 2014 to 1000 tons/yr in 2018 in China. Higher OPFR emissions were identified in Jiangxi, Shandong, Beijing-Tianjin-Hebei (BTH), Yangtze River Delta (YRD), and Pearl River Delta (PRD). In total, 2400 tons of OPFRs were released into the atmosphere during the multi-year period, in which production accounting for 56.6% of total OPFR emissions in China. An atmospheric transport model, the Canadian Model for Environmental Transport of Organochlorine Pesticides (CanMETOP), was employed to verify the gridded emission inventory and elucidate the atmospheric environmental fate of OPFRs. Modeled OPFRs in the air and soil agreed reasonably well with observed data, suggesting that the developed inventory was, to a large extent, reliable. The modeled atmospheric and surface soil concentrations of OPFRs across China ranged from 0 to 119 ng/m3 and 0 to 428 ng/g, respectively. East China is subjected to more intense OPFR contamination than the rest of the country. The results provide a valuable dataset and assessment of OPFRs, which may aid policy-makers and the scientific community in developing emission control strategies and evaluating the health and environmental consequences of OPFRs in China.","container-title":"Environmental Pollution","DOI":"10.1016/j.envpol.2021.118071","ISSN":"18736424","issue":"March","note":"publisher: Elsevier Ltd","page":"118071","title":"Gridded emission inventory of organophosphorus flame retardants in China and inventory validation","volume":"290","author":[{"family":"He","given":"Jian"},{"family":"Wang","given":"Zhanxiang"},{"family":"Zhao","given":"Liuyuan"},{"family":"Ma","given":"Haibo"},{"family":"Huang","given":"Juan"},{"family":"Li","given":"Hongyu"},{"family":"Mao","given":"Xiaoxuan"},{"family":"Huang","given":"Tao"},{"family":"Gao","given":"Hong"},{"family":"Ma","given":"Jianmin"}],"issued":{"date-parts":[["2021"]]}}}],"schema":"https://github.com/citation-style-language/schema/raw/master/csl-citation.json"} </w:instrText>
      </w:r>
      <w:r>
        <w:fldChar w:fldCharType="separate"/>
      </w:r>
      <w:r w:rsidR="00135428" w:rsidRPr="00135428">
        <w:rPr>
          <w:rFonts w:ascii="Calibri" w:hAnsi="Calibri" w:cs="Calibri"/>
          <w:szCs w:val="24"/>
          <w:vertAlign w:val="superscript"/>
        </w:rPr>
        <w:t>6</w:t>
      </w:r>
      <w:r>
        <w:fldChar w:fldCharType="end"/>
      </w:r>
      <w:r>
        <w:t xml:space="preserve"> estimated OPE emissions across China using production data and activity-specific emissions factors. They estimated that in 2018 the province of Beijing emitted ~130,000 kg yr</w:t>
      </w:r>
      <w:r w:rsidRPr="00902131">
        <w:rPr>
          <w:vertAlign w:val="superscript"/>
        </w:rPr>
        <w:t>-1</w:t>
      </w:r>
      <w:r>
        <w:t xml:space="preserve"> or 7.3 </w:t>
      </w:r>
      <w:r w:rsidRPr="00902131">
        <w:rPr>
          <w:rFonts w:cstheme="minorHAnsi"/>
        </w:rPr>
        <w:t>µ</w:t>
      </w:r>
      <w:r>
        <w:t>g m</w:t>
      </w:r>
      <w:r w:rsidRPr="00902131">
        <w:rPr>
          <w:vertAlign w:val="superscript"/>
        </w:rPr>
        <w:softHyphen/>
        <w:t>-2</w:t>
      </w:r>
      <w:r>
        <w:t>, vs our estimate of ~5,100 kg yr</w:t>
      </w:r>
      <w:r w:rsidRPr="00902131">
        <w:rPr>
          <w:vertAlign w:val="superscript"/>
        </w:rPr>
        <w:t>-1</w:t>
      </w:r>
      <w:r>
        <w:t xml:space="preserve"> or 3.8 </w:t>
      </w:r>
      <w:r w:rsidRPr="00902131">
        <w:rPr>
          <w:rFonts w:cstheme="minorHAnsi"/>
        </w:rPr>
        <w:t>µ</w:t>
      </w:r>
      <w:r>
        <w:t>g m</w:t>
      </w:r>
      <w:r w:rsidRPr="00902131">
        <w:rPr>
          <w:vertAlign w:val="superscript"/>
        </w:rPr>
        <w:softHyphen/>
        <w:t xml:space="preserve">-2 </w:t>
      </w:r>
      <w:r>
        <w:t xml:space="preserve">for the </w:t>
      </w:r>
      <w:r w:rsidR="00733100">
        <w:t xml:space="preserve">Beijing </w:t>
      </w:r>
      <w:r>
        <w:t>municipal area</w:t>
      </w:r>
      <w:r w:rsidR="00733100">
        <w:t>. Thus</w:t>
      </w:r>
      <w:r>
        <w:t xml:space="preserve">, </w:t>
      </w:r>
      <w:r w:rsidR="00733100">
        <w:t xml:space="preserve">we estimated </w:t>
      </w:r>
      <w:r>
        <w:t xml:space="preserve">~2x </w:t>
      </w:r>
      <w:r w:rsidR="00733100">
        <w:t xml:space="preserve">lower emissions </w:t>
      </w:r>
      <w:r>
        <w:t>on an area-normalized basis</w:t>
      </w:r>
      <w:r w:rsidR="00733100">
        <w:t xml:space="preserve"> based on </w:t>
      </w:r>
      <w:r w:rsidR="00AF7AEC">
        <w:t>similar</w:t>
      </w:r>
      <w:r w:rsidR="00733100">
        <w:t xml:space="preserve"> measured air concentrations</w:t>
      </w:r>
      <w:r>
        <w:t>, despite the fact that our boundary contained a larger proportion of the urban area likely responsible for emissions.</w:t>
      </w:r>
      <w:r w:rsidR="00733100" w:rsidDel="00733100">
        <w:t xml:space="preserve"> </w:t>
      </w:r>
      <w:r w:rsidR="00733100">
        <w:t>Thus,</w:t>
      </w:r>
      <w:r>
        <w:t xml:space="preserve"> the difference in emissions intensity was likely caused by different estimations of chemical fate within the modeled domain. </w:t>
      </w:r>
    </w:p>
    <w:p w14:paraId="13B37B08" w14:textId="16C0124F" w:rsidR="00196C14" w:rsidRPr="00A2718A" w:rsidRDefault="00A2718A" w:rsidP="00A2718A">
      <w:pPr>
        <w:pStyle w:val="Heading1"/>
        <w:rPr>
          <w:u w:val="single"/>
        </w:rPr>
      </w:pPr>
      <w:r>
        <w:t>Elemental Effects Sensitivity</w:t>
      </w:r>
    </w:p>
    <w:p w14:paraId="41D2AF82" w14:textId="15B2ECF6" w:rsidR="00A2718A" w:rsidRPr="002E4B51" w:rsidRDefault="00A2718A" w:rsidP="00A2718A">
      <w:pPr>
        <w:pStyle w:val="ListParagraph"/>
        <w:ind w:left="0"/>
        <w:rPr>
          <w:u w:val="single"/>
        </w:rPr>
      </w:pPr>
      <w:r>
        <w:t>We conducted a global “Elemental Effects” sensitivity analysis</w:t>
      </w:r>
      <w:r>
        <w:fldChar w:fldCharType="begin"/>
      </w:r>
      <w:r w:rsidR="00135428">
        <w:instrText xml:space="preserve"> ADDIN ZOTERO_ITEM CSL_CITATION {"citationID":"oTfPn89S","properties":{"formattedCitation":"\\super 7\\nosupersub{}","plainCitation":"7","noteIndex":0},"citationItems":[{"id":1982,"uris":["http://zotero.org/users/8676880/items/XZ7MUFZG"],"itemData":{"id":1982,"type":"chapter","abstract":"Complex mathematical and computational models are used in all areas of society and technology and yet model based science is increasingly contested or refuted, especially when models are applied to controversial themes in domains such as health, the environment or the economy. More stringent standards of proofs are demanded from model-based numbers, especially when these numbers represent potential financial losses, threats to human health or the state of the environment. Quantitative sensitivity analysis is generally agreed to be one such standard. Mathematical models are good at mapping assumptions into inferences. A modeller makes assumptions about laws pertaining to the system, about its status and a plethora of other, often arcane, system variables and internal model settings. To what extent can we rely on the model-based inference when most of these assumptions are fraught with uncertainties? Global Sensitivity Analysis offers an accessible treatment of such problems via quantitative sensitivity analysis, beginning with the first principles and guiding the reader through the full range of recommended practices with a rich set of solved exercises. The text explains the motivation for sensitivity analysis, reviews the required statistical concepts, and provides a guide to potential applications. The book: Provides a self-contained treatment of the subject, allowing readers to learn and practice global sensitivity analysis without further materials. Presents ways to frame the analysis, interpret its results, and avoid potential pitfalls. Features numerous exercises and solved problems to help illustrate the applications. Is authored by leading sensitivity analysis practitioners, combining a range of disciplinary backgrounds. Postgraduate students and practitioners in a wide range of subjects, including statistics, mathematics, engineering, physics, chemistry, environmental sciences, biology, toxicology, actuarial sciences, and econometrics will find much of use here. This book will prove equally valuable to engineers working on risk analysis and to financial analysts concerned with pricing and hedging.","container-title":"Global Sensitivity Analysis: The Primer","ISBN":"978-0-470-05997-5","note":"ISSN: 03067734\nsection: Champter 3\n_eprint: arXiv:1011.1669v3\nPMID: 25246403","page":"109–154","title":"Global Sensitivity Analysis: The Primer","URL":"http://doi.wiley.com/10.1111/j.1751-5823.2008.00062_17.x","author":[{"family":"Saltelli","given":"A."},{"family":"Ratto","given":"M."},{"family":"Andres","given":"T."},{"family":"Campolongo","given":"F."},{"family":"Cariboni","given":"J."},{"family":"Gatelli","given":"D."},{"family":"Saisana","given":"M."},{"family":"Tarantola","given":"S."}],"issued":{"date-parts":[["2008"]]}}}],"schema":"https://github.com/citation-style-language/schema/raw/master/csl-citation.json"} </w:instrText>
      </w:r>
      <w:r>
        <w:fldChar w:fldCharType="separate"/>
      </w:r>
      <w:r w:rsidR="00135428" w:rsidRPr="00135428">
        <w:rPr>
          <w:rFonts w:ascii="Calibri" w:hAnsi="Calibri" w:cs="Calibri"/>
          <w:szCs w:val="24"/>
          <w:vertAlign w:val="superscript"/>
        </w:rPr>
        <w:t>7</w:t>
      </w:r>
      <w:r>
        <w:fldChar w:fldCharType="end"/>
      </w:r>
      <w:r>
        <w:t xml:space="preserve"> to elucidate the processes governing modeled emissions, represented by the emissions flux (kg m</w:t>
      </w:r>
      <w:r w:rsidRPr="009B32F7">
        <w:rPr>
          <w:vertAlign w:val="superscript"/>
        </w:rPr>
        <w:t>-2</w:t>
      </w:r>
      <w:r>
        <w:t xml:space="preserve"> yr</w:t>
      </w:r>
      <w:r w:rsidRPr="009B32F7">
        <w:rPr>
          <w:vertAlign w:val="superscript"/>
        </w:rPr>
        <w:t>-1</w:t>
      </w:r>
      <w:r>
        <w:t>), and chemical fate represented by the proportion of emissions advected from the system (%) in outdoor urban environments (</w:t>
      </w:r>
      <w:r w:rsidR="00062734">
        <w:t>Figure ED 4</w:t>
      </w:r>
      <w:r>
        <w:t>). As expected, modeled emissions flux was most sensitive to the target air concentration, while compound fate was not (</w:t>
      </w:r>
      <w:r w:rsidR="00062734">
        <w:t>Figure ED 4</w:t>
      </w:r>
      <w:r>
        <w:t>, left side). Both outputs were least sensitive to “generic” parameters, such as mass-transport coefficients that remained the same across cities and chemicals (</w:t>
      </w:r>
      <w:r w:rsidR="00062734">
        <w:t>Figure ED 4</w:t>
      </w:r>
      <w:r>
        <w:t xml:space="preserve">, right side). </w:t>
      </w:r>
    </w:p>
    <w:p w14:paraId="0DA2FEFF" w14:textId="53DF7FA6" w:rsidR="00A2718A" w:rsidRPr="00062734" w:rsidRDefault="00A2718A" w:rsidP="00062734">
      <w:pPr>
        <w:rPr>
          <w:u w:val="single"/>
        </w:rPr>
      </w:pPr>
      <w:r>
        <w:t xml:space="preserve">Overall, the sensitivity analysis showed that chemical fate in the urban environment varied substantially across cities depending on interactions between the built environment, a chemical’s physicochemical properties, and the city’s climate. The strong influence of the </w:t>
      </w:r>
      <w:r w:rsidR="00293471">
        <w:t xml:space="preserve">target </w:t>
      </w:r>
      <w:r>
        <w:t xml:space="preserve">air concentration supports the contention that emissions of OPEs are driven by the intensity of local </w:t>
      </w:r>
      <w:r w:rsidR="00293471">
        <w:t xml:space="preserve">emissions </w:t>
      </w:r>
      <w:r w:rsidR="00C57AE6">
        <w:t xml:space="preserve">and </w:t>
      </w:r>
      <w:r w:rsidR="00293471">
        <w:t xml:space="preserve">not </w:t>
      </w:r>
      <w:r w:rsidR="007D4BBB">
        <w:t>“</w:t>
      </w:r>
      <w:r w:rsidR="00D41457">
        <w:t>transport</w:t>
      </w:r>
      <w:r w:rsidR="007D4BBB">
        <w:t>”</w:t>
      </w:r>
      <w:r w:rsidR="00D41457">
        <w:t xml:space="preserve"> </w:t>
      </w:r>
      <w:r>
        <w:t>factors, such as increases in vapor pressure at higher temperatures</w:t>
      </w:r>
      <w:r w:rsidR="0041702D">
        <w:t xml:space="preserve"> that would cause greater emissions</w:t>
      </w:r>
      <w:r>
        <w:t>.</w:t>
      </w:r>
      <w:r>
        <w:fldChar w:fldCharType="begin"/>
      </w:r>
      <w:r w:rsidR="00135428">
        <w:instrText xml:space="preserve"> ADDIN ZOTERO_ITEM CSL_CITATION {"citationID":"V3aU21Uu","properties":{"formattedCitation":"\\super 8,9\\nosupersub{}","plainCitation":"8,9","noteIndex":0},"citationItems":[{"id":18323,"uris":["http://zotero.org/users/8676880/items/787ULZ6N"],"itemData":{"id":18323,"type":"article-journal","abstract":"Based on distinct land-use categories, a sampling campaign was carried out at eight locations across Toronto and the Greater Toronto Area in 2016e2017. Source sectors’ dependent patterns of atmospheric concentrations of 9 organophosphate esters (OPEs), 9 polybrominated diphenyl ethers (PBDEs) and 5 novel ﬂame retardants (NFRs) showed dominance of OPEs and PBDEs at highly commercialised urban and trafﬁc sites, while NFRs, were dominant at residential sites. Overall, average concentrations of S9OPEs (1790 pg/m3) were two orders of magnitude higher than S9PBDEs (9.17 pg/m3) and S5NFRs (8.14 pg/m3). The atmospheric concentrations of given chemical classes also showed a general trend of lower levels in winter as compared to summer months. Statistically signiﬁcant negative correlations between the natural logarithm of concentrations and inverse of temperature for some OPEs and PBDEs highlighted the role of volatilization from local sources at given sites as primarily inﬂuencing their atmospheric concentrations. Overall, this study adds to the current knowledge of urban settings as a major emitter of the chemicals of emerging concern and their replacements, as well as the ongoing problem of phased out PBDEs due to their presence in existing inventories of commercial/recycled products. It is recommended that long-term monitoring programs targeting ﬂame retardants (FRs) include urban sites, which provide an early indicator of effectiveness of control measures of targeted FRs, while at the same time providing information on emission sources and trends of replacement FR chemicals.","container-title":"Environmental Pollution","DOI":"10.1016/j.envpol.2019.01.027","ISSN":"02697491","journalAbbreviation":"Environmental Pollution","language":"en","page":"89-97","source":"DOI.org (Crossref)","title":"Flame retardants in urban air: A case study in Toronto targeting distinct source sectors","title-short":"Flame retardants in urban air","volume":"247","author":[{"family":"Saini","given":"Amandeep"},{"family":"Clarke","given":"Jenna"},{"family":"Jariyasopit","given":"Narumol"},{"family":"Rauert","given":"Cassandra"},{"family":"Schuster","given":"Jasmin K."},{"family":"Halappanavar","given":"Sabina"},{"family":"Evans","given":"Greg J."},{"family":"Su","given":"Yushan"},{"family":"Harner","given":"Tom"}],"issued":{"date-parts":[["2019",4]]}}},{"id":18560,"uris":["http://zotero.org/users/8676880/items/4A3CP5X6"],"itemData":{"id":18560,"type":"article-journal","container-title":"Science of The Total Environment","DOI":"10.1016/j.scitotenv.2017.12.307","ISSN":"00489697","journalAbbreviation":"Science of The Total Environment","language":"en","page":"555-565","source":"DOI.org (Crossref)","title":"Organophosphate ester (OPEs) flame retardants and plasticizers in air and soil from a highly industrialized city in Turkey","volume":"625","author":[{"family":"Kurt-Karakus","given":"Perihan"},{"family":"Alegria","given":"Henry"},{"family":"Birgul","given":"Askin"},{"family":"Gungormus","given":"Elif"},{"family":"Jantunen","given":"Liisa"}],"issued":{"date-parts":[["2018",6]]}}}],"schema":"https://github.com/citation-style-language/schema/raw/master/csl-citation.json"} </w:instrText>
      </w:r>
      <w:r>
        <w:fldChar w:fldCharType="separate"/>
      </w:r>
      <w:r w:rsidR="00135428" w:rsidRPr="00135428">
        <w:rPr>
          <w:rFonts w:ascii="Calibri" w:hAnsi="Calibri" w:cs="Calibri"/>
          <w:szCs w:val="24"/>
          <w:vertAlign w:val="superscript"/>
        </w:rPr>
        <w:t>8,9</w:t>
      </w:r>
      <w:r>
        <w:fldChar w:fldCharType="end"/>
      </w:r>
      <w:r>
        <w:t xml:space="preserve"> However, the </w:t>
      </w:r>
      <w:r w:rsidR="00293471">
        <w:t xml:space="preserve">measured </w:t>
      </w:r>
      <w:r>
        <w:t>air concentration is itself known to vary substantial in the course of a year;</w:t>
      </w:r>
      <w:r>
        <w:fldChar w:fldCharType="begin"/>
      </w:r>
      <w:r w:rsidR="00135428">
        <w:instrText xml:space="preserve"> ADDIN ZOTERO_ITEM CSL_CITATION {"citationID":"yvfhMCgE","properties":{"formattedCitation":"\\super 8,10\\nosupersub{}","plainCitation":"8,10","noteIndex":0},"citationItems":[{"id":18323,"uris":["http://zotero.org/users/8676880/items/787ULZ6N"],"itemData":{"id":18323,"type":"article-journal","abstract":"Based on distinct land-use categories, a sampling campaign was carried out at eight locations across Toronto and the Greater Toronto Area in 2016e2017. Source sectors’ dependent patterns of atmospheric concentrations of 9 organophosphate esters (OPEs), 9 polybrominated diphenyl ethers (PBDEs) and 5 novel ﬂame retardants (NFRs) showed dominance of OPEs and PBDEs at highly commercialised urban and trafﬁc sites, while NFRs, were dominant at residential sites. Overall, average concentrations of S9OPEs (1790 pg/m3) were two orders of magnitude higher than S9PBDEs (9.17 pg/m3) and S5NFRs (8.14 pg/m3). The atmospheric concentrations of given chemical classes also showed a general trend of lower levels in winter as compared to summer months. Statistically signiﬁcant negative correlations between the natural logarithm of concentrations and inverse of temperature for some OPEs and PBDEs highlighted the role of volatilization from local sources at given sites as primarily inﬂuencing their atmospheric concentrations. Overall, this study adds to the current knowledge of urban settings as a major emitter of the chemicals of emerging concern and their replacements, as well as the ongoing problem of phased out PBDEs due to their presence in existing inventories of commercial/recycled products. It is recommended that long-term monitoring programs targeting ﬂame retardants (FRs) include urban sites, which provide an early indicator of effectiveness of control measures of targeted FRs, while at the same time providing information on emission sources and trends of replacement FR chemicals.","container-title":"Environmental Pollution","DOI":"10.1016/j.envpol.2019.01.027","ISSN":"02697491","journalAbbreviation":"Environmental Pollution","language":"en","page":"89-97","source":"DOI.org (Crossref)","title":"Flame retardants in urban air: A case study in Toronto targeting distinct source sectors","title-short":"Flame retardants in urban air","volume":"247","author":[{"family":"Saini","given":"Amandeep"},{"family":"Clarke","given":"Jenna"},{"family":"Jariyasopit","given":"Narumol"},{"family":"Rauert","given":"Cassandra"},{"family":"Schuster","given":"Jasmin K."},{"family":"Halappanavar","given":"Sabina"},{"family":"Evans","given":"Greg J."},{"family":"Su","given":"Yushan"},{"family":"Harner","given":"Tom"}],"issued":{"date-parts":[["2019",4]]}}},{"id":2431,"uris":["http://zotero.org/users/8676880/items/2RVDX2XN"],"itemData":{"id":2431,"type":"article-journal","abstract":"Levels of 13 organophosphate esters (OPEs) and 45 brominated and chlorinated flame retardants (BFRs) were measured in particle phase atmospheric samples collected at Longyearbyen on Svalbard in the European Arctic from September 2012 to May 2013. Total OPE (ΣOPEs) concentrations ranged from 33 to 1450 pg/m3, with the mean ΣOPE concentration of 430 ± 57 pg/m3. The nonchlorinated tri-n-butyl phosphate (TnBP) and 2-ethylhexyl-diphenyl phosphate (EHDPP) were the most abundant OPE congeners measured, and the sum of all nonchlorinated OPE concentrations comprised </w:instrText>
      </w:r>
      <w:r w:rsidR="00135428">
        <w:rPr>
          <w:rFonts w:ascii="Cambria Math" w:hAnsi="Cambria Math" w:cs="Cambria Math"/>
        </w:rPr>
        <w:instrText>∼</w:instrText>
      </w:r>
      <w:r w:rsidR="00135428">
        <w:instrText xml:space="preserve">75% of the </w:instrText>
      </w:r>
      <w:r w:rsidR="00135428">
        <w:rPr>
          <w:rFonts w:ascii="Calibri" w:hAnsi="Calibri" w:cs="Calibri"/>
        </w:rPr>
        <w:instrText>Σ</w:instrText>
      </w:r>
      <w:r w:rsidR="00135428">
        <w:instrText>OPE concentrations. The most abundant chlorinated OPE was tris(1-chloro-2-propyl) phosphate (TCPP). Total BFR concentrations (</w:instrText>
      </w:r>
      <w:r w:rsidR="00135428">
        <w:rPr>
          <w:rFonts w:ascii="Calibri" w:hAnsi="Calibri" w:cs="Calibri"/>
        </w:rPr>
        <w:instrText>Σ</w:instrText>
      </w:r>
      <w:r w:rsidR="00135428">
        <w:instrText xml:space="preserve">BFRs) were in the range of 3-77 pg/m3, with a mean concentration of 15 ± 3 pg/m3. 2-Ethylhexyl-2,3,4,5- tetrabromobenzoate (TBB) and bis(2-ethylhexyl)tetrabromophthalate (TBPH) were among the relatively abundant BFRs measured in these samples and comprised </w:instrText>
      </w:r>
      <w:r w:rsidR="00135428">
        <w:rPr>
          <w:rFonts w:ascii="Cambria Math" w:hAnsi="Cambria Math" w:cs="Cambria Math"/>
        </w:rPr>
        <w:instrText>∼</w:instrText>
      </w:r>
      <w:r w:rsidR="00135428">
        <w:instrText xml:space="preserve">46% and 17% of </w:instrText>
      </w:r>
      <w:r w:rsidR="00135428">
        <w:rPr>
          <w:rFonts w:ascii="Calibri" w:hAnsi="Calibri" w:cs="Calibri"/>
        </w:rPr>
        <w:instrText>Σ</w:instrText>
      </w:r>
      <w:r w:rsidR="00135428">
        <w:instrText xml:space="preserve">BFR concentrations, respectively. Total PBDE (ΣPBDE) concentrations constituted </w:instrText>
      </w:r>
      <w:r w:rsidR="00135428">
        <w:rPr>
          <w:rFonts w:ascii="Cambria Math" w:hAnsi="Cambria Math" w:cs="Cambria Math"/>
        </w:rPr>
        <w:instrText>∼</w:instrText>
      </w:r>
      <w:r w:rsidR="00135428">
        <w:instrText xml:space="preserve">37% of </w:instrText>
      </w:r>
      <w:r w:rsidR="00135428">
        <w:rPr>
          <w:rFonts w:ascii="Calibri" w:hAnsi="Calibri" w:cs="Calibri"/>
        </w:rPr>
        <w:instrText>Σ</w:instrText>
      </w:r>
      <w:r w:rsidR="00135428">
        <w:instrText xml:space="preserve">BFR concentrations on average and ranged from 1 to 31 pg/m3. The most abundant PBDE congener was BDE-209, which contributed 24% to </w:instrText>
      </w:r>
      <w:r w:rsidR="00135428">
        <w:rPr>
          <w:rFonts w:ascii="Calibri" w:hAnsi="Calibri" w:cs="Calibri"/>
        </w:rPr>
        <w:instrText>Σ</w:instrText>
      </w:r>
      <w:r w:rsidR="00135428">
        <w:instrText xml:space="preserve">PBDE concentrations. Dechlorane Plus (DP) was detected in all of the samples, and ΣDP concentrations (syn- + anti-DP concentrations) ranged from 0.05 to 5 pg/m 3. Overall, ΣOPE concentrations were 1-2 orders of magnitude higher than the ΣBFR concentrations. © 2014 American Chemical Society.","container-title":"Environ. Sci. Technol.","DOI":"10.1021/es500911d","issue":"11","journalAbbreviation":"Environ. Sci. Technol.","note":"publisher: American Chemical Society","page":"6133-6140","title":"Organophosphate and halogenated flame retardants in atmospheric particles from a European Arctic site","volume":"48","author":[{"family":"Salamova","given":"A."},{"family":"Hermanson","given":"M.H."},{"family":"Hites","given":"R.A."}],"issued":{"date-parts":[["2014"]]}}}],"schema":"https://github.com/citation-style-language/schema/raw/master/csl-citation.json"} </w:instrText>
      </w:r>
      <w:r>
        <w:fldChar w:fldCharType="separate"/>
      </w:r>
      <w:r w:rsidR="00135428" w:rsidRPr="00135428">
        <w:rPr>
          <w:rFonts w:ascii="Calibri" w:hAnsi="Calibri" w:cs="Calibri"/>
          <w:szCs w:val="24"/>
          <w:vertAlign w:val="superscript"/>
        </w:rPr>
        <w:t>8,10</w:t>
      </w:r>
      <w:r>
        <w:fldChar w:fldCharType="end"/>
      </w:r>
      <w:r>
        <w:t xml:space="preserve"> our results suggest that this is due to the sensitivity of the modeled emissions to chemical fate, with higher emissions necessary to achieve an observed air concentration in some urban environments vs others</w:t>
      </w:r>
      <w:r w:rsidR="007D4BBB">
        <w:t>.</w:t>
      </w:r>
    </w:p>
    <w:p w14:paraId="04703223" w14:textId="51B93027" w:rsidR="00A2718A" w:rsidRDefault="00A2718A" w:rsidP="00A2718A">
      <w:r>
        <w:t>For the built environment, chemicals fate was most sensitive to the area of the city’s footprint, and to the area-factors (</w:t>
      </w:r>
      <w:proofErr w:type="spellStart"/>
      <w:r>
        <w:t>A</w:t>
      </w:r>
      <w:r w:rsidRPr="00BA17C6">
        <w:rPr>
          <w:vertAlign w:val="subscript"/>
        </w:rPr>
        <w:t>j</w:t>
      </w:r>
      <w:proofErr w:type="spellEnd"/>
      <w:r>
        <w:t>/</w:t>
      </w:r>
      <w:proofErr w:type="spellStart"/>
      <w:r>
        <w:t>A</w:t>
      </w:r>
      <w:r>
        <w:rPr>
          <w:vertAlign w:val="subscript"/>
        </w:rPr>
        <w:t>city</w:t>
      </w:r>
      <w:proofErr w:type="spellEnd"/>
      <w:r>
        <w:t>, m² m</w:t>
      </w:r>
      <w:r>
        <w:rPr>
          <w:vertAlign w:val="superscript"/>
        </w:rPr>
        <w:t>-2</w:t>
      </w:r>
      <w:r>
        <w:t>) of vegetation and film within that footprint. For physicochemical properties, the most important parameter was the air-water partition coefficient (log K</w:t>
      </w:r>
      <w:r>
        <w:rPr>
          <w:vertAlign w:val="subscript"/>
        </w:rPr>
        <w:t>AW</w:t>
      </w:r>
      <w:r>
        <w:t xml:space="preserve">), followed by three solute descriptors used in calculating partition coefficients from </w:t>
      </w:r>
      <w:proofErr w:type="spellStart"/>
      <w:r>
        <w:t>ppLFERs</w:t>
      </w:r>
      <w:proofErr w:type="spellEnd"/>
      <w:r>
        <w:t xml:space="preserve"> (L, V and B). The hexadecane-air partition coefficient (L) and the molar volume (V) represent cavitation and other non-polar forces in partitioning systems, while the hydrogen bonding basicity (B) represents polar forces for OPEs (where the hydrogen-bonding acidity is generally negligible). This indicates that, as expected, differences between specific chemical fates in the same urban environment are influenced by the “three solubilities” of water, organics and air; and could be well-described by comparing the fate of PMT vs PBT compounds. </w:t>
      </w:r>
    </w:p>
    <w:p w14:paraId="5F4022C8" w14:textId="48EA957F" w:rsidR="00A2718A" w:rsidRDefault="00A2718A" w:rsidP="00A2718A">
      <w:r>
        <w:lastRenderedPageBreak/>
        <w:t xml:space="preserve">Finally, for climate, the most important parameters were the rain rate (RR); the rates </w:t>
      </w:r>
      <w:r w:rsidR="00293471">
        <w:t xml:space="preserve">of advection </w:t>
      </w:r>
      <w:r>
        <w:t>in the upper and lower air compartments (Q</w:t>
      </w:r>
      <w:r>
        <w:rPr>
          <w:vertAlign w:val="subscript"/>
        </w:rPr>
        <w:t>LA</w:t>
      </w:r>
      <w:r>
        <w:t xml:space="preserve"> and Q</w:t>
      </w:r>
      <w:r>
        <w:rPr>
          <w:vertAlign w:val="subscript"/>
        </w:rPr>
        <w:t>UA</w:t>
      </w:r>
      <w:r>
        <w:t>), respectively, which are determined by the wind</w:t>
      </w:r>
      <w:r w:rsidR="00E73DEE">
        <w:t xml:space="preserve"> </w:t>
      </w:r>
      <w:r>
        <w:t xml:space="preserve">speed; the </w:t>
      </w:r>
      <w:r w:rsidR="00AF7AEC">
        <w:t xml:space="preserve">air </w:t>
      </w:r>
      <w:r>
        <w:t xml:space="preserve">temperature; and the height of the upper air compartment, which is modeled as the planetary boundary layer height. </w:t>
      </w:r>
    </w:p>
    <w:p w14:paraId="342EAAAE" w14:textId="4C815B73" w:rsidR="00196C14" w:rsidRPr="005948A6" w:rsidRDefault="00196C14" w:rsidP="00196C14">
      <w:pPr>
        <w:pStyle w:val="ListParagraph"/>
        <w:ind w:left="0"/>
        <w:rPr>
          <w:u w:val="single"/>
        </w:rPr>
      </w:pPr>
      <w:r>
        <w:t xml:space="preserve">Certain parameters had non-normal rank sensitivity distributions, indicating parameter interactions. For instance, </w:t>
      </w:r>
      <w:r w:rsidR="00AF7AEC">
        <w:t>the 5</w:t>
      </w:r>
      <w:r w:rsidR="00AF7AEC" w:rsidRPr="00AF7AEC">
        <w:rPr>
          <w:vertAlign w:val="superscript"/>
        </w:rPr>
        <w:t>th</w:t>
      </w:r>
      <w:r w:rsidR="00AF7AEC">
        <w:t xml:space="preserve"> most sensitive factor for </w:t>
      </w:r>
      <w:r>
        <w:t xml:space="preserve">emissions </w:t>
      </w:r>
      <w:r w:rsidR="00AF7AEC">
        <w:t>was</w:t>
      </w:r>
      <w:r>
        <w:t xml:space="preserve"> the rain rate (RR), with the parameter’s rank sensitivity showing a bimodal distribution indicating that emissions of more soluble species or those that were entirely particle-bound were very sensitive to the rain rate</w:t>
      </w:r>
      <w:r w:rsidR="008A7A77">
        <w:t>,</w:t>
      </w:r>
      <w:r>
        <w:t xml:space="preserve"> while more volatile, less soluble chemicals were less so. This highlights the need for </w:t>
      </w:r>
      <w:r w:rsidR="00293471">
        <w:t xml:space="preserve">a </w:t>
      </w:r>
      <w:r>
        <w:t>global sensitivity analysis for even relatively simple multimedia models.</w:t>
      </w:r>
    </w:p>
    <w:p w14:paraId="7D569B57" w14:textId="670CFCB7" w:rsidR="00196C14" w:rsidRDefault="00196C14" w:rsidP="00196C14">
      <w:pPr>
        <w:pStyle w:val="ListParagraph"/>
        <w:ind w:left="0"/>
      </w:pPr>
    </w:p>
    <w:p w14:paraId="7E925967" w14:textId="31247057" w:rsidR="00196C14" w:rsidRDefault="00196C14" w:rsidP="00196C14">
      <w:pPr>
        <w:pStyle w:val="ListParagraph"/>
        <w:ind w:left="0"/>
      </w:pPr>
      <w:r>
        <w:t>The interaction</w:t>
      </w:r>
      <w:r w:rsidR="00A5540D">
        <w:t xml:space="preserve"> </w:t>
      </w:r>
      <w:r>
        <w:t xml:space="preserve">between which parameters increased or decreased either emissions, </w:t>
      </w:r>
      <w:r w:rsidR="00EC0673">
        <w:t>total (</w:t>
      </w:r>
      <w:r w:rsidR="00AF7AEC">
        <w:t>air and water</w:t>
      </w:r>
      <w:r w:rsidR="00EC0673">
        <w:t>)</w:t>
      </w:r>
      <w:r w:rsidR="00AF7AEC">
        <w:t xml:space="preserve"> </w:t>
      </w:r>
      <w:r>
        <w:t>advection</w:t>
      </w:r>
      <w:r w:rsidR="00AF7AEC">
        <w:t>,</w:t>
      </w:r>
      <w:r>
        <w:t xml:space="preserve"> or both simultaneously</w:t>
      </w:r>
      <w:r w:rsidR="00293471">
        <w:t>,</w:t>
      </w:r>
      <w:r>
        <w:t xml:space="preserve"> highlights the complex</w:t>
      </w:r>
      <w:r w:rsidR="00AF7AEC">
        <w:t>, interdependent</w:t>
      </w:r>
      <w:r>
        <w:t xml:space="preserve"> nature</w:t>
      </w:r>
      <w:r w:rsidR="00AF7AEC">
        <w:t xml:space="preserve"> </w:t>
      </w:r>
      <w:r>
        <w:t>of chemical fate in the urban environment.  Although an increased flow rate in the upper and lower air directly increased both emissions and advection, for many other parameter</w:t>
      </w:r>
      <w:r w:rsidR="00A5540D">
        <w:t>s,</w:t>
      </w:r>
      <w:r>
        <w:t xml:space="preserve"> higher values increased emissions while decreasing advection, or vice-versa. For instance, the area factor of vegetation (</w:t>
      </w:r>
      <w:proofErr w:type="spellStart"/>
      <w:r>
        <w:t>AF</w:t>
      </w:r>
      <w:r>
        <w:rPr>
          <w:vertAlign w:val="subscript"/>
        </w:rPr>
        <w:t>veg</w:t>
      </w:r>
      <w:proofErr w:type="spellEnd"/>
      <w:r>
        <w:t xml:space="preserve">) had a large positive impact on emissions and a negative impact on </w:t>
      </w:r>
      <w:r w:rsidR="00EC0673">
        <w:t xml:space="preserve">total </w:t>
      </w:r>
      <w:r>
        <w:t xml:space="preserve">advection, indicating that larger emissions are driven by </w:t>
      </w:r>
      <w:r w:rsidR="00293471">
        <w:t xml:space="preserve">atmospheric </w:t>
      </w:r>
      <w:r>
        <w:t>deposition and subsequent transformation in the plant compartment. By contrast, increasing the area of the urban film (</w:t>
      </w:r>
      <w:proofErr w:type="spellStart"/>
      <w:r>
        <w:t>AF</w:t>
      </w:r>
      <w:r>
        <w:rPr>
          <w:vertAlign w:val="subscript"/>
        </w:rPr>
        <w:t>film</w:t>
      </w:r>
      <w:proofErr w:type="spellEnd"/>
      <w:r>
        <w:t>) or soil (</w:t>
      </w:r>
      <w:proofErr w:type="spellStart"/>
      <w:r>
        <w:t>AF</w:t>
      </w:r>
      <w:r>
        <w:rPr>
          <w:vertAlign w:val="subscript"/>
        </w:rPr>
        <w:t>soil</w:t>
      </w:r>
      <w:proofErr w:type="spellEnd"/>
      <w:r>
        <w:t xml:space="preserve">) increased both emissions and advection. In this case, increasing the area of the film or soil compartment increased </w:t>
      </w:r>
      <w:r w:rsidR="00293471">
        <w:t xml:space="preserve">atmospheric </w:t>
      </w:r>
      <w:r>
        <w:t xml:space="preserve">deposition and subsequent </w:t>
      </w:r>
      <w:proofErr w:type="spellStart"/>
      <w:r>
        <w:t>washoff</w:t>
      </w:r>
      <w:proofErr w:type="spellEnd"/>
      <w:r>
        <w:t xml:space="preserve"> to and advection from the water compartment. These parameters have bimodal sensitivity rank distributions for the emissions flux, similarly to the rain rate, because volatile lower-solubility compounds were less susceptible to </w:t>
      </w:r>
      <w:proofErr w:type="spellStart"/>
      <w:r>
        <w:t>washoff</w:t>
      </w:r>
      <w:proofErr w:type="spellEnd"/>
      <w:r>
        <w:t>.</w:t>
      </w:r>
    </w:p>
    <w:p w14:paraId="5DF682A9" w14:textId="454C39F9" w:rsidR="00B47C27" w:rsidRDefault="00B47C27" w:rsidP="00196C14">
      <w:pPr>
        <w:pStyle w:val="ListParagraph"/>
        <w:ind w:left="0"/>
      </w:pPr>
    </w:p>
    <w:p w14:paraId="436B1200" w14:textId="47323D42" w:rsidR="00B61BCB" w:rsidRDefault="00A66EF0" w:rsidP="00B61BCB">
      <w:pPr>
        <w:pStyle w:val="Heading1"/>
      </w:pPr>
      <w:r>
        <w:t>Additional Methods Information</w:t>
      </w:r>
    </w:p>
    <w:p w14:paraId="6D64DC2C" w14:textId="700CFEC1" w:rsidR="00727AB7" w:rsidRPr="00727AB7" w:rsidRDefault="00727AB7" w:rsidP="00727AB7">
      <w:pPr>
        <w:pStyle w:val="Heading2"/>
      </w:pPr>
      <w:r>
        <w:t>Compound Identifiers</w:t>
      </w:r>
    </w:p>
    <w:p w14:paraId="66C4C8E1" w14:textId="5C2B6D43" w:rsidR="008F522A" w:rsidRDefault="008F522A" w:rsidP="008F522A">
      <w:pPr>
        <w:pStyle w:val="Caption"/>
        <w:keepNext/>
      </w:pPr>
      <w:r>
        <w:t>Table S</w:t>
      </w:r>
      <w:r w:rsidR="00E90D29">
        <w:fldChar w:fldCharType="begin"/>
      </w:r>
      <w:r w:rsidR="00E90D29">
        <w:instrText xml:space="preserve"> SEQ Table \* ARABIC </w:instrText>
      </w:r>
      <w:r w:rsidR="00E90D29">
        <w:fldChar w:fldCharType="separate"/>
      </w:r>
      <w:r w:rsidR="004E4C5D">
        <w:rPr>
          <w:noProof/>
        </w:rPr>
        <w:t>2</w:t>
      </w:r>
      <w:r w:rsidR="00E90D29">
        <w:rPr>
          <w:noProof/>
        </w:rPr>
        <w:fldChar w:fldCharType="end"/>
      </w:r>
      <w:r>
        <w:t xml:space="preserve">: Identifiers for compounds used in this study. </w:t>
      </w:r>
    </w:p>
    <w:tbl>
      <w:tblPr>
        <w:tblW w:w="10891" w:type="dxa"/>
        <w:tblInd w:w="-450" w:type="dxa"/>
        <w:tblLook w:val="04A0" w:firstRow="1" w:lastRow="0" w:firstColumn="1" w:lastColumn="0" w:noHBand="0" w:noVBand="1"/>
      </w:tblPr>
      <w:tblGrid>
        <w:gridCol w:w="1115"/>
        <w:gridCol w:w="1226"/>
        <w:gridCol w:w="3240"/>
        <w:gridCol w:w="5310"/>
      </w:tblGrid>
      <w:tr w:rsidR="008F522A" w:rsidRPr="00A66EF0" w14:paraId="2B7CAEA0" w14:textId="77777777" w:rsidTr="008F522A">
        <w:trPr>
          <w:trHeight w:val="300"/>
        </w:trPr>
        <w:tc>
          <w:tcPr>
            <w:tcW w:w="1115" w:type="dxa"/>
            <w:tcBorders>
              <w:top w:val="nil"/>
              <w:left w:val="nil"/>
              <w:bottom w:val="single" w:sz="4" w:space="0" w:color="auto"/>
              <w:right w:val="nil"/>
            </w:tcBorders>
            <w:shd w:val="clear" w:color="auto" w:fill="auto"/>
            <w:noWrap/>
            <w:vAlign w:val="bottom"/>
            <w:hideMark/>
          </w:tcPr>
          <w:p w14:paraId="6E5A5619"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Compound Name</w:t>
            </w:r>
          </w:p>
        </w:tc>
        <w:tc>
          <w:tcPr>
            <w:tcW w:w="1226" w:type="dxa"/>
            <w:tcBorders>
              <w:top w:val="nil"/>
              <w:left w:val="nil"/>
              <w:bottom w:val="single" w:sz="4" w:space="0" w:color="auto"/>
              <w:right w:val="nil"/>
            </w:tcBorders>
            <w:shd w:val="clear" w:color="auto" w:fill="auto"/>
            <w:noWrap/>
            <w:vAlign w:val="bottom"/>
            <w:hideMark/>
          </w:tcPr>
          <w:p w14:paraId="1AA5F87E"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CAS Number</w:t>
            </w:r>
          </w:p>
        </w:tc>
        <w:tc>
          <w:tcPr>
            <w:tcW w:w="3240" w:type="dxa"/>
            <w:tcBorders>
              <w:top w:val="nil"/>
              <w:left w:val="nil"/>
              <w:bottom w:val="single" w:sz="4" w:space="0" w:color="auto"/>
              <w:right w:val="nil"/>
            </w:tcBorders>
            <w:shd w:val="clear" w:color="auto" w:fill="auto"/>
            <w:noWrap/>
            <w:vAlign w:val="bottom"/>
            <w:hideMark/>
          </w:tcPr>
          <w:p w14:paraId="6C3AB38A"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IUPAC Name</w:t>
            </w:r>
          </w:p>
        </w:tc>
        <w:tc>
          <w:tcPr>
            <w:tcW w:w="5310" w:type="dxa"/>
            <w:tcBorders>
              <w:top w:val="nil"/>
              <w:left w:val="nil"/>
              <w:bottom w:val="single" w:sz="4" w:space="0" w:color="auto"/>
              <w:right w:val="nil"/>
            </w:tcBorders>
            <w:shd w:val="clear" w:color="auto" w:fill="auto"/>
            <w:noWrap/>
            <w:vAlign w:val="bottom"/>
            <w:hideMark/>
          </w:tcPr>
          <w:p w14:paraId="2306B710"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SMILES Identifier</w:t>
            </w:r>
          </w:p>
        </w:tc>
      </w:tr>
      <w:tr w:rsidR="008F522A" w:rsidRPr="00A66EF0" w14:paraId="47E7C899" w14:textId="77777777" w:rsidTr="008F522A">
        <w:trPr>
          <w:trHeight w:val="300"/>
        </w:trPr>
        <w:tc>
          <w:tcPr>
            <w:tcW w:w="1115" w:type="dxa"/>
            <w:tcBorders>
              <w:top w:val="nil"/>
              <w:left w:val="nil"/>
              <w:bottom w:val="nil"/>
              <w:right w:val="nil"/>
            </w:tcBorders>
            <w:shd w:val="clear" w:color="auto" w:fill="auto"/>
            <w:noWrap/>
            <w:vAlign w:val="bottom"/>
            <w:hideMark/>
          </w:tcPr>
          <w:p w14:paraId="6943FEB9" w14:textId="77777777" w:rsidR="008F522A" w:rsidRPr="00A66EF0" w:rsidRDefault="008F522A" w:rsidP="00A66EF0">
            <w:pPr>
              <w:spacing w:after="0" w:line="240" w:lineRule="auto"/>
              <w:jc w:val="right"/>
              <w:rPr>
                <w:rFonts w:ascii="Calibri" w:eastAsia="Times New Roman" w:hAnsi="Calibri" w:cs="Calibri"/>
                <w:color w:val="000000"/>
                <w:sz w:val="20"/>
                <w:szCs w:val="20"/>
              </w:rPr>
            </w:pPr>
            <w:r w:rsidRPr="00A66EF0">
              <w:rPr>
                <w:rFonts w:ascii="Calibri" w:eastAsia="Times New Roman" w:hAnsi="Calibri" w:cs="Calibri"/>
                <w:color w:val="000000"/>
                <w:sz w:val="20"/>
                <w:szCs w:val="20"/>
              </w:rPr>
              <w:t>TEP</w:t>
            </w:r>
          </w:p>
        </w:tc>
        <w:tc>
          <w:tcPr>
            <w:tcW w:w="1226" w:type="dxa"/>
            <w:tcBorders>
              <w:top w:val="nil"/>
              <w:left w:val="nil"/>
              <w:bottom w:val="nil"/>
              <w:right w:val="nil"/>
            </w:tcBorders>
            <w:shd w:val="clear" w:color="auto" w:fill="auto"/>
            <w:noWrap/>
            <w:vAlign w:val="bottom"/>
            <w:hideMark/>
          </w:tcPr>
          <w:p w14:paraId="708FEDCC"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78-40-0</w:t>
            </w:r>
          </w:p>
        </w:tc>
        <w:tc>
          <w:tcPr>
            <w:tcW w:w="3240" w:type="dxa"/>
            <w:tcBorders>
              <w:top w:val="nil"/>
              <w:left w:val="nil"/>
              <w:bottom w:val="nil"/>
              <w:right w:val="nil"/>
            </w:tcBorders>
            <w:shd w:val="clear" w:color="auto" w:fill="auto"/>
            <w:noWrap/>
            <w:vAlign w:val="bottom"/>
            <w:hideMark/>
          </w:tcPr>
          <w:p w14:paraId="5CA2AF35"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triethyl phosphate</w:t>
            </w:r>
          </w:p>
        </w:tc>
        <w:tc>
          <w:tcPr>
            <w:tcW w:w="5310" w:type="dxa"/>
            <w:tcBorders>
              <w:top w:val="nil"/>
              <w:left w:val="nil"/>
              <w:bottom w:val="nil"/>
              <w:right w:val="nil"/>
            </w:tcBorders>
            <w:shd w:val="clear" w:color="auto" w:fill="auto"/>
            <w:noWrap/>
            <w:vAlign w:val="bottom"/>
            <w:hideMark/>
          </w:tcPr>
          <w:p w14:paraId="68286715"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CCOP(=</w:t>
            </w:r>
            <w:proofErr w:type="gramStart"/>
            <w:r w:rsidRPr="00A66EF0">
              <w:rPr>
                <w:rFonts w:ascii="Calibri" w:eastAsia="Times New Roman" w:hAnsi="Calibri" w:cs="Calibri"/>
                <w:color w:val="000000"/>
                <w:sz w:val="20"/>
                <w:szCs w:val="20"/>
              </w:rPr>
              <w:t>O)(</w:t>
            </w:r>
            <w:proofErr w:type="gramEnd"/>
            <w:r w:rsidRPr="00A66EF0">
              <w:rPr>
                <w:rFonts w:ascii="Calibri" w:eastAsia="Times New Roman" w:hAnsi="Calibri" w:cs="Calibri"/>
                <w:color w:val="000000"/>
                <w:sz w:val="20"/>
                <w:szCs w:val="20"/>
              </w:rPr>
              <w:t>OCC)OCC</w:t>
            </w:r>
          </w:p>
        </w:tc>
      </w:tr>
      <w:tr w:rsidR="008F522A" w:rsidRPr="00A66EF0" w14:paraId="511C2C2A" w14:textId="77777777" w:rsidTr="008F522A">
        <w:trPr>
          <w:trHeight w:val="300"/>
        </w:trPr>
        <w:tc>
          <w:tcPr>
            <w:tcW w:w="1115" w:type="dxa"/>
            <w:tcBorders>
              <w:top w:val="nil"/>
              <w:left w:val="nil"/>
              <w:bottom w:val="nil"/>
              <w:right w:val="nil"/>
            </w:tcBorders>
            <w:shd w:val="clear" w:color="auto" w:fill="auto"/>
            <w:noWrap/>
            <w:vAlign w:val="bottom"/>
            <w:hideMark/>
          </w:tcPr>
          <w:p w14:paraId="22076A7A" w14:textId="77777777" w:rsidR="008F522A" w:rsidRPr="00A66EF0" w:rsidRDefault="008F522A" w:rsidP="00A66EF0">
            <w:pPr>
              <w:spacing w:after="0" w:line="240" w:lineRule="auto"/>
              <w:jc w:val="right"/>
              <w:rPr>
                <w:rFonts w:ascii="Calibri" w:eastAsia="Times New Roman" w:hAnsi="Calibri" w:cs="Calibri"/>
                <w:color w:val="000000"/>
                <w:sz w:val="20"/>
                <w:szCs w:val="20"/>
              </w:rPr>
            </w:pPr>
            <w:proofErr w:type="spellStart"/>
            <w:r w:rsidRPr="00A66EF0">
              <w:rPr>
                <w:rFonts w:ascii="Calibri" w:eastAsia="Times New Roman" w:hAnsi="Calibri" w:cs="Calibri"/>
                <w:color w:val="000000"/>
                <w:sz w:val="20"/>
                <w:szCs w:val="20"/>
              </w:rPr>
              <w:t>TPrP</w:t>
            </w:r>
            <w:proofErr w:type="spellEnd"/>
          </w:p>
        </w:tc>
        <w:tc>
          <w:tcPr>
            <w:tcW w:w="1226" w:type="dxa"/>
            <w:tcBorders>
              <w:top w:val="nil"/>
              <w:left w:val="nil"/>
              <w:bottom w:val="nil"/>
              <w:right w:val="nil"/>
            </w:tcBorders>
            <w:shd w:val="clear" w:color="auto" w:fill="auto"/>
            <w:noWrap/>
            <w:vAlign w:val="bottom"/>
            <w:hideMark/>
          </w:tcPr>
          <w:p w14:paraId="118C9C72"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513-08-6</w:t>
            </w:r>
          </w:p>
        </w:tc>
        <w:tc>
          <w:tcPr>
            <w:tcW w:w="3240" w:type="dxa"/>
            <w:tcBorders>
              <w:top w:val="nil"/>
              <w:left w:val="nil"/>
              <w:bottom w:val="nil"/>
              <w:right w:val="nil"/>
            </w:tcBorders>
            <w:shd w:val="clear" w:color="auto" w:fill="auto"/>
            <w:noWrap/>
            <w:vAlign w:val="bottom"/>
            <w:hideMark/>
          </w:tcPr>
          <w:p w14:paraId="5A5A77E3" w14:textId="77777777" w:rsidR="008F522A" w:rsidRPr="00A66EF0" w:rsidRDefault="008F522A" w:rsidP="00A66EF0">
            <w:pPr>
              <w:spacing w:after="0" w:line="240" w:lineRule="auto"/>
              <w:rPr>
                <w:rFonts w:ascii="Calibri" w:eastAsia="Times New Roman" w:hAnsi="Calibri" w:cs="Calibri"/>
                <w:color w:val="000000"/>
                <w:sz w:val="20"/>
                <w:szCs w:val="20"/>
              </w:rPr>
            </w:pPr>
            <w:proofErr w:type="spellStart"/>
            <w:r w:rsidRPr="00A66EF0">
              <w:rPr>
                <w:rFonts w:ascii="Calibri" w:eastAsia="Times New Roman" w:hAnsi="Calibri" w:cs="Calibri"/>
                <w:color w:val="000000"/>
                <w:sz w:val="20"/>
                <w:szCs w:val="20"/>
              </w:rPr>
              <w:t>tripropyl</w:t>
            </w:r>
            <w:proofErr w:type="spellEnd"/>
            <w:r w:rsidRPr="00A66EF0">
              <w:rPr>
                <w:rFonts w:ascii="Calibri" w:eastAsia="Times New Roman" w:hAnsi="Calibri" w:cs="Calibri"/>
                <w:color w:val="000000"/>
                <w:sz w:val="20"/>
                <w:szCs w:val="20"/>
              </w:rPr>
              <w:t xml:space="preserve"> phosphate</w:t>
            </w:r>
          </w:p>
        </w:tc>
        <w:tc>
          <w:tcPr>
            <w:tcW w:w="5310" w:type="dxa"/>
            <w:tcBorders>
              <w:top w:val="nil"/>
              <w:left w:val="nil"/>
              <w:bottom w:val="nil"/>
              <w:right w:val="nil"/>
            </w:tcBorders>
            <w:shd w:val="clear" w:color="auto" w:fill="auto"/>
            <w:noWrap/>
            <w:vAlign w:val="bottom"/>
            <w:hideMark/>
          </w:tcPr>
          <w:p w14:paraId="5BB61B53"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CCCOP(=</w:t>
            </w:r>
            <w:proofErr w:type="gramStart"/>
            <w:r w:rsidRPr="00A66EF0">
              <w:rPr>
                <w:rFonts w:ascii="Calibri" w:eastAsia="Times New Roman" w:hAnsi="Calibri" w:cs="Calibri"/>
                <w:color w:val="000000"/>
                <w:sz w:val="20"/>
                <w:szCs w:val="20"/>
              </w:rPr>
              <w:t>O)(</w:t>
            </w:r>
            <w:proofErr w:type="gramEnd"/>
            <w:r w:rsidRPr="00A66EF0">
              <w:rPr>
                <w:rFonts w:ascii="Calibri" w:eastAsia="Times New Roman" w:hAnsi="Calibri" w:cs="Calibri"/>
                <w:color w:val="000000"/>
                <w:sz w:val="20"/>
                <w:szCs w:val="20"/>
              </w:rPr>
              <w:t>OCCC)OCCC</w:t>
            </w:r>
          </w:p>
        </w:tc>
      </w:tr>
      <w:tr w:rsidR="008F522A" w:rsidRPr="00A66EF0" w14:paraId="10D4BB06" w14:textId="77777777" w:rsidTr="008F522A">
        <w:trPr>
          <w:trHeight w:val="300"/>
        </w:trPr>
        <w:tc>
          <w:tcPr>
            <w:tcW w:w="1115" w:type="dxa"/>
            <w:tcBorders>
              <w:top w:val="nil"/>
              <w:left w:val="nil"/>
              <w:bottom w:val="nil"/>
              <w:right w:val="nil"/>
            </w:tcBorders>
            <w:shd w:val="clear" w:color="auto" w:fill="auto"/>
            <w:noWrap/>
            <w:vAlign w:val="bottom"/>
            <w:hideMark/>
          </w:tcPr>
          <w:p w14:paraId="40D71F99" w14:textId="77777777" w:rsidR="008F522A" w:rsidRPr="00A66EF0" w:rsidRDefault="008F522A" w:rsidP="00A66EF0">
            <w:pPr>
              <w:spacing w:after="0" w:line="240" w:lineRule="auto"/>
              <w:jc w:val="right"/>
              <w:rPr>
                <w:rFonts w:ascii="Calibri" w:eastAsia="Times New Roman" w:hAnsi="Calibri" w:cs="Calibri"/>
                <w:color w:val="000000"/>
                <w:sz w:val="20"/>
                <w:szCs w:val="20"/>
              </w:rPr>
            </w:pPr>
            <w:proofErr w:type="spellStart"/>
            <w:r w:rsidRPr="00A66EF0">
              <w:rPr>
                <w:rFonts w:ascii="Calibri" w:eastAsia="Times New Roman" w:hAnsi="Calibri" w:cs="Calibri"/>
                <w:color w:val="000000"/>
                <w:sz w:val="20"/>
                <w:szCs w:val="20"/>
              </w:rPr>
              <w:t>TnBP</w:t>
            </w:r>
            <w:proofErr w:type="spellEnd"/>
          </w:p>
        </w:tc>
        <w:tc>
          <w:tcPr>
            <w:tcW w:w="1226" w:type="dxa"/>
            <w:tcBorders>
              <w:top w:val="nil"/>
              <w:left w:val="nil"/>
              <w:bottom w:val="nil"/>
              <w:right w:val="nil"/>
            </w:tcBorders>
            <w:shd w:val="clear" w:color="auto" w:fill="auto"/>
            <w:noWrap/>
            <w:vAlign w:val="bottom"/>
            <w:hideMark/>
          </w:tcPr>
          <w:p w14:paraId="17E41058"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126-73-8</w:t>
            </w:r>
          </w:p>
        </w:tc>
        <w:tc>
          <w:tcPr>
            <w:tcW w:w="3240" w:type="dxa"/>
            <w:tcBorders>
              <w:top w:val="nil"/>
              <w:left w:val="nil"/>
              <w:bottom w:val="nil"/>
              <w:right w:val="nil"/>
            </w:tcBorders>
            <w:shd w:val="clear" w:color="auto" w:fill="auto"/>
            <w:noWrap/>
            <w:vAlign w:val="bottom"/>
            <w:hideMark/>
          </w:tcPr>
          <w:p w14:paraId="2353B8B1"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tributyl phosphate</w:t>
            </w:r>
          </w:p>
        </w:tc>
        <w:tc>
          <w:tcPr>
            <w:tcW w:w="5310" w:type="dxa"/>
            <w:tcBorders>
              <w:top w:val="nil"/>
              <w:left w:val="nil"/>
              <w:bottom w:val="nil"/>
              <w:right w:val="nil"/>
            </w:tcBorders>
            <w:shd w:val="clear" w:color="auto" w:fill="auto"/>
            <w:noWrap/>
            <w:vAlign w:val="bottom"/>
            <w:hideMark/>
          </w:tcPr>
          <w:p w14:paraId="5DE12508"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CCCCOP(=</w:t>
            </w:r>
            <w:proofErr w:type="gramStart"/>
            <w:r w:rsidRPr="00A66EF0">
              <w:rPr>
                <w:rFonts w:ascii="Calibri" w:eastAsia="Times New Roman" w:hAnsi="Calibri" w:cs="Calibri"/>
                <w:color w:val="000000"/>
                <w:sz w:val="20"/>
                <w:szCs w:val="20"/>
              </w:rPr>
              <w:t>O)(</w:t>
            </w:r>
            <w:proofErr w:type="gramEnd"/>
            <w:r w:rsidRPr="00A66EF0">
              <w:rPr>
                <w:rFonts w:ascii="Calibri" w:eastAsia="Times New Roman" w:hAnsi="Calibri" w:cs="Calibri"/>
                <w:color w:val="000000"/>
                <w:sz w:val="20"/>
                <w:szCs w:val="20"/>
              </w:rPr>
              <w:t>OCCCC)OCCCC</w:t>
            </w:r>
          </w:p>
        </w:tc>
      </w:tr>
      <w:tr w:rsidR="008F522A" w:rsidRPr="00A66EF0" w14:paraId="1C088C9F" w14:textId="77777777" w:rsidTr="008F522A">
        <w:trPr>
          <w:trHeight w:val="300"/>
        </w:trPr>
        <w:tc>
          <w:tcPr>
            <w:tcW w:w="1115" w:type="dxa"/>
            <w:tcBorders>
              <w:top w:val="nil"/>
              <w:left w:val="nil"/>
              <w:bottom w:val="nil"/>
              <w:right w:val="nil"/>
            </w:tcBorders>
            <w:shd w:val="clear" w:color="auto" w:fill="auto"/>
            <w:noWrap/>
            <w:vAlign w:val="bottom"/>
            <w:hideMark/>
          </w:tcPr>
          <w:p w14:paraId="4C179099" w14:textId="77777777" w:rsidR="008F522A" w:rsidRPr="00A66EF0" w:rsidRDefault="008F522A" w:rsidP="00A66EF0">
            <w:pPr>
              <w:spacing w:after="0" w:line="240" w:lineRule="auto"/>
              <w:jc w:val="right"/>
              <w:rPr>
                <w:rFonts w:ascii="Calibri" w:eastAsia="Times New Roman" w:hAnsi="Calibri" w:cs="Calibri"/>
                <w:color w:val="000000"/>
                <w:sz w:val="20"/>
                <w:szCs w:val="20"/>
              </w:rPr>
            </w:pPr>
            <w:r w:rsidRPr="00A66EF0">
              <w:rPr>
                <w:rFonts w:ascii="Calibri" w:eastAsia="Times New Roman" w:hAnsi="Calibri" w:cs="Calibri"/>
                <w:color w:val="000000"/>
                <w:sz w:val="20"/>
                <w:szCs w:val="20"/>
              </w:rPr>
              <w:t>TCEP</w:t>
            </w:r>
          </w:p>
        </w:tc>
        <w:tc>
          <w:tcPr>
            <w:tcW w:w="1226" w:type="dxa"/>
            <w:tcBorders>
              <w:top w:val="nil"/>
              <w:left w:val="nil"/>
              <w:bottom w:val="nil"/>
              <w:right w:val="nil"/>
            </w:tcBorders>
            <w:shd w:val="clear" w:color="auto" w:fill="auto"/>
            <w:noWrap/>
            <w:vAlign w:val="bottom"/>
            <w:hideMark/>
          </w:tcPr>
          <w:p w14:paraId="3F1318FF"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115-96-8</w:t>
            </w:r>
          </w:p>
        </w:tc>
        <w:tc>
          <w:tcPr>
            <w:tcW w:w="3240" w:type="dxa"/>
            <w:tcBorders>
              <w:top w:val="nil"/>
              <w:left w:val="nil"/>
              <w:bottom w:val="nil"/>
              <w:right w:val="nil"/>
            </w:tcBorders>
            <w:shd w:val="clear" w:color="auto" w:fill="auto"/>
            <w:noWrap/>
            <w:vAlign w:val="bottom"/>
            <w:hideMark/>
          </w:tcPr>
          <w:p w14:paraId="5AB2B930"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tris(2-</w:t>
            </w:r>
            <w:proofErr w:type="gramStart"/>
            <w:r w:rsidRPr="00A66EF0">
              <w:rPr>
                <w:rFonts w:ascii="Calibri" w:eastAsia="Times New Roman" w:hAnsi="Calibri" w:cs="Calibri"/>
                <w:color w:val="000000"/>
                <w:sz w:val="20"/>
                <w:szCs w:val="20"/>
              </w:rPr>
              <w:t>chloroethyl)phosphate</w:t>
            </w:r>
            <w:proofErr w:type="gramEnd"/>
          </w:p>
        </w:tc>
        <w:tc>
          <w:tcPr>
            <w:tcW w:w="5310" w:type="dxa"/>
            <w:tcBorders>
              <w:top w:val="nil"/>
              <w:left w:val="nil"/>
              <w:bottom w:val="nil"/>
              <w:right w:val="nil"/>
            </w:tcBorders>
            <w:shd w:val="clear" w:color="auto" w:fill="auto"/>
            <w:noWrap/>
            <w:vAlign w:val="bottom"/>
            <w:hideMark/>
          </w:tcPr>
          <w:p w14:paraId="15775C61"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w:t>
            </w:r>
            <w:proofErr w:type="spellStart"/>
            <w:r w:rsidRPr="00A66EF0">
              <w:rPr>
                <w:rFonts w:ascii="Calibri" w:eastAsia="Times New Roman" w:hAnsi="Calibri" w:cs="Calibri"/>
                <w:color w:val="000000"/>
                <w:sz w:val="20"/>
                <w:szCs w:val="20"/>
              </w:rPr>
              <w:t>CCl</w:t>
            </w:r>
            <w:proofErr w:type="spellEnd"/>
            <w:r w:rsidRPr="00A66EF0">
              <w:rPr>
                <w:rFonts w:ascii="Calibri" w:eastAsia="Times New Roman" w:hAnsi="Calibri" w:cs="Calibri"/>
                <w:color w:val="000000"/>
                <w:sz w:val="20"/>
                <w:szCs w:val="20"/>
              </w:rPr>
              <w:t>)OP(=</w:t>
            </w:r>
            <w:proofErr w:type="gramStart"/>
            <w:r w:rsidRPr="00A66EF0">
              <w:rPr>
                <w:rFonts w:ascii="Calibri" w:eastAsia="Times New Roman" w:hAnsi="Calibri" w:cs="Calibri"/>
                <w:color w:val="000000"/>
                <w:sz w:val="20"/>
                <w:szCs w:val="20"/>
              </w:rPr>
              <w:t>O)(</w:t>
            </w:r>
            <w:proofErr w:type="spellStart"/>
            <w:proofErr w:type="gramEnd"/>
            <w:r w:rsidRPr="00A66EF0">
              <w:rPr>
                <w:rFonts w:ascii="Calibri" w:eastAsia="Times New Roman" w:hAnsi="Calibri" w:cs="Calibri"/>
                <w:color w:val="000000"/>
                <w:sz w:val="20"/>
                <w:szCs w:val="20"/>
              </w:rPr>
              <w:t>OCCCl</w:t>
            </w:r>
            <w:proofErr w:type="spellEnd"/>
            <w:r w:rsidRPr="00A66EF0">
              <w:rPr>
                <w:rFonts w:ascii="Calibri" w:eastAsia="Times New Roman" w:hAnsi="Calibri" w:cs="Calibri"/>
                <w:color w:val="000000"/>
                <w:sz w:val="20"/>
                <w:szCs w:val="20"/>
              </w:rPr>
              <w:t>)</w:t>
            </w:r>
            <w:proofErr w:type="spellStart"/>
            <w:r w:rsidRPr="00A66EF0">
              <w:rPr>
                <w:rFonts w:ascii="Calibri" w:eastAsia="Times New Roman" w:hAnsi="Calibri" w:cs="Calibri"/>
                <w:color w:val="000000"/>
                <w:sz w:val="20"/>
                <w:szCs w:val="20"/>
              </w:rPr>
              <w:t>OCCCl</w:t>
            </w:r>
            <w:proofErr w:type="spellEnd"/>
          </w:p>
        </w:tc>
      </w:tr>
      <w:tr w:rsidR="008F522A" w:rsidRPr="00A66EF0" w14:paraId="2E09B757" w14:textId="77777777" w:rsidTr="008F522A">
        <w:trPr>
          <w:trHeight w:val="300"/>
        </w:trPr>
        <w:tc>
          <w:tcPr>
            <w:tcW w:w="1115" w:type="dxa"/>
            <w:tcBorders>
              <w:top w:val="nil"/>
              <w:left w:val="nil"/>
              <w:bottom w:val="nil"/>
              <w:right w:val="nil"/>
            </w:tcBorders>
            <w:shd w:val="clear" w:color="auto" w:fill="auto"/>
            <w:noWrap/>
            <w:vAlign w:val="bottom"/>
            <w:hideMark/>
          </w:tcPr>
          <w:p w14:paraId="0F077107" w14:textId="77777777" w:rsidR="008F522A" w:rsidRPr="00A66EF0" w:rsidRDefault="008F522A" w:rsidP="00A66EF0">
            <w:pPr>
              <w:spacing w:after="0" w:line="240" w:lineRule="auto"/>
              <w:jc w:val="right"/>
              <w:rPr>
                <w:rFonts w:ascii="Calibri" w:eastAsia="Times New Roman" w:hAnsi="Calibri" w:cs="Calibri"/>
                <w:color w:val="000000"/>
                <w:sz w:val="20"/>
                <w:szCs w:val="20"/>
              </w:rPr>
            </w:pPr>
            <w:proofErr w:type="spellStart"/>
            <w:r w:rsidRPr="00A66EF0">
              <w:rPr>
                <w:rFonts w:ascii="Calibri" w:eastAsia="Times New Roman" w:hAnsi="Calibri" w:cs="Calibri"/>
                <w:color w:val="000000"/>
                <w:sz w:val="20"/>
                <w:szCs w:val="20"/>
              </w:rPr>
              <w:t>TCiPP</w:t>
            </w:r>
            <w:proofErr w:type="spellEnd"/>
          </w:p>
        </w:tc>
        <w:tc>
          <w:tcPr>
            <w:tcW w:w="1226" w:type="dxa"/>
            <w:tcBorders>
              <w:top w:val="nil"/>
              <w:left w:val="nil"/>
              <w:bottom w:val="nil"/>
              <w:right w:val="nil"/>
            </w:tcBorders>
            <w:shd w:val="clear" w:color="auto" w:fill="auto"/>
            <w:noWrap/>
            <w:vAlign w:val="bottom"/>
            <w:hideMark/>
          </w:tcPr>
          <w:p w14:paraId="2B87D50A"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13674-84-5</w:t>
            </w:r>
          </w:p>
        </w:tc>
        <w:tc>
          <w:tcPr>
            <w:tcW w:w="3240" w:type="dxa"/>
            <w:tcBorders>
              <w:top w:val="nil"/>
              <w:left w:val="nil"/>
              <w:bottom w:val="nil"/>
              <w:right w:val="nil"/>
            </w:tcBorders>
            <w:shd w:val="clear" w:color="auto" w:fill="auto"/>
            <w:noWrap/>
            <w:vAlign w:val="bottom"/>
            <w:hideMark/>
          </w:tcPr>
          <w:p w14:paraId="15049CA7"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tris(</w:t>
            </w:r>
            <w:proofErr w:type="spellStart"/>
            <w:r w:rsidRPr="00A66EF0">
              <w:rPr>
                <w:rFonts w:ascii="Calibri" w:eastAsia="Times New Roman" w:hAnsi="Calibri" w:cs="Calibri"/>
                <w:color w:val="000000"/>
                <w:sz w:val="20"/>
                <w:szCs w:val="20"/>
              </w:rPr>
              <w:t>chloroisopropyl</w:t>
            </w:r>
            <w:proofErr w:type="spellEnd"/>
            <w:r w:rsidRPr="00A66EF0">
              <w:rPr>
                <w:rFonts w:ascii="Calibri" w:eastAsia="Times New Roman" w:hAnsi="Calibri" w:cs="Calibri"/>
                <w:color w:val="000000"/>
                <w:sz w:val="20"/>
                <w:szCs w:val="20"/>
              </w:rPr>
              <w:t>)phosphate</w:t>
            </w:r>
          </w:p>
        </w:tc>
        <w:tc>
          <w:tcPr>
            <w:tcW w:w="5310" w:type="dxa"/>
            <w:tcBorders>
              <w:top w:val="nil"/>
              <w:left w:val="nil"/>
              <w:bottom w:val="nil"/>
              <w:right w:val="nil"/>
            </w:tcBorders>
            <w:shd w:val="clear" w:color="auto" w:fill="auto"/>
            <w:noWrap/>
            <w:vAlign w:val="bottom"/>
            <w:hideMark/>
          </w:tcPr>
          <w:p w14:paraId="6CFA7919"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CC(</w:t>
            </w:r>
            <w:proofErr w:type="spellStart"/>
            <w:r w:rsidRPr="00A66EF0">
              <w:rPr>
                <w:rFonts w:ascii="Calibri" w:eastAsia="Times New Roman" w:hAnsi="Calibri" w:cs="Calibri"/>
                <w:color w:val="000000"/>
                <w:sz w:val="20"/>
                <w:szCs w:val="20"/>
              </w:rPr>
              <w:t>CCl</w:t>
            </w:r>
            <w:proofErr w:type="spellEnd"/>
            <w:r w:rsidRPr="00A66EF0">
              <w:rPr>
                <w:rFonts w:ascii="Calibri" w:eastAsia="Times New Roman" w:hAnsi="Calibri" w:cs="Calibri"/>
                <w:color w:val="000000"/>
                <w:sz w:val="20"/>
                <w:szCs w:val="20"/>
              </w:rPr>
              <w:t>)OP(=</w:t>
            </w:r>
            <w:proofErr w:type="gramStart"/>
            <w:r w:rsidRPr="00A66EF0">
              <w:rPr>
                <w:rFonts w:ascii="Calibri" w:eastAsia="Times New Roman" w:hAnsi="Calibri" w:cs="Calibri"/>
                <w:color w:val="000000"/>
                <w:sz w:val="20"/>
                <w:szCs w:val="20"/>
              </w:rPr>
              <w:t>O)(</w:t>
            </w:r>
            <w:proofErr w:type="gramEnd"/>
            <w:r w:rsidRPr="00A66EF0">
              <w:rPr>
                <w:rFonts w:ascii="Calibri" w:eastAsia="Times New Roman" w:hAnsi="Calibri" w:cs="Calibri"/>
                <w:color w:val="000000"/>
                <w:sz w:val="20"/>
                <w:szCs w:val="20"/>
              </w:rPr>
              <w:t>OC(C)</w:t>
            </w:r>
            <w:proofErr w:type="spellStart"/>
            <w:r w:rsidRPr="00A66EF0">
              <w:rPr>
                <w:rFonts w:ascii="Calibri" w:eastAsia="Times New Roman" w:hAnsi="Calibri" w:cs="Calibri"/>
                <w:color w:val="000000"/>
                <w:sz w:val="20"/>
                <w:szCs w:val="20"/>
              </w:rPr>
              <w:t>CCl</w:t>
            </w:r>
            <w:proofErr w:type="spellEnd"/>
            <w:r w:rsidRPr="00A66EF0">
              <w:rPr>
                <w:rFonts w:ascii="Calibri" w:eastAsia="Times New Roman" w:hAnsi="Calibri" w:cs="Calibri"/>
                <w:color w:val="000000"/>
                <w:sz w:val="20"/>
                <w:szCs w:val="20"/>
              </w:rPr>
              <w:t>)OC(C)</w:t>
            </w:r>
            <w:proofErr w:type="spellStart"/>
            <w:r w:rsidRPr="00A66EF0">
              <w:rPr>
                <w:rFonts w:ascii="Calibri" w:eastAsia="Times New Roman" w:hAnsi="Calibri" w:cs="Calibri"/>
                <w:color w:val="000000"/>
                <w:sz w:val="20"/>
                <w:szCs w:val="20"/>
              </w:rPr>
              <w:t>CCl</w:t>
            </w:r>
            <w:proofErr w:type="spellEnd"/>
          </w:p>
        </w:tc>
      </w:tr>
      <w:tr w:rsidR="008F522A" w:rsidRPr="00A66EF0" w14:paraId="4A7514D9" w14:textId="77777777" w:rsidTr="008F522A">
        <w:trPr>
          <w:trHeight w:val="300"/>
        </w:trPr>
        <w:tc>
          <w:tcPr>
            <w:tcW w:w="1115" w:type="dxa"/>
            <w:tcBorders>
              <w:top w:val="nil"/>
              <w:left w:val="nil"/>
              <w:bottom w:val="nil"/>
              <w:right w:val="nil"/>
            </w:tcBorders>
            <w:shd w:val="clear" w:color="auto" w:fill="auto"/>
            <w:noWrap/>
            <w:vAlign w:val="bottom"/>
            <w:hideMark/>
          </w:tcPr>
          <w:p w14:paraId="45CB457E" w14:textId="77777777" w:rsidR="008F522A" w:rsidRPr="00A66EF0" w:rsidRDefault="008F522A" w:rsidP="00A66EF0">
            <w:pPr>
              <w:spacing w:after="0" w:line="240" w:lineRule="auto"/>
              <w:jc w:val="right"/>
              <w:rPr>
                <w:rFonts w:ascii="Calibri" w:eastAsia="Times New Roman" w:hAnsi="Calibri" w:cs="Calibri"/>
                <w:color w:val="000000"/>
                <w:sz w:val="20"/>
                <w:szCs w:val="20"/>
              </w:rPr>
            </w:pPr>
            <w:proofErr w:type="spellStart"/>
            <w:r w:rsidRPr="00A66EF0">
              <w:rPr>
                <w:rFonts w:ascii="Calibri" w:eastAsia="Times New Roman" w:hAnsi="Calibri" w:cs="Calibri"/>
                <w:color w:val="000000"/>
                <w:sz w:val="20"/>
                <w:szCs w:val="20"/>
              </w:rPr>
              <w:t>TDCiPP</w:t>
            </w:r>
            <w:proofErr w:type="spellEnd"/>
          </w:p>
        </w:tc>
        <w:tc>
          <w:tcPr>
            <w:tcW w:w="1226" w:type="dxa"/>
            <w:tcBorders>
              <w:top w:val="nil"/>
              <w:left w:val="nil"/>
              <w:bottom w:val="nil"/>
              <w:right w:val="nil"/>
            </w:tcBorders>
            <w:shd w:val="clear" w:color="auto" w:fill="auto"/>
            <w:noWrap/>
            <w:vAlign w:val="bottom"/>
            <w:hideMark/>
          </w:tcPr>
          <w:p w14:paraId="2235D827"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13674-87-8</w:t>
            </w:r>
          </w:p>
        </w:tc>
        <w:tc>
          <w:tcPr>
            <w:tcW w:w="3240" w:type="dxa"/>
            <w:tcBorders>
              <w:top w:val="nil"/>
              <w:left w:val="nil"/>
              <w:bottom w:val="nil"/>
              <w:right w:val="nil"/>
            </w:tcBorders>
            <w:shd w:val="clear" w:color="auto" w:fill="auto"/>
            <w:noWrap/>
            <w:vAlign w:val="bottom"/>
            <w:hideMark/>
          </w:tcPr>
          <w:p w14:paraId="06B220CB"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tris(1,3-</w:t>
            </w:r>
            <w:proofErr w:type="gramStart"/>
            <w:r w:rsidRPr="00A66EF0">
              <w:rPr>
                <w:rFonts w:ascii="Calibri" w:eastAsia="Times New Roman" w:hAnsi="Calibri" w:cs="Calibri"/>
                <w:color w:val="000000"/>
                <w:sz w:val="20"/>
                <w:szCs w:val="20"/>
              </w:rPr>
              <w:t>dichloroisopropyl)phosphate</w:t>
            </w:r>
            <w:proofErr w:type="gramEnd"/>
          </w:p>
        </w:tc>
        <w:tc>
          <w:tcPr>
            <w:tcW w:w="5310" w:type="dxa"/>
            <w:tcBorders>
              <w:top w:val="nil"/>
              <w:left w:val="nil"/>
              <w:bottom w:val="nil"/>
              <w:right w:val="nil"/>
            </w:tcBorders>
            <w:shd w:val="clear" w:color="auto" w:fill="auto"/>
            <w:noWrap/>
            <w:vAlign w:val="bottom"/>
            <w:hideMark/>
          </w:tcPr>
          <w:p w14:paraId="7AA0D04D"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C(C(</w:t>
            </w:r>
            <w:proofErr w:type="spellStart"/>
            <w:r w:rsidRPr="00A66EF0">
              <w:rPr>
                <w:rFonts w:ascii="Calibri" w:eastAsia="Times New Roman" w:hAnsi="Calibri" w:cs="Calibri"/>
                <w:color w:val="000000"/>
                <w:sz w:val="20"/>
                <w:szCs w:val="20"/>
              </w:rPr>
              <w:t>CCl</w:t>
            </w:r>
            <w:proofErr w:type="spellEnd"/>
            <w:r w:rsidRPr="00A66EF0">
              <w:rPr>
                <w:rFonts w:ascii="Calibri" w:eastAsia="Times New Roman" w:hAnsi="Calibri" w:cs="Calibri"/>
                <w:color w:val="000000"/>
                <w:sz w:val="20"/>
                <w:szCs w:val="20"/>
              </w:rPr>
              <w:t>)OP(=</w:t>
            </w:r>
            <w:proofErr w:type="gramStart"/>
            <w:r w:rsidRPr="00A66EF0">
              <w:rPr>
                <w:rFonts w:ascii="Calibri" w:eastAsia="Times New Roman" w:hAnsi="Calibri" w:cs="Calibri"/>
                <w:color w:val="000000"/>
                <w:sz w:val="20"/>
                <w:szCs w:val="20"/>
              </w:rPr>
              <w:t>O)(</w:t>
            </w:r>
            <w:proofErr w:type="gramEnd"/>
            <w:r w:rsidRPr="00A66EF0">
              <w:rPr>
                <w:rFonts w:ascii="Calibri" w:eastAsia="Times New Roman" w:hAnsi="Calibri" w:cs="Calibri"/>
                <w:color w:val="000000"/>
                <w:sz w:val="20"/>
                <w:szCs w:val="20"/>
              </w:rPr>
              <w:t>OC(</w:t>
            </w:r>
            <w:proofErr w:type="spellStart"/>
            <w:r w:rsidRPr="00A66EF0">
              <w:rPr>
                <w:rFonts w:ascii="Calibri" w:eastAsia="Times New Roman" w:hAnsi="Calibri" w:cs="Calibri"/>
                <w:color w:val="000000"/>
                <w:sz w:val="20"/>
                <w:szCs w:val="20"/>
              </w:rPr>
              <w:t>CCl</w:t>
            </w:r>
            <w:proofErr w:type="spellEnd"/>
            <w:r w:rsidRPr="00A66EF0">
              <w:rPr>
                <w:rFonts w:ascii="Calibri" w:eastAsia="Times New Roman" w:hAnsi="Calibri" w:cs="Calibri"/>
                <w:color w:val="000000"/>
                <w:sz w:val="20"/>
                <w:szCs w:val="20"/>
              </w:rPr>
              <w:t>)</w:t>
            </w:r>
            <w:proofErr w:type="spellStart"/>
            <w:r w:rsidRPr="00A66EF0">
              <w:rPr>
                <w:rFonts w:ascii="Calibri" w:eastAsia="Times New Roman" w:hAnsi="Calibri" w:cs="Calibri"/>
                <w:color w:val="000000"/>
                <w:sz w:val="20"/>
                <w:szCs w:val="20"/>
              </w:rPr>
              <w:t>CCl</w:t>
            </w:r>
            <w:proofErr w:type="spellEnd"/>
            <w:r w:rsidRPr="00A66EF0">
              <w:rPr>
                <w:rFonts w:ascii="Calibri" w:eastAsia="Times New Roman" w:hAnsi="Calibri" w:cs="Calibri"/>
                <w:color w:val="000000"/>
                <w:sz w:val="20"/>
                <w:szCs w:val="20"/>
              </w:rPr>
              <w:t>)OC(</w:t>
            </w:r>
            <w:proofErr w:type="spellStart"/>
            <w:r w:rsidRPr="00A66EF0">
              <w:rPr>
                <w:rFonts w:ascii="Calibri" w:eastAsia="Times New Roman" w:hAnsi="Calibri" w:cs="Calibri"/>
                <w:color w:val="000000"/>
                <w:sz w:val="20"/>
                <w:szCs w:val="20"/>
              </w:rPr>
              <w:t>CCl</w:t>
            </w:r>
            <w:proofErr w:type="spellEnd"/>
            <w:r w:rsidRPr="00A66EF0">
              <w:rPr>
                <w:rFonts w:ascii="Calibri" w:eastAsia="Times New Roman" w:hAnsi="Calibri" w:cs="Calibri"/>
                <w:color w:val="000000"/>
                <w:sz w:val="20"/>
                <w:szCs w:val="20"/>
              </w:rPr>
              <w:t>)</w:t>
            </w:r>
            <w:proofErr w:type="spellStart"/>
            <w:r w:rsidRPr="00A66EF0">
              <w:rPr>
                <w:rFonts w:ascii="Calibri" w:eastAsia="Times New Roman" w:hAnsi="Calibri" w:cs="Calibri"/>
                <w:color w:val="000000"/>
                <w:sz w:val="20"/>
                <w:szCs w:val="20"/>
              </w:rPr>
              <w:t>CCl</w:t>
            </w:r>
            <w:proofErr w:type="spellEnd"/>
            <w:r w:rsidRPr="00A66EF0">
              <w:rPr>
                <w:rFonts w:ascii="Calibri" w:eastAsia="Times New Roman" w:hAnsi="Calibri" w:cs="Calibri"/>
                <w:color w:val="000000"/>
                <w:sz w:val="20"/>
                <w:szCs w:val="20"/>
              </w:rPr>
              <w:t>)Cl</w:t>
            </w:r>
          </w:p>
        </w:tc>
      </w:tr>
      <w:tr w:rsidR="008F522A" w:rsidRPr="00A66EF0" w14:paraId="3932497D" w14:textId="77777777" w:rsidTr="008F522A">
        <w:trPr>
          <w:trHeight w:val="300"/>
        </w:trPr>
        <w:tc>
          <w:tcPr>
            <w:tcW w:w="1115" w:type="dxa"/>
            <w:tcBorders>
              <w:top w:val="nil"/>
              <w:left w:val="nil"/>
              <w:bottom w:val="nil"/>
              <w:right w:val="nil"/>
            </w:tcBorders>
            <w:shd w:val="clear" w:color="auto" w:fill="auto"/>
            <w:noWrap/>
            <w:vAlign w:val="bottom"/>
            <w:hideMark/>
          </w:tcPr>
          <w:p w14:paraId="08ADADB0" w14:textId="77777777" w:rsidR="008F522A" w:rsidRPr="00A66EF0" w:rsidRDefault="008F522A" w:rsidP="00A66EF0">
            <w:pPr>
              <w:spacing w:after="0" w:line="240" w:lineRule="auto"/>
              <w:jc w:val="right"/>
              <w:rPr>
                <w:rFonts w:ascii="Calibri" w:eastAsia="Times New Roman" w:hAnsi="Calibri" w:cs="Calibri"/>
                <w:color w:val="000000"/>
                <w:sz w:val="20"/>
                <w:szCs w:val="20"/>
              </w:rPr>
            </w:pPr>
            <w:proofErr w:type="spellStart"/>
            <w:r w:rsidRPr="00A66EF0">
              <w:rPr>
                <w:rFonts w:ascii="Calibri" w:eastAsia="Times New Roman" w:hAnsi="Calibri" w:cs="Calibri"/>
                <w:color w:val="000000"/>
                <w:sz w:val="20"/>
                <w:szCs w:val="20"/>
              </w:rPr>
              <w:t>TPhP</w:t>
            </w:r>
            <w:proofErr w:type="spellEnd"/>
          </w:p>
        </w:tc>
        <w:tc>
          <w:tcPr>
            <w:tcW w:w="1226" w:type="dxa"/>
            <w:tcBorders>
              <w:top w:val="nil"/>
              <w:left w:val="nil"/>
              <w:bottom w:val="nil"/>
              <w:right w:val="nil"/>
            </w:tcBorders>
            <w:shd w:val="clear" w:color="auto" w:fill="auto"/>
            <w:noWrap/>
            <w:vAlign w:val="bottom"/>
            <w:hideMark/>
          </w:tcPr>
          <w:p w14:paraId="09ECFF26"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115-86-6</w:t>
            </w:r>
          </w:p>
        </w:tc>
        <w:tc>
          <w:tcPr>
            <w:tcW w:w="3240" w:type="dxa"/>
            <w:tcBorders>
              <w:top w:val="nil"/>
              <w:left w:val="nil"/>
              <w:bottom w:val="nil"/>
              <w:right w:val="nil"/>
            </w:tcBorders>
            <w:shd w:val="clear" w:color="auto" w:fill="auto"/>
            <w:noWrap/>
            <w:vAlign w:val="bottom"/>
            <w:hideMark/>
          </w:tcPr>
          <w:p w14:paraId="64050FD9"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triphenyl phosphate</w:t>
            </w:r>
          </w:p>
        </w:tc>
        <w:tc>
          <w:tcPr>
            <w:tcW w:w="5310" w:type="dxa"/>
            <w:tcBorders>
              <w:top w:val="nil"/>
              <w:left w:val="nil"/>
              <w:bottom w:val="nil"/>
              <w:right w:val="nil"/>
            </w:tcBorders>
            <w:shd w:val="clear" w:color="auto" w:fill="auto"/>
            <w:noWrap/>
            <w:vAlign w:val="bottom"/>
            <w:hideMark/>
          </w:tcPr>
          <w:p w14:paraId="313DD6C4"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C1=CC=C(C=C</w:t>
            </w:r>
            <w:proofErr w:type="gramStart"/>
            <w:r w:rsidRPr="00A66EF0">
              <w:rPr>
                <w:rFonts w:ascii="Calibri" w:eastAsia="Times New Roman" w:hAnsi="Calibri" w:cs="Calibri"/>
                <w:color w:val="000000"/>
                <w:sz w:val="20"/>
                <w:szCs w:val="20"/>
              </w:rPr>
              <w:t>1)OP</w:t>
            </w:r>
            <w:proofErr w:type="gramEnd"/>
            <w:r w:rsidRPr="00A66EF0">
              <w:rPr>
                <w:rFonts w:ascii="Calibri" w:eastAsia="Times New Roman" w:hAnsi="Calibri" w:cs="Calibri"/>
                <w:color w:val="000000"/>
                <w:sz w:val="20"/>
                <w:szCs w:val="20"/>
              </w:rPr>
              <w:t>(=O)(OC2=CC=CC=C2)OC3=CC=CC=C3</w:t>
            </w:r>
          </w:p>
        </w:tc>
      </w:tr>
      <w:tr w:rsidR="008F522A" w:rsidRPr="00A66EF0" w14:paraId="404DCBD9" w14:textId="77777777" w:rsidTr="008F522A">
        <w:trPr>
          <w:trHeight w:val="300"/>
        </w:trPr>
        <w:tc>
          <w:tcPr>
            <w:tcW w:w="1115" w:type="dxa"/>
            <w:tcBorders>
              <w:top w:val="nil"/>
              <w:left w:val="nil"/>
              <w:bottom w:val="nil"/>
              <w:right w:val="nil"/>
            </w:tcBorders>
            <w:shd w:val="clear" w:color="auto" w:fill="auto"/>
            <w:noWrap/>
            <w:vAlign w:val="bottom"/>
            <w:hideMark/>
          </w:tcPr>
          <w:p w14:paraId="593A01BF" w14:textId="77777777" w:rsidR="008F522A" w:rsidRPr="00A66EF0" w:rsidRDefault="008F522A" w:rsidP="00A66EF0">
            <w:pPr>
              <w:spacing w:after="0" w:line="240" w:lineRule="auto"/>
              <w:jc w:val="right"/>
              <w:rPr>
                <w:rFonts w:ascii="Calibri" w:eastAsia="Times New Roman" w:hAnsi="Calibri" w:cs="Calibri"/>
                <w:color w:val="000000"/>
                <w:sz w:val="20"/>
                <w:szCs w:val="20"/>
              </w:rPr>
            </w:pPr>
            <w:proofErr w:type="spellStart"/>
            <w:r w:rsidRPr="00A66EF0">
              <w:rPr>
                <w:rFonts w:ascii="Calibri" w:eastAsia="Times New Roman" w:hAnsi="Calibri" w:cs="Calibri"/>
                <w:color w:val="000000"/>
                <w:sz w:val="20"/>
                <w:szCs w:val="20"/>
              </w:rPr>
              <w:t>TmCP</w:t>
            </w:r>
            <w:proofErr w:type="spellEnd"/>
          </w:p>
        </w:tc>
        <w:tc>
          <w:tcPr>
            <w:tcW w:w="1226" w:type="dxa"/>
            <w:tcBorders>
              <w:top w:val="nil"/>
              <w:left w:val="nil"/>
              <w:bottom w:val="nil"/>
              <w:right w:val="nil"/>
            </w:tcBorders>
            <w:shd w:val="clear" w:color="auto" w:fill="auto"/>
            <w:noWrap/>
            <w:vAlign w:val="bottom"/>
            <w:hideMark/>
          </w:tcPr>
          <w:p w14:paraId="2161E537"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563-04-2</w:t>
            </w:r>
          </w:p>
        </w:tc>
        <w:tc>
          <w:tcPr>
            <w:tcW w:w="3240" w:type="dxa"/>
            <w:tcBorders>
              <w:top w:val="nil"/>
              <w:left w:val="nil"/>
              <w:bottom w:val="nil"/>
              <w:right w:val="nil"/>
            </w:tcBorders>
            <w:shd w:val="clear" w:color="auto" w:fill="auto"/>
            <w:noWrap/>
            <w:vAlign w:val="bottom"/>
            <w:hideMark/>
          </w:tcPr>
          <w:p w14:paraId="43A326E1"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tris(3-methylphenyl) phosphate</w:t>
            </w:r>
          </w:p>
        </w:tc>
        <w:tc>
          <w:tcPr>
            <w:tcW w:w="5310" w:type="dxa"/>
            <w:tcBorders>
              <w:top w:val="nil"/>
              <w:left w:val="nil"/>
              <w:bottom w:val="nil"/>
              <w:right w:val="nil"/>
            </w:tcBorders>
            <w:shd w:val="clear" w:color="auto" w:fill="auto"/>
            <w:noWrap/>
            <w:vAlign w:val="bottom"/>
            <w:hideMark/>
          </w:tcPr>
          <w:p w14:paraId="65174C8B"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CC1=CC(=CC=C</w:t>
            </w:r>
            <w:proofErr w:type="gramStart"/>
            <w:r w:rsidRPr="00A66EF0">
              <w:rPr>
                <w:rFonts w:ascii="Calibri" w:eastAsia="Times New Roman" w:hAnsi="Calibri" w:cs="Calibri"/>
                <w:color w:val="000000"/>
                <w:sz w:val="20"/>
                <w:szCs w:val="20"/>
              </w:rPr>
              <w:t>1)OP</w:t>
            </w:r>
            <w:proofErr w:type="gramEnd"/>
            <w:r w:rsidRPr="00A66EF0">
              <w:rPr>
                <w:rFonts w:ascii="Calibri" w:eastAsia="Times New Roman" w:hAnsi="Calibri" w:cs="Calibri"/>
                <w:color w:val="000000"/>
                <w:sz w:val="20"/>
                <w:szCs w:val="20"/>
              </w:rPr>
              <w:t>(=O)(OC2=CC=CC(=C2)C)OC3=CC=CC(=C3)C</w:t>
            </w:r>
          </w:p>
        </w:tc>
      </w:tr>
      <w:tr w:rsidR="008F522A" w:rsidRPr="00A66EF0" w14:paraId="34AABFDB" w14:textId="77777777" w:rsidTr="008F522A">
        <w:trPr>
          <w:trHeight w:val="300"/>
        </w:trPr>
        <w:tc>
          <w:tcPr>
            <w:tcW w:w="1115" w:type="dxa"/>
            <w:tcBorders>
              <w:top w:val="nil"/>
              <w:left w:val="nil"/>
              <w:bottom w:val="nil"/>
              <w:right w:val="nil"/>
            </w:tcBorders>
            <w:shd w:val="clear" w:color="auto" w:fill="auto"/>
            <w:noWrap/>
            <w:vAlign w:val="bottom"/>
            <w:hideMark/>
          </w:tcPr>
          <w:p w14:paraId="039225FE" w14:textId="77777777" w:rsidR="008F522A" w:rsidRPr="00A66EF0" w:rsidRDefault="008F522A" w:rsidP="00A66EF0">
            <w:pPr>
              <w:spacing w:after="0" w:line="240" w:lineRule="auto"/>
              <w:jc w:val="right"/>
              <w:rPr>
                <w:rFonts w:ascii="Calibri" w:eastAsia="Times New Roman" w:hAnsi="Calibri" w:cs="Calibri"/>
                <w:color w:val="000000"/>
                <w:sz w:val="20"/>
                <w:szCs w:val="20"/>
              </w:rPr>
            </w:pPr>
            <w:r w:rsidRPr="00A66EF0">
              <w:rPr>
                <w:rFonts w:ascii="Calibri" w:eastAsia="Times New Roman" w:hAnsi="Calibri" w:cs="Calibri"/>
                <w:color w:val="000000"/>
                <w:sz w:val="20"/>
                <w:szCs w:val="20"/>
              </w:rPr>
              <w:t>TBOEP</w:t>
            </w:r>
          </w:p>
        </w:tc>
        <w:tc>
          <w:tcPr>
            <w:tcW w:w="1226" w:type="dxa"/>
            <w:tcBorders>
              <w:top w:val="nil"/>
              <w:left w:val="nil"/>
              <w:bottom w:val="nil"/>
              <w:right w:val="nil"/>
            </w:tcBorders>
            <w:shd w:val="clear" w:color="auto" w:fill="auto"/>
            <w:noWrap/>
            <w:vAlign w:val="bottom"/>
            <w:hideMark/>
          </w:tcPr>
          <w:p w14:paraId="18C832CE"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78-51-3</w:t>
            </w:r>
          </w:p>
        </w:tc>
        <w:tc>
          <w:tcPr>
            <w:tcW w:w="3240" w:type="dxa"/>
            <w:tcBorders>
              <w:top w:val="nil"/>
              <w:left w:val="nil"/>
              <w:bottom w:val="nil"/>
              <w:right w:val="nil"/>
            </w:tcBorders>
            <w:shd w:val="clear" w:color="auto" w:fill="auto"/>
            <w:noWrap/>
            <w:vAlign w:val="bottom"/>
            <w:hideMark/>
          </w:tcPr>
          <w:p w14:paraId="5351BEC9"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tris(2-</w:t>
            </w:r>
            <w:proofErr w:type="gramStart"/>
            <w:r w:rsidRPr="00A66EF0">
              <w:rPr>
                <w:rFonts w:ascii="Calibri" w:eastAsia="Times New Roman" w:hAnsi="Calibri" w:cs="Calibri"/>
                <w:color w:val="000000"/>
                <w:sz w:val="20"/>
                <w:szCs w:val="20"/>
              </w:rPr>
              <w:t>butoxyethyl)phosphate</w:t>
            </w:r>
            <w:proofErr w:type="gramEnd"/>
          </w:p>
        </w:tc>
        <w:tc>
          <w:tcPr>
            <w:tcW w:w="5310" w:type="dxa"/>
            <w:tcBorders>
              <w:top w:val="nil"/>
              <w:left w:val="nil"/>
              <w:bottom w:val="nil"/>
              <w:right w:val="nil"/>
            </w:tcBorders>
            <w:shd w:val="clear" w:color="auto" w:fill="auto"/>
            <w:noWrap/>
            <w:vAlign w:val="bottom"/>
            <w:hideMark/>
          </w:tcPr>
          <w:p w14:paraId="0210F678"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CCCCOCCOP(=</w:t>
            </w:r>
            <w:proofErr w:type="gramStart"/>
            <w:r w:rsidRPr="00A66EF0">
              <w:rPr>
                <w:rFonts w:ascii="Calibri" w:eastAsia="Times New Roman" w:hAnsi="Calibri" w:cs="Calibri"/>
                <w:color w:val="000000"/>
                <w:sz w:val="20"/>
                <w:szCs w:val="20"/>
              </w:rPr>
              <w:t>O)(</w:t>
            </w:r>
            <w:proofErr w:type="gramEnd"/>
            <w:r w:rsidRPr="00A66EF0">
              <w:rPr>
                <w:rFonts w:ascii="Calibri" w:eastAsia="Times New Roman" w:hAnsi="Calibri" w:cs="Calibri"/>
                <w:color w:val="000000"/>
                <w:sz w:val="20"/>
                <w:szCs w:val="20"/>
              </w:rPr>
              <w:t>OCCOCCCC)OCCOCCCC</w:t>
            </w:r>
          </w:p>
        </w:tc>
      </w:tr>
      <w:tr w:rsidR="008F522A" w:rsidRPr="00A66EF0" w14:paraId="7A3E5FB4" w14:textId="77777777" w:rsidTr="008F522A">
        <w:trPr>
          <w:trHeight w:val="300"/>
        </w:trPr>
        <w:tc>
          <w:tcPr>
            <w:tcW w:w="1115" w:type="dxa"/>
            <w:tcBorders>
              <w:top w:val="nil"/>
              <w:left w:val="nil"/>
              <w:bottom w:val="single" w:sz="4" w:space="0" w:color="auto"/>
              <w:right w:val="nil"/>
            </w:tcBorders>
            <w:shd w:val="clear" w:color="auto" w:fill="auto"/>
            <w:noWrap/>
            <w:vAlign w:val="bottom"/>
            <w:hideMark/>
          </w:tcPr>
          <w:p w14:paraId="158F1631" w14:textId="77777777" w:rsidR="008F522A" w:rsidRPr="00A66EF0" w:rsidRDefault="008F522A" w:rsidP="00A66EF0">
            <w:pPr>
              <w:spacing w:after="0" w:line="240" w:lineRule="auto"/>
              <w:jc w:val="right"/>
              <w:rPr>
                <w:rFonts w:ascii="Calibri" w:eastAsia="Times New Roman" w:hAnsi="Calibri" w:cs="Calibri"/>
                <w:color w:val="000000"/>
                <w:sz w:val="20"/>
                <w:szCs w:val="20"/>
              </w:rPr>
            </w:pPr>
            <w:r w:rsidRPr="00A66EF0">
              <w:rPr>
                <w:rFonts w:ascii="Calibri" w:eastAsia="Times New Roman" w:hAnsi="Calibri" w:cs="Calibri"/>
                <w:color w:val="000000"/>
                <w:sz w:val="20"/>
                <w:szCs w:val="20"/>
              </w:rPr>
              <w:t>TEHP</w:t>
            </w:r>
          </w:p>
        </w:tc>
        <w:tc>
          <w:tcPr>
            <w:tcW w:w="1226" w:type="dxa"/>
            <w:tcBorders>
              <w:top w:val="nil"/>
              <w:left w:val="nil"/>
              <w:bottom w:val="single" w:sz="4" w:space="0" w:color="auto"/>
              <w:right w:val="nil"/>
            </w:tcBorders>
            <w:shd w:val="clear" w:color="auto" w:fill="auto"/>
            <w:noWrap/>
            <w:vAlign w:val="bottom"/>
            <w:hideMark/>
          </w:tcPr>
          <w:p w14:paraId="2D532347"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78-42-2</w:t>
            </w:r>
          </w:p>
        </w:tc>
        <w:tc>
          <w:tcPr>
            <w:tcW w:w="3240" w:type="dxa"/>
            <w:tcBorders>
              <w:top w:val="nil"/>
              <w:left w:val="nil"/>
              <w:bottom w:val="single" w:sz="4" w:space="0" w:color="auto"/>
              <w:right w:val="nil"/>
            </w:tcBorders>
            <w:shd w:val="clear" w:color="auto" w:fill="auto"/>
            <w:noWrap/>
            <w:vAlign w:val="bottom"/>
            <w:hideMark/>
          </w:tcPr>
          <w:p w14:paraId="697D2D96"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tris(2-</w:t>
            </w:r>
            <w:proofErr w:type="gramStart"/>
            <w:r w:rsidRPr="00A66EF0">
              <w:rPr>
                <w:rFonts w:ascii="Calibri" w:eastAsia="Times New Roman" w:hAnsi="Calibri" w:cs="Calibri"/>
                <w:color w:val="000000"/>
                <w:sz w:val="20"/>
                <w:szCs w:val="20"/>
              </w:rPr>
              <w:t>ethylhexyl)phosphate</w:t>
            </w:r>
            <w:proofErr w:type="gramEnd"/>
          </w:p>
        </w:tc>
        <w:tc>
          <w:tcPr>
            <w:tcW w:w="5310" w:type="dxa"/>
            <w:tcBorders>
              <w:top w:val="nil"/>
              <w:left w:val="nil"/>
              <w:bottom w:val="single" w:sz="4" w:space="0" w:color="auto"/>
              <w:right w:val="nil"/>
            </w:tcBorders>
            <w:shd w:val="clear" w:color="auto" w:fill="auto"/>
            <w:noWrap/>
            <w:vAlign w:val="bottom"/>
            <w:hideMark/>
          </w:tcPr>
          <w:p w14:paraId="024AC8AF" w14:textId="77777777" w:rsidR="008F522A" w:rsidRPr="00A66EF0" w:rsidRDefault="008F522A" w:rsidP="00A66EF0">
            <w:pPr>
              <w:spacing w:after="0" w:line="240" w:lineRule="auto"/>
              <w:rPr>
                <w:rFonts w:ascii="Calibri" w:eastAsia="Times New Roman" w:hAnsi="Calibri" w:cs="Calibri"/>
                <w:color w:val="000000"/>
                <w:sz w:val="20"/>
                <w:szCs w:val="20"/>
              </w:rPr>
            </w:pPr>
            <w:r w:rsidRPr="00A66EF0">
              <w:rPr>
                <w:rFonts w:ascii="Calibri" w:eastAsia="Times New Roman" w:hAnsi="Calibri" w:cs="Calibri"/>
                <w:color w:val="000000"/>
                <w:sz w:val="20"/>
                <w:szCs w:val="20"/>
              </w:rPr>
              <w:t>CCCCC(CC)COP(=</w:t>
            </w:r>
            <w:proofErr w:type="gramStart"/>
            <w:r w:rsidRPr="00A66EF0">
              <w:rPr>
                <w:rFonts w:ascii="Calibri" w:eastAsia="Times New Roman" w:hAnsi="Calibri" w:cs="Calibri"/>
                <w:color w:val="000000"/>
                <w:sz w:val="20"/>
                <w:szCs w:val="20"/>
              </w:rPr>
              <w:t>O)(</w:t>
            </w:r>
            <w:proofErr w:type="gramEnd"/>
            <w:r w:rsidRPr="00A66EF0">
              <w:rPr>
                <w:rFonts w:ascii="Calibri" w:eastAsia="Times New Roman" w:hAnsi="Calibri" w:cs="Calibri"/>
                <w:color w:val="000000"/>
                <w:sz w:val="20"/>
                <w:szCs w:val="20"/>
              </w:rPr>
              <w:t>OCC(CC)CCCC)OCC(CC)CCCC</w:t>
            </w:r>
          </w:p>
        </w:tc>
      </w:tr>
    </w:tbl>
    <w:p w14:paraId="66A97DFB" w14:textId="0F30F26C" w:rsidR="00A66EF0" w:rsidRDefault="00A66EF0" w:rsidP="00A66EF0"/>
    <w:p w14:paraId="4243CB25" w14:textId="73B5F3C7" w:rsidR="00727AB7" w:rsidRPr="00727AB7" w:rsidRDefault="00727AB7" w:rsidP="00727AB7">
      <w:pPr>
        <w:pStyle w:val="Heading2"/>
      </w:pPr>
      <w:r>
        <w:lastRenderedPageBreak/>
        <w:t>Impervious Surface Index</w:t>
      </w:r>
    </w:p>
    <w:p w14:paraId="333F9A5F" w14:textId="77777777" w:rsidR="00F17F43" w:rsidRDefault="00F103F5" w:rsidP="00F17F43">
      <w:pPr>
        <w:pStyle w:val="ListParagraph"/>
        <w:keepNext/>
        <w:ind w:left="0"/>
      </w:pPr>
      <w:r>
        <w:rPr>
          <w:noProof/>
        </w:rPr>
        <w:drawing>
          <wp:inline distT="0" distB="0" distL="0" distR="0" wp14:anchorId="11BA0B7C" wp14:editId="660BF823">
            <wp:extent cx="5943600" cy="5560060"/>
            <wp:effectExtent l="0" t="0" r="0" b="2540"/>
            <wp:docPr id="1" name="Chart 1">
              <a:extLst xmlns:a="http://schemas.openxmlformats.org/drawingml/2006/main">
                <a:ext uri="{FF2B5EF4-FFF2-40B4-BE49-F238E27FC236}">
                  <a16:creationId xmlns:a16="http://schemas.microsoft.com/office/drawing/2014/main" id="{07F3806C-90E8-4794-80BB-F89AC38B998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9771F0F" w14:textId="42140BBB" w:rsidR="0002162A" w:rsidRDefault="00F17F43" w:rsidP="009918B6">
      <w:pPr>
        <w:pStyle w:val="Caption"/>
      </w:pPr>
      <w:bookmarkStart w:id="1" w:name="_Ref119318651"/>
      <w:r>
        <w:t>Figure S</w:t>
      </w:r>
      <w:r w:rsidR="00E90D29">
        <w:fldChar w:fldCharType="begin"/>
      </w:r>
      <w:r w:rsidR="00E90D29">
        <w:instrText xml:space="preserve"> SEQ Figure \* ARABIC </w:instrText>
      </w:r>
      <w:r w:rsidR="00E90D29">
        <w:fldChar w:fldCharType="separate"/>
      </w:r>
      <w:r w:rsidR="004E4C5D">
        <w:rPr>
          <w:noProof/>
        </w:rPr>
        <w:t>1</w:t>
      </w:r>
      <w:r w:rsidR="00E90D29">
        <w:rPr>
          <w:noProof/>
        </w:rPr>
        <w:fldChar w:fldCharType="end"/>
      </w:r>
      <w:bookmarkEnd w:id="1"/>
      <w:r>
        <w:t>: Relationship between the impervious surfaces index and population density in the built-up area (as described in the Methods). The brackets indicate the model boundary parameterization represented in each point.</w:t>
      </w:r>
      <w:r w:rsidR="0002162A">
        <w:br w:type="page"/>
      </w:r>
    </w:p>
    <w:p w14:paraId="01DEFBB8" w14:textId="648AD997" w:rsidR="00F15317" w:rsidRDefault="000D2F3A" w:rsidP="005A3349">
      <w:pPr>
        <w:pStyle w:val="Heading1"/>
      </w:pPr>
      <w:r>
        <w:lastRenderedPageBreak/>
        <w:t>Additional Results</w:t>
      </w:r>
    </w:p>
    <w:p w14:paraId="3DCA6C51" w14:textId="65D88243" w:rsidR="0022206A" w:rsidRPr="0022206A" w:rsidRDefault="005A3349" w:rsidP="0022206A">
      <w:pPr>
        <w:pStyle w:val="Heading2"/>
      </w:pPr>
      <w:r>
        <w:t>S</w:t>
      </w:r>
      <w:r w:rsidR="0022206A">
        <w:t>4.1 Emissions Regressions</w:t>
      </w:r>
    </w:p>
    <w:p w14:paraId="46CDEFB7" w14:textId="26195566" w:rsidR="0022206A" w:rsidRDefault="00F15317" w:rsidP="0022206A">
      <w:pPr>
        <w:rPr>
          <w:rFonts w:ascii="Cambria Math" w:hAnsi="Cambria Math"/>
        </w:rPr>
      </w:pPr>
      <w:r>
        <w:t xml:space="preserve">We also found that emissions were mostly controlled by the magnitude of local sources rather than by transport limitations or environmental factors. Correlations </w:t>
      </w:r>
      <w:r w:rsidR="004E4C5D">
        <w:t>Figure ED</w:t>
      </w:r>
      <w:r>
        <w:t xml:space="preserve"> SI Table S3) between the estimated emissions and the factors that our sensitivity analysis indicated were controls of contaminant fate (</w:t>
      </w:r>
      <w:r w:rsidR="004227B7">
        <w:fldChar w:fldCharType="begin"/>
      </w:r>
      <w:r w:rsidR="004227B7">
        <w:instrText xml:space="preserve"> REF _Ref119318651 \h </w:instrText>
      </w:r>
      <w:r w:rsidR="004227B7">
        <w:fldChar w:fldCharType="separate"/>
      </w:r>
      <w:r w:rsidR="004227B7">
        <w:t>Figure S</w:t>
      </w:r>
      <w:r w:rsidR="004227B7">
        <w:rPr>
          <w:noProof/>
        </w:rPr>
        <w:t>1</w:t>
      </w:r>
      <w:r w:rsidR="004227B7">
        <w:fldChar w:fldCharType="end"/>
      </w:r>
      <w:r>
        <w:t xml:space="preserve">, SI Section S2) were generally not significant. The main exceptions were the relative humidity, (p&lt;0.05 for TBOEP, TCIPP, </w:t>
      </w:r>
      <w:proofErr w:type="spellStart"/>
      <w:r>
        <w:t>TmCP</w:t>
      </w:r>
      <w:proofErr w:type="spellEnd"/>
      <w:r>
        <w:t xml:space="preserve">, and </w:t>
      </w:r>
      <w:r w:rsidRPr="00234A47">
        <w:rPr>
          <w:rFonts w:cstheme="minorHAnsi"/>
        </w:rPr>
        <w:t>∑</w:t>
      </w:r>
      <w:r w:rsidRPr="00234A47">
        <w:rPr>
          <w:vertAlign w:val="subscript"/>
        </w:rPr>
        <w:t>10</w:t>
      </w:r>
      <w:r>
        <w:t xml:space="preserve">OPEs; r² from 0.17 – 0.30) and the precipitation rate (p&lt;0.05 for TBOEP and </w:t>
      </w:r>
      <w:proofErr w:type="spellStart"/>
      <w:r>
        <w:t>TmCP</w:t>
      </w:r>
      <w:proofErr w:type="spellEnd"/>
      <w:r>
        <w:t>; r² = 0.20 and 0.23, respectively) of the cities. Mechanically, increases in these variables wash contaminants out of the air, lowering the fugacity in the air compartment, which could lead to more emissions due to the larger fugacity gradient between the air and any products containing OPEs. We note that this effect would likely be small, and so this correlation may not imply causation.</w:t>
      </w:r>
      <w:r w:rsidRPr="00B97481">
        <w:rPr>
          <w:rFonts w:ascii="Cambria Math" w:hAnsi="Cambria Math"/>
        </w:rPr>
        <w:t xml:space="preserve"> </w:t>
      </w:r>
    </w:p>
    <w:p w14:paraId="3BBE2892" w14:textId="77777777" w:rsidR="0022206A" w:rsidRDefault="0022206A">
      <w:pPr>
        <w:rPr>
          <w:rFonts w:ascii="Cambria Math" w:hAnsi="Cambria Math"/>
        </w:rPr>
      </w:pPr>
      <w:r>
        <w:rPr>
          <w:rFonts w:ascii="Cambria Math" w:hAnsi="Cambria Math"/>
        </w:rPr>
        <w:br w:type="page"/>
      </w:r>
    </w:p>
    <w:p w14:paraId="245E3721" w14:textId="0108FDCA" w:rsidR="0002162A" w:rsidRDefault="0002162A" w:rsidP="0002162A">
      <w:pPr>
        <w:pStyle w:val="Caption"/>
        <w:keepNext/>
      </w:pPr>
      <w:r>
        <w:lastRenderedPageBreak/>
        <w:t>Table S</w:t>
      </w:r>
      <w:r w:rsidR="00E90D29">
        <w:fldChar w:fldCharType="begin"/>
      </w:r>
      <w:r w:rsidR="00E90D29">
        <w:instrText xml:space="preserve"> SEQ Table \* ARABIC </w:instrText>
      </w:r>
      <w:r w:rsidR="00E90D29">
        <w:fldChar w:fldCharType="separate"/>
      </w:r>
      <w:r w:rsidR="004E4C5D">
        <w:rPr>
          <w:noProof/>
        </w:rPr>
        <w:t>3</w:t>
      </w:r>
      <w:r w:rsidR="00E90D29">
        <w:rPr>
          <w:noProof/>
        </w:rPr>
        <w:fldChar w:fldCharType="end"/>
      </w:r>
      <w:r>
        <w:t xml:space="preserve">: </w:t>
      </w:r>
      <w:r w:rsidR="00666A5D">
        <w:t>Regressions between emissions proxies (</w:t>
      </w:r>
      <w:r w:rsidR="00666A5D">
        <w:rPr>
          <w:rFonts w:cstheme="minorHAnsi"/>
        </w:rPr>
        <w:t xml:space="preserve">∑GDP, </w:t>
      </w:r>
      <w:r w:rsidR="00666A5D">
        <w:t>Gross Domestic Product (GDP) at 2015 purchasing power parity, GDP per capita at 2015</w:t>
      </w:r>
      <w:r w:rsidR="00666A5D" w:rsidRPr="00666A5D">
        <w:t xml:space="preserve"> </w:t>
      </w:r>
      <w:r w:rsidR="00666A5D">
        <w:t xml:space="preserve">purchasing power parity, </w:t>
      </w:r>
      <w:r w:rsidR="00666A5D" w:rsidRPr="00666A5D">
        <w:t>∑CO</w:t>
      </w:r>
      <w:r w:rsidR="00666A5D" w:rsidRPr="00666A5D">
        <w:rPr>
          <w:vertAlign w:val="subscript"/>
        </w:rPr>
        <w:t>2</w:t>
      </w:r>
      <w:r w:rsidR="00666A5D" w:rsidRPr="00666A5D">
        <w:t xml:space="preserve"> Emissions</w:t>
      </w:r>
      <w:r w:rsidR="00666A5D">
        <w:t>, anthropogenic emissions of greenhouse gases as CO</w:t>
      </w:r>
      <w:r w:rsidR="00666A5D">
        <w:rPr>
          <w:vertAlign w:val="subscript"/>
        </w:rPr>
        <w:t>2</w:t>
      </w:r>
      <w:r w:rsidR="00666A5D">
        <w:t xml:space="preserve"> equivalents, and the proportion of anthropogenic CO</w:t>
      </w:r>
      <w:r w:rsidR="00666A5D">
        <w:rPr>
          <w:vertAlign w:val="subscript"/>
        </w:rPr>
        <w:t>2</w:t>
      </w:r>
      <w:r w:rsidR="00666A5D">
        <w:t xml:space="preserve"> equivalent emissions from the Solvents and Products, Energy for Buildings, Solid Waste Incineration, Non-Metallic Minerals Production, and Combustion for Manufacturing sectors, as described by EDGAR</w:t>
      </w:r>
      <w:r w:rsidR="00666A5D">
        <w:fldChar w:fldCharType="begin"/>
      </w:r>
      <w:r w:rsidR="00666A5D">
        <w:instrText xml:space="preserve"> ADDIN ZOTERO_ITEM CSL_CITATION {"citationID":"n9f5XsFI","properties":{"formattedCitation":"\\super 31\\nosupersub{}","plainCitation":"31","noteIndex":0},"citationItems":[{"id":17868,"uris":["http://zotero.org/users/8676880/items/KP2MM4KK"],"itemData":{"id":17868,"type":"book","event-place":"LU","language":"en","publisher":"Publications Office","publisher-place":"LU","source":"DOI.org (CSL JSON)","title":"Global emission inventories in the Emission Database for Global Atmospheric Research (EDGAR): manual (I) gridding: EDGAR emissions distribution on global gridmaps.","title-short":"Global emission inventories in the Emission Database for Global Atmospheric Research (EDGAR)","URL":"https://data.europa.eu/doi/10.2788/81454","author":[{"literal":"European Commission. Joint Research Centre. Institute for Environment and Sustainability."}],"accessed":{"date-parts":[["2022",3,2]]},"issued":{"date-parts":[["2012"]]}}}],"schema":"https://github.com/citation-style-language/schema/raw/master/csl-citation.json"} </w:instrText>
      </w:r>
      <w:r w:rsidR="00666A5D">
        <w:fldChar w:fldCharType="separate"/>
      </w:r>
      <w:r w:rsidR="00666A5D" w:rsidRPr="0007114B">
        <w:rPr>
          <w:rFonts w:ascii="Calibri" w:hAnsi="Calibri" w:cs="Calibri"/>
          <w:szCs w:val="24"/>
          <w:vertAlign w:val="superscript"/>
        </w:rPr>
        <w:t>31</w:t>
      </w:r>
      <w:r w:rsidR="00666A5D">
        <w:fldChar w:fldCharType="end"/>
      </w:r>
      <w:r w:rsidR="00666A5D">
        <w:t>)</w:t>
      </w:r>
      <w:r w:rsidR="00C03BDF">
        <w:t>,</w:t>
      </w:r>
      <w:r w:rsidR="00E535BD">
        <w:t xml:space="preserve"> and transport controls (relative humidity %, precipitation rate mm/</w:t>
      </w:r>
      <w:proofErr w:type="spellStart"/>
      <w:r w:rsidR="00E535BD">
        <w:t>hr</w:t>
      </w:r>
      <w:proofErr w:type="spellEnd"/>
      <w:r w:rsidR="00E535BD">
        <w:t>, area of vegetation m²)</w:t>
      </w:r>
      <w:bookmarkStart w:id="2" w:name="_GoBack"/>
      <w:bookmarkEnd w:id="2"/>
      <w:r w:rsidR="00666A5D">
        <w:t xml:space="preserve"> vs the log</w:t>
      </w:r>
      <w:r w:rsidR="00666A5D">
        <w:rPr>
          <w:vertAlign w:val="subscript"/>
        </w:rPr>
        <w:t>10</w:t>
      </w:r>
      <w:r w:rsidR="00666A5D">
        <w:t xml:space="preserve"> transformed emissions flux (kg m</w:t>
      </w:r>
      <w:r w:rsidR="00666A5D">
        <w:rPr>
          <w:vertAlign w:val="superscript"/>
        </w:rPr>
        <w:t>-2</w:t>
      </w:r>
      <w:r w:rsidR="00666A5D">
        <w:t xml:space="preserve"> yr</w:t>
      </w:r>
      <w:r w:rsidR="00666A5D">
        <w:rPr>
          <w:vertAlign w:val="superscript"/>
        </w:rPr>
        <w:t>-1</w:t>
      </w:r>
      <w:r w:rsidR="00666A5D">
        <w:t>) for the specified OPE.</w:t>
      </w:r>
    </w:p>
    <w:tbl>
      <w:tblPr>
        <w:tblW w:w="10364" w:type="dxa"/>
        <w:tblInd w:w="-630" w:type="dxa"/>
        <w:tblLook w:val="04A0" w:firstRow="1" w:lastRow="0" w:firstColumn="1" w:lastColumn="0" w:noHBand="0" w:noVBand="1"/>
      </w:tblPr>
      <w:tblGrid>
        <w:gridCol w:w="1120"/>
        <w:gridCol w:w="3880"/>
        <w:gridCol w:w="1120"/>
        <w:gridCol w:w="720"/>
        <w:gridCol w:w="682"/>
        <w:gridCol w:w="960"/>
        <w:gridCol w:w="571"/>
        <w:gridCol w:w="602"/>
        <w:gridCol w:w="685"/>
        <w:gridCol w:w="24"/>
      </w:tblGrid>
      <w:tr w:rsidR="00F15317" w:rsidRPr="0002162A" w14:paraId="4ABD9C8E" w14:textId="77777777" w:rsidTr="00F15317">
        <w:trPr>
          <w:trHeight w:val="300"/>
        </w:trPr>
        <w:tc>
          <w:tcPr>
            <w:tcW w:w="1120" w:type="dxa"/>
            <w:tcBorders>
              <w:top w:val="nil"/>
              <w:left w:val="nil"/>
              <w:bottom w:val="single" w:sz="4" w:space="0" w:color="auto"/>
              <w:right w:val="nil"/>
            </w:tcBorders>
            <w:shd w:val="clear" w:color="auto" w:fill="auto"/>
            <w:noWrap/>
            <w:vAlign w:val="bottom"/>
            <w:hideMark/>
          </w:tcPr>
          <w:p w14:paraId="1CF1C46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Regression</w:t>
            </w:r>
          </w:p>
        </w:tc>
        <w:tc>
          <w:tcPr>
            <w:tcW w:w="3880" w:type="dxa"/>
            <w:tcBorders>
              <w:top w:val="nil"/>
              <w:left w:val="nil"/>
              <w:bottom w:val="single" w:sz="4" w:space="0" w:color="auto"/>
              <w:right w:val="nil"/>
            </w:tcBorders>
            <w:shd w:val="clear" w:color="auto" w:fill="auto"/>
            <w:noWrap/>
            <w:vAlign w:val="bottom"/>
            <w:hideMark/>
          </w:tcPr>
          <w:p w14:paraId="020957A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Independent Variable</w:t>
            </w:r>
          </w:p>
        </w:tc>
        <w:tc>
          <w:tcPr>
            <w:tcW w:w="1120" w:type="dxa"/>
            <w:tcBorders>
              <w:top w:val="nil"/>
              <w:left w:val="nil"/>
              <w:bottom w:val="single" w:sz="4" w:space="0" w:color="auto"/>
              <w:right w:val="nil"/>
            </w:tcBorders>
            <w:shd w:val="clear" w:color="auto" w:fill="auto"/>
            <w:noWrap/>
            <w:vAlign w:val="bottom"/>
            <w:hideMark/>
          </w:tcPr>
          <w:p w14:paraId="3B748DB7" w14:textId="77777777" w:rsidR="00F15317" w:rsidRPr="0002162A" w:rsidRDefault="00F15317" w:rsidP="0002162A">
            <w:pPr>
              <w:spacing w:after="0" w:line="240" w:lineRule="auto"/>
              <w:rPr>
                <w:rFonts w:ascii="Calibri" w:eastAsia="Times New Roman" w:hAnsi="Calibri" w:cs="Calibri"/>
                <w:color w:val="000000"/>
                <w:sz w:val="20"/>
                <w:szCs w:val="20"/>
              </w:rPr>
            </w:pPr>
            <w:r w:rsidRPr="0002162A">
              <w:rPr>
                <w:rFonts w:ascii="Calibri" w:eastAsia="Times New Roman" w:hAnsi="Calibri" w:cs="Calibri"/>
                <w:color w:val="000000"/>
                <w:sz w:val="20"/>
                <w:szCs w:val="20"/>
              </w:rPr>
              <w:t>m1</w:t>
            </w:r>
          </w:p>
        </w:tc>
        <w:tc>
          <w:tcPr>
            <w:tcW w:w="720" w:type="dxa"/>
            <w:tcBorders>
              <w:top w:val="nil"/>
              <w:left w:val="nil"/>
              <w:bottom w:val="single" w:sz="4" w:space="0" w:color="auto"/>
              <w:right w:val="nil"/>
            </w:tcBorders>
            <w:shd w:val="clear" w:color="auto" w:fill="auto"/>
            <w:noWrap/>
            <w:vAlign w:val="bottom"/>
            <w:hideMark/>
          </w:tcPr>
          <w:p w14:paraId="016D7C7B" w14:textId="5EDC8829" w:rsidR="00F15317" w:rsidRPr="0002162A" w:rsidRDefault="00F15317" w:rsidP="0002162A">
            <w:pPr>
              <w:spacing w:after="0" w:line="240" w:lineRule="auto"/>
              <w:rPr>
                <w:rFonts w:ascii="Calibri" w:eastAsia="Times New Roman" w:hAnsi="Calibri" w:cs="Calibri"/>
                <w:color w:val="000000"/>
                <w:sz w:val="20"/>
                <w:szCs w:val="20"/>
              </w:rPr>
            </w:pPr>
            <w:r w:rsidRPr="0002162A">
              <w:rPr>
                <w:rFonts w:ascii="Calibri" w:eastAsia="Times New Roman" w:hAnsi="Calibri" w:cs="Calibri"/>
                <w:color w:val="000000"/>
                <w:sz w:val="20"/>
                <w:szCs w:val="20"/>
              </w:rPr>
              <w:t>b</w:t>
            </w:r>
          </w:p>
        </w:tc>
        <w:tc>
          <w:tcPr>
            <w:tcW w:w="682" w:type="dxa"/>
            <w:tcBorders>
              <w:top w:val="nil"/>
              <w:left w:val="nil"/>
              <w:bottom w:val="single" w:sz="4" w:space="0" w:color="auto"/>
              <w:right w:val="nil"/>
            </w:tcBorders>
            <w:shd w:val="clear" w:color="auto" w:fill="auto"/>
            <w:noWrap/>
            <w:vAlign w:val="bottom"/>
            <w:hideMark/>
          </w:tcPr>
          <w:p w14:paraId="604D1A60" w14:textId="77777777" w:rsidR="00F15317" w:rsidRPr="0002162A" w:rsidRDefault="00F15317" w:rsidP="0002162A">
            <w:pPr>
              <w:spacing w:after="0" w:line="240" w:lineRule="auto"/>
              <w:rPr>
                <w:rFonts w:ascii="Calibri" w:eastAsia="Times New Roman" w:hAnsi="Calibri" w:cs="Calibri"/>
                <w:color w:val="000000"/>
                <w:sz w:val="20"/>
                <w:szCs w:val="20"/>
              </w:rPr>
            </w:pPr>
            <w:r w:rsidRPr="0002162A">
              <w:rPr>
                <w:rFonts w:ascii="Calibri" w:eastAsia="Times New Roman" w:hAnsi="Calibri" w:cs="Calibri"/>
                <w:color w:val="000000"/>
                <w:sz w:val="20"/>
                <w:szCs w:val="20"/>
              </w:rPr>
              <w:t>p_m1</w:t>
            </w:r>
          </w:p>
        </w:tc>
        <w:tc>
          <w:tcPr>
            <w:tcW w:w="960" w:type="dxa"/>
            <w:tcBorders>
              <w:top w:val="nil"/>
              <w:left w:val="nil"/>
              <w:bottom w:val="single" w:sz="4" w:space="0" w:color="auto"/>
              <w:right w:val="nil"/>
            </w:tcBorders>
            <w:shd w:val="clear" w:color="auto" w:fill="auto"/>
            <w:noWrap/>
            <w:vAlign w:val="bottom"/>
            <w:hideMark/>
          </w:tcPr>
          <w:p w14:paraId="08F9CEB7" w14:textId="77777777" w:rsidR="00F15317" w:rsidRPr="0002162A" w:rsidRDefault="00F15317" w:rsidP="0002162A">
            <w:pPr>
              <w:spacing w:after="0" w:line="240" w:lineRule="auto"/>
              <w:rPr>
                <w:rFonts w:ascii="Calibri" w:eastAsia="Times New Roman" w:hAnsi="Calibri" w:cs="Calibri"/>
                <w:color w:val="000000"/>
                <w:sz w:val="20"/>
                <w:szCs w:val="20"/>
              </w:rPr>
            </w:pPr>
            <w:proofErr w:type="spellStart"/>
            <w:r w:rsidRPr="0002162A">
              <w:rPr>
                <w:rFonts w:ascii="Calibri" w:eastAsia="Times New Roman" w:hAnsi="Calibri" w:cs="Calibri"/>
                <w:color w:val="000000"/>
                <w:sz w:val="20"/>
                <w:szCs w:val="20"/>
              </w:rPr>
              <w:t>p_b</w:t>
            </w:r>
            <w:proofErr w:type="spellEnd"/>
          </w:p>
        </w:tc>
        <w:tc>
          <w:tcPr>
            <w:tcW w:w="571" w:type="dxa"/>
            <w:tcBorders>
              <w:top w:val="nil"/>
              <w:left w:val="nil"/>
              <w:bottom w:val="single" w:sz="4" w:space="0" w:color="auto"/>
              <w:right w:val="nil"/>
            </w:tcBorders>
            <w:shd w:val="clear" w:color="auto" w:fill="auto"/>
            <w:noWrap/>
            <w:vAlign w:val="bottom"/>
            <w:hideMark/>
          </w:tcPr>
          <w:p w14:paraId="727BE864" w14:textId="77777777" w:rsidR="00F15317" w:rsidRPr="0002162A" w:rsidRDefault="00F15317" w:rsidP="0002162A">
            <w:pPr>
              <w:spacing w:after="0" w:line="240" w:lineRule="auto"/>
              <w:rPr>
                <w:rFonts w:ascii="Calibri" w:eastAsia="Times New Roman" w:hAnsi="Calibri" w:cs="Calibri"/>
                <w:color w:val="000000"/>
                <w:sz w:val="20"/>
                <w:szCs w:val="20"/>
              </w:rPr>
            </w:pPr>
            <w:r w:rsidRPr="0002162A">
              <w:rPr>
                <w:rFonts w:ascii="Calibri" w:eastAsia="Times New Roman" w:hAnsi="Calibri" w:cs="Calibri"/>
                <w:color w:val="000000"/>
                <w:sz w:val="20"/>
                <w:szCs w:val="20"/>
              </w:rPr>
              <w:t>r²</w:t>
            </w:r>
          </w:p>
        </w:tc>
        <w:tc>
          <w:tcPr>
            <w:tcW w:w="602" w:type="dxa"/>
            <w:tcBorders>
              <w:top w:val="nil"/>
              <w:left w:val="nil"/>
              <w:bottom w:val="single" w:sz="4" w:space="0" w:color="auto"/>
              <w:right w:val="nil"/>
            </w:tcBorders>
            <w:shd w:val="clear" w:color="auto" w:fill="auto"/>
            <w:noWrap/>
            <w:vAlign w:val="bottom"/>
            <w:hideMark/>
          </w:tcPr>
          <w:p w14:paraId="168F4116" w14:textId="77777777" w:rsidR="00F15317" w:rsidRPr="0002162A" w:rsidRDefault="00F15317" w:rsidP="0002162A">
            <w:pPr>
              <w:spacing w:after="0" w:line="240" w:lineRule="auto"/>
              <w:rPr>
                <w:rFonts w:ascii="Calibri" w:eastAsia="Times New Roman" w:hAnsi="Calibri" w:cs="Calibri"/>
                <w:color w:val="000000"/>
                <w:sz w:val="20"/>
                <w:szCs w:val="20"/>
              </w:rPr>
            </w:pPr>
            <w:r w:rsidRPr="0002162A">
              <w:rPr>
                <w:rFonts w:ascii="Calibri" w:eastAsia="Times New Roman" w:hAnsi="Calibri" w:cs="Calibri"/>
                <w:color w:val="000000"/>
                <w:sz w:val="20"/>
                <w:szCs w:val="20"/>
              </w:rPr>
              <w:t>adjr²</w:t>
            </w:r>
          </w:p>
        </w:tc>
        <w:tc>
          <w:tcPr>
            <w:tcW w:w="709" w:type="dxa"/>
            <w:gridSpan w:val="2"/>
            <w:tcBorders>
              <w:top w:val="nil"/>
              <w:left w:val="nil"/>
              <w:bottom w:val="single" w:sz="4" w:space="0" w:color="auto"/>
              <w:right w:val="nil"/>
            </w:tcBorders>
            <w:shd w:val="clear" w:color="auto" w:fill="auto"/>
            <w:noWrap/>
            <w:vAlign w:val="bottom"/>
            <w:hideMark/>
          </w:tcPr>
          <w:p w14:paraId="10C0AD1B" w14:textId="77777777" w:rsidR="00F15317" w:rsidRPr="0002162A" w:rsidRDefault="00F15317" w:rsidP="0002162A">
            <w:pPr>
              <w:spacing w:after="0" w:line="240" w:lineRule="auto"/>
              <w:rPr>
                <w:rFonts w:ascii="Calibri" w:eastAsia="Times New Roman" w:hAnsi="Calibri" w:cs="Calibri"/>
                <w:color w:val="000000"/>
                <w:sz w:val="20"/>
                <w:szCs w:val="20"/>
              </w:rPr>
            </w:pPr>
            <w:proofErr w:type="spellStart"/>
            <w:r w:rsidRPr="0002162A">
              <w:rPr>
                <w:rFonts w:ascii="Calibri" w:eastAsia="Times New Roman" w:hAnsi="Calibri" w:cs="Calibri"/>
                <w:color w:val="000000"/>
                <w:sz w:val="20"/>
                <w:szCs w:val="20"/>
              </w:rPr>
              <w:t>p_reg</w:t>
            </w:r>
            <w:proofErr w:type="spellEnd"/>
          </w:p>
        </w:tc>
      </w:tr>
      <w:tr w:rsidR="00F15317" w:rsidRPr="0002162A" w14:paraId="5AA804B3" w14:textId="77777777" w:rsidTr="00F15317">
        <w:trPr>
          <w:trHeight w:val="300"/>
        </w:trPr>
        <w:tc>
          <w:tcPr>
            <w:tcW w:w="1120" w:type="dxa"/>
            <w:tcBorders>
              <w:top w:val="nil"/>
              <w:left w:val="nil"/>
              <w:bottom w:val="nil"/>
              <w:right w:val="nil"/>
            </w:tcBorders>
            <w:shd w:val="clear" w:color="auto" w:fill="auto"/>
            <w:noWrap/>
            <w:vAlign w:val="bottom"/>
            <w:hideMark/>
          </w:tcPr>
          <w:p w14:paraId="672BD2D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∑OPEs</w:t>
            </w:r>
          </w:p>
        </w:tc>
        <w:tc>
          <w:tcPr>
            <w:tcW w:w="3880" w:type="dxa"/>
            <w:tcBorders>
              <w:top w:val="nil"/>
              <w:left w:val="nil"/>
              <w:bottom w:val="nil"/>
              <w:right w:val="nil"/>
            </w:tcBorders>
            <w:shd w:val="clear" w:color="auto" w:fill="auto"/>
            <w:noWrap/>
            <w:vAlign w:val="center"/>
            <w:hideMark/>
          </w:tcPr>
          <w:p w14:paraId="174396F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w:t>
            </w:r>
          </w:p>
        </w:tc>
        <w:tc>
          <w:tcPr>
            <w:tcW w:w="1120" w:type="dxa"/>
            <w:tcBorders>
              <w:top w:val="nil"/>
              <w:left w:val="nil"/>
              <w:bottom w:val="nil"/>
              <w:right w:val="nil"/>
            </w:tcBorders>
            <w:shd w:val="clear" w:color="auto" w:fill="auto"/>
            <w:noWrap/>
            <w:vAlign w:val="bottom"/>
            <w:hideMark/>
          </w:tcPr>
          <w:p w14:paraId="1703189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2.46E-12</w:t>
            </w:r>
          </w:p>
        </w:tc>
        <w:tc>
          <w:tcPr>
            <w:tcW w:w="720" w:type="dxa"/>
            <w:tcBorders>
              <w:top w:val="nil"/>
              <w:left w:val="nil"/>
              <w:bottom w:val="nil"/>
              <w:right w:val="nil"/>
            </w:tcBorders>
            <w:shd w:val="clear" w:color="auto" w:fill="auto"/>
            <w:noWrap/>
            <w:vAlign w:val="bottom"/>
            <w:hideMark/>
          </w:tcPr>
          <w:p w14:paraId="6CD2F553" w14:textId="0AA1DA50"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-5.98</w:t>
            </w:r>
          </w:p>
        </w:tc>
        <w:tc>
          <w:tcPr>
            <w:tcW w:w="682" w:type="dxa"/>
            <w:tcBorders>
              <w:top w:val="nil"/>
              <w:left w:val="nil"/>
              <w:bottom w:val="nil"/>
              <w:right w:val="nil"/>
            </w:tcBorders>
            <w:shd w:val="clear" w:color="auto" w:fill="auto"/>
            <w:noWrap/>
            <w:vAlign w:val="bottom"/>
            <w:hideMark/>
          </w:tcPr>
          <w:p w14:paraId="741A724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0.00</w:t>
            </w:r>
          </w:p>
        </w:tc>
        <w:tc>
          <w:tcPr>
            <w:tcW w:w="960" w:type="dxa"/>
            <w:tcBorders>
              <w:top w:val="nil"/>
              <w:left w:val="nil"/>
              <w:bottom w:val="nil"/>
              <w:right w:val="nil"/>
            </w:tcBorders>
            <w:shd w:val="clear" w:color="auto" w:fill="auto"/>
            <w:noWrap/>
            <w:vAlign w:val="bottom"/>
            <w:hideMark/>
          </w:tcPr>
          <w:p w14:paraId="359E004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1.94E-17</w:t>
            </w:r>
          </w:p>
        </w:tc>
        <w:tc>
          <w:tcPr>
            <w:tcW w:w="571" w:type="dxa"/>
            <w:tcBorders>
              <w:top w:val="nil"/>
              <w:left w:val="nil"/>
              <w:bottom w:val="nil"/>
              <w:right w:val="nil"/>
            </w:tcBorders>
            <w:shd w:val="clear" w:color="auto" w:fill="auto"/>
            <w:noWrap/>
            <w:vAlign w:val="bottom"/>
            <w:hideMark/>
          </w:tcPr>
          <w:p w14:paraId="097C92F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0.40</w:t>
            </w:r>
          </w:p>
        </w:tc>
        <w:tc>
          <w:tcPr>
            <w:tcW w:w="602" w:type="dxa"/>
            <w:tcBorders>
              <w:top w:val="nil"/>
              <w:left w:val="nil"/>
              <w:bottom w:val="nil"/>
              <w:right w:val="nil"/>
            </w:tcBorders>
            <w:shd w:val="clear" w:color="auto" w:fill="auto"/>
            <w:noWrap/>
            <w:vAlign w:val="bottom"/>
            <w:hideMark/>
          </w:tcPr>
          <w:p w14:paraId="0B1E9693"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0.36</w:t>
            </w:r>
          </w:p>
        </w:tc>
        <w:tc>
          <w:tcPr>
            <w:tcW w:w="709" w:type="dxa"/>
            <w:gridSpan w:val="2"/>
            <w:tcBorders>
              <w:top w:val="nil"/>
              <w:left w:val="nil"/>
              <w:bottom w:val="nil"/>
              <w:right w:val="nil"/>
            </w:tcBorders>
            <w:shd w:val="clear" w:color="auto" w:fill="auto"/>
            <w:noWrap/>
            <w:vAlign w:val="bottom"/>
            <w:hideMark/>
          </w:tcPr>
          <w:p w14:paraId="2F834983"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0.00</w:t>
            </w:r>
          </w:p>
        </w:tc>
      </w:tr>
      <w:tr w:rsidR="00F15317" w:rsidRPr="0002162A" w14:paraId="37D20D27" w14:textId="77777777" w:rsidTr="00F15317">
        <w:trPr>
          <w:trHeight w:val="300"/>
        </w:trPr>
        <w:tc>
          <w:tcPr>
            <w:tcW w:w="1120" w:type="dxa"/>
            <w:tcBorders>
              <w:top w:val="nil"/>
              <w:left w:val="nil"/>
              <w:bottom w:val="nil"/>
              <w:right w:val="nil"/>
            </w:tcBorders>
            <w:shd w:val="clear" w:color="auto" w:fill="auto"/>
            <w:noWrap/>
            <w:vAlign w:val="bottom"/>
            <w:hideMark/>
          </w:tcPr>
          <w:p w14:paraId="7AC9264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TCIPP</w:t>
            </w:r>
          </w:p>
        </w:tc>
        <w:tc>
          <w:tcPr>
            <w:tcW w:w="3880" w:type="dxa"/>
            <w:tcBorders>
              <w:top w:val="nil"/>
              <w:left w:val="nil"/>
              <w:bottom w:val="nil"/>
              <w:right w:val="nil"/>
            </w:tcBorders>
            <w:shd w:val="clear" w:color="auto" w:fill="auto"/>
            <w:noWrap/>
            <w:vAlign w:val="center"/>
            <w:hideMark/>
          </w:tcPr>
          <w:p w14:paraId="11CDAD03"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Solvents and Products</w:t>
            </w:r>
          </w:p>
        </w:tc>
        <w:tc>
          <w:tcPr>
            <w:tcW w:w="1120" w:type="dxa"/>
            <w:tcBorders>
              <w:top w:val="nil"/>
              <w:left w:val="nil"/>
              <w:bottom w:val="nil"/>
              <w:right w:val="nil"/>
            </w:tcBorders>
            <w:shd w:val="clear" w:color="auto" w:fill="auto"/>
            <w:noWrap/>
            <w:vAlign w:val="bottom"/>
            <w:hideMark/>
          </w:tcPr>
          <w:p w14:paraId="1A730975"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3.06E+01</w:t>
            </w:r>
          </w:p>
        </w:tc>
        <w:tc>
          <w:tcPr>
            <w:tcW w:w="720" w:type="dxa"/>
            <w:tcBorders>
              <w:top w:val="nil"/>
              <w:left w:val="nil"/>
              <w:bottom w:val="nil"/>
              <w:right w:val="nil"/>
            </w:tcBorders>
            <w:shd w:val="clear" w:color="auto" w:fill="auto"/>
            <w:noWrap/>
            <w:vAlign w:val="bottom"/>
            <w:hideMark/>
          </w:tcPr>
          <w:p w14:paraId="4A3E9E47" w14:textId="18BE6B23"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-6.29</w:t>
            </w:r>
          </w:p>
        </w:tc>
        <w:tc>
          <w:tcPr>
            <w:tcW w:w="682" w:type="dxa"/>
            <w:tcBorders>
              <w:top w:val="nil"/>
              <w:left w:val="nil"/>
              <w:bottom w:val="nil"/>
              <w:right w:val="nil"/>
            </w:tcBorders>
            <w:shd w:val="clear" w:color="auto" w:fill="auto"/>
            <w:noWrap/>
            <w:vAlign w:val="bottom"/>
            <w:hideMark/>
          </w:tcPr>
          <w:p w14:paraId="5F4ADC4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0.00</w:t>
            </w:r>
          </w:p>
        </w:tc>
        <w:tc>
          <w:tcPr>
            <w:tcW w:w="960" w:type="dxa"/>
            <w:tcBorders>
              <w:top w:val="nil"/>
              <w:left w:val="nil"/>
              <w:bottom w:val="nil"/>
              <w:right w:val="nil"/>
            </w:tcBorders>
            <w:shd w:val="clear" w:color="auto" w:fill="auto"/>
            <w:noWrap/>
            <w:vAlign w:val="bottom"/>
            <w:hideMark/>
          </w:tcPr>
          <w:p w14:paraId="55F1DC3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7.00E-18</w:t>
            </w:r>
          </w:p>
        </w:tc>
        <w:tc>
          <w:tcPr>
            <w:tcW w:w="571" w:type="dxa"/>
            <w:tcBorders>
              <w:top w:val="nil"/>
              <w:left w:val="nil"/>
              <w:bottom w:val="nil"/>
              <w:right w:val="nil"/>
            </w:tcBorders>
            <w:shd w:val="clear" w:color="auto" w:fill="auto"/>
            <w:noWrap/>
            <w:vAlign w:val="bottom"/>
            <w:hideMark/>
          </w:tcPr>
          <w:p w14:paraId="3A9957C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0.38</w:t>
            </w:r>
          </w:p>
        </w:tc>
        <w:tc>
          <w:tcPr>
            <w:tcW w:w="602" w:type="dxa"/>
            <w:tcBorders>
              <w:top w:val="nil"/>
              <w:left w:val="nil"/>
              <w:bottom w:val="nil"/>
              <w:right w:val="nil"/>
            </w:tcBorders>
            <w:shd w:val="clear" w:color="auto" w:fill="auto"/>
            <w:noWrap/>
            <w:vAlign w:val="bottom"/>
            <w:hideMark/>
          </w:tcPr>
          <w:p w14:paraId="27C989E5"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0.35</w:t>
            </w:r>
          </w:p>
        </w:tc>
        <w:tc>
          <w:tcPr>
            <w:tcW w:w="709" w:type="dxa"/>
            <w:gridSpan w:val="2"/>
            <w:tcBorders>
              <w:top w:val="nil"/>
              <w:left w:val="nil"/>
              <w:bottom w:val="nil"/>
              <w:right w:val="nil"/>
            </w:tcBorders>
            <w:shd w:val="clear" w:color="auto" w:fill="auto"/>
            <w:noWrap/>
            <w:vAlign w:val="bottom"/>
            <w:hideMark/>
          </w:tcPr>
          <w:p w14:paraId="79BBE1C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0.00</w:t>
            </w:r>
          </w:p>
        </w:tc>
      </w:tr>
      <w:tr w:rsidR="00F15317" w:rsidRPr="0002162A" w14:paraId="6971CC85" w14:textId="77777777" w:rsidTr="00F15317">
        <w:trPr>
          <w:trHeight w:val="300"/>
        </w:trPr>
        <w:tc>
          <w:tcPr>
            <w:tcW w:w="1120" w:type="dxa"/>
            <w:tcBorders>
              <w:top w:val="nil"/>
              <w:left w:val="nil"/>
              <w:bottom w:val="nil"/>
              <w:right w:val="nil"/>
            </w:tcBorders>
            <w:shd w:val="clear" w:color="auto" w:fill="auto"/>
            <w:noWrap/>
            <w:vAlign w:val="bottom"/>
            <w:hideMark/>
          </w:tcPr>
          <w:p w14:paraId="104F53EF"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∑OPEs</w:t>
            </w:r>
          </w:p>
        </w:tc>
        <w:tc>
          <w:tcPr>
            <w:tcW w:w="3880" w:type="dxa"/>
            <w:tcBorders>
              <w:top w:val="nil"/>
              <w:left w:val="nil"/>
              <w:bottom w:val="nil"/>
              <w:right w:val="nil"/>
            </w:tcBorders>
            <w:shd w:val="clear" w:color="auto" w:fill="auto"/>
            <w:noWrap/>
            <w:vAlign w:val="center"/>
            <w:hideMark/>
          </w:tcPr>
          <w:p w14:paraId="4E53A53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 per Capita</w:t>
            </w:r>
          </w:p>
        </w:tc>
        <w:tc>
          <w:tcPr>
            <w:tcW w:w="1120" w:type="dxa"/>
            <w:tcBorders>
              <w:top w:val="nil"/>
              <w:left w:val="nil"/>
              <w:bottom w:val="nil"/>
              <w:right w:val="nil"/>
            </w:tcBorders>
            <w:shd w:val="clear" w:color="auto" w:fill="auto"/>
            <w:noWrap/>
            <w:vAlign w:val="bottom"/>
            <w:hideMark/>
          </w:tcPr>
          <w:p w14:paraId="79F6A51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2.00E-05</w:t>
            </w:r>
          </w:p>
        </w:tc>
        <w:tc>
          <w:tcPr>
            <w:tcW w:w="720" w:type="dxa"/>
            <w:tcBorders>
              <w:top w:val="nil"/>
              <w:left w:val="nil"/>
              <w:bottom w:val="nil"/>
              <w:right w:val="nil"/>
            </w:tcBorders>
            <w:shd w:val="clear" w:color="auto" w:fill="auto"/>
            <w:noWrap/>
            <w:vAlign w:val="bottom"/>
            <w:hideMark/>
          </w:tcPr>
          <w:p w14:paraId="06296431" w14:textId="74397D1F"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-5.91</w:t>
            </w:r>
          </w:p>
        </w:tc>
        <w:tc>
          <w:tcPr>
            <w:tcW w:w="682" w:type="dxa"/>
            <w:tcBorders>
              <w:top w:val="nil"/>
              <w:left w:val="nil"/>
              <w:bottom w:val="nil"/>
              <w:right w:val="nil"/>
            </w:tcBorders>
            <w:shd w:val="clear" w:color="auto" w:fill="auto"/>
            <w:noWrap/>
            <w:vAlign w:val="bottom"/>
            <w:hideMark/>
          </w:tcPr>
          <w:p w14:paraId="7CF55BA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0.01</w:t>
            </w:r>
          </w:p>
        </w:tc>
        <w:tc>
          <w:tcPr>
            <w:tcW w:w="960" w:type="dxa"/>
            <w:tcBorders>
              <w:top w:val="nil"/>
              <w:left w:val="nil"/>
              <w:bottom w:val="nil"/>
              <w:right w:val="nil"/>
            </w:tcBorders>
            <w:shd w:val="clear" w:color="auto" w:fill="auto"/>
            <w:noWrap/>
            <w:vAlign w:val="bottom"/>
            <w:hideMark/>
          </w:tcPr>
          <w:p w14:paraId="6BCAFEAC"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1.73E-17</w:t>
            </w:r>
          </w:p>
        </w:tc>
        <w:tc>
          <w:tcPr>
            <w:tcW w:w="571" w:type="dxa"/>
            <w:tcBorders>
              <w:top w:val="nil"/>
              <w:left w:val="nil"/>
              <w:bottom w:val="nil"/>
              <w:right w:val="nil"/>
            </w:tcBorders>
            <w:shd w:val="clear" w:color="auto" w:fill="auto"/>
            <w:noWrap/>
            <w:vAlign w:val="bottom"/>
            <w:hideMark/>
          </w:tcPr>
          <w:p w14:paraId="6598EC0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0.35</w:t>
            </w:r>
          </w:p>
        </w:tc>
        <w:tc>
          <w:tcPr>
            <w:tcW w:w="602" w:type="dxa"/>
            <w:tcBorders>
              <w:top w:val="nil"/>
              <w:left w:val="nil"/>
              <w:bottom w:val="nil"/>
              <w:right w:val="nil"/>
            </w:tcBorders>
            <w:shd w:val="clear" w:color="auto" w:fill="auto"/>
            <w:noWrap/>
            <w:vAlign w:val="bottom"/>
            <w:hideMark/>
          </w:tcPr>
          <w:p w14:paraId="36A3461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0.31</w:t>
            </w:r>
          </w:p>
        </w:tc>
        <w:tc>
          <w:tcPr>
            <w:tcW w:w="709" w:type="dxa"/>
            <w:gridSpan w:val="2"/>
            <w:tcBorders>
              <w:top w:val="nil"/>
              <w:left w:val="nil"/>
              <w:bottom w:val="nil"/>
              <w:right w:val="nil"/>
            </w:tcBorders>
            <w:shd w:val="clear" w:color="auto" w:fill="auto"/>
            <w:noWrap/>
            <w:vAlign w:val="bottom"/>
            <w:hideMark/>
          </w:tcPr>
          <w:p w14:paraId="30C3FA9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0.01</w:t>
            </w:r>
          </w:p>
        </w:tc>
      </w:tr>
      <w:tr w:rsidR="00F15317" w:rsidRPr="0002162A" w14:paraId="62776710" w14:textId="77777777" w:rsidTr="00F15317">
        <w:trPr>
          <w:trHeight w:val="300"/>
        </w:trPr>
        <w:tc>
          <w:tcPr>
            <w:tcW w:w="1120" w:type="dxa"/>
            <w:tcBorders>
              <w:top w:val="nil"/>
              <w:left w:val="nil"/>
              <w:bottom w:val="nil"/>
              <w:right w:val="nil"/>
            </w:tcBorders>
            <w:shd w:val="clear" w:color="auto" w:fill="auto"/>
            <w:noWrap/>
            <w:vAlign w:val="bottom"/>
            <w:hideMark/>
          </w:tcPr>
          <w:p w14:paraId="4DBFFDB5" w14:textId="77777777" w:rsidR="00F15317" w:rsidRPr="0002162A" w:rsidRDefault="00F15317" w:rsidP="0002162A">
            <w:pPr>
              <w:spacing w:after="0" w:line="240" w:lineRule="auto"/>
              <w:jc w:val="right"/>
              <w:rPr>
                <w:rFonts w:ascii="Calibri" w:eastAsia="Times New Roman" w:hAnsi="Calibri" w:cs="Calibri"/>
                <w:color w:val="000000"/>
                <w:sz w:val="20"/>
                <w:szCs w:val="20"/>
              </w:rPr>
            </w:pPr>
            <w:proofErr w:type="spellStart"/>
            <w:r w:rsidRPr="0002162A">
              <w:rPr>
                <w:rFonts w:ascii="Calibri" w:eastAsia="Times New Roman" w:hAnsi="Calibri" w:cs="Calibri"/>
                <w:color w:val="000000"/>
                <w:sz w:val="20"/>
                <w:szCs w:val="20"/>
              </w:rPr>
              <w:t>TmCP</w:t>
            </w:r>
            <w:proofErr w:type="spellEnd"/>
          </w:p>
        </w:tc>
        <w:tc>
          <w:tcPr>
            <w:tcW w:w="3880" w:type="dxa"/>
            <w:tcBorders>
              <w:top w:val="nil"/>
              <w:left w:val="nil"/>
              <w:bottom w:val="nil"/>
              <w:right w:val="nil"/>
            </w:tcBorders>
            <w:shd w:val="clear" w:color="auto" w:fill="auto"/>
            <w:noWrap/>
            <w:vAlign w:val="center"/>
            <w:hideMark/>
          </w:tcPr>
          <w:p w14:paraId="5974D81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w:t>
            </w:r>
          </w:p>
        </w:tc>
        <w:tc>
          <w:tcPr>
            <w:tcW w:w="1120" w:type="dxa"/>
            <w:tcBorders>
              <w:top w:val="nil"/>
              <w:left w:val="nil"/>
              <w:bottom w:val="nil"/>
              <w:right w:val="nil"/>
            </w:tcBorders>
            <w:shd w:val="clear" w:color="auto" w:fill="auto"/>
            <w:noWrap/>
            <w:vAlign w:val="bottom"/>
            <w:hideMark/>
          </w:tcPr>
          <w:p w14:paraId="729344F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2.84E-12</w:t>
            </w:r>
          </w:p>
        </w:tc>
        <w:tc>
          <w:tcPr>
            <w:tcW w:w="720" w:type="dxa"/>
            <w:tcBorders>
              <w:top w:val="nil"/>
              <w:left w:val="nil"/>
              <w:bottom w:val="nil"/>
              <w:right w:val="nil"/>
            </w:tcBorders>
            <w:shd w:val="clear" w:color="auto" w:fill="auto"/>
            <w:noWrap/>
            <w:vAlign w:val="bottom"/>
            <w:hideMark/>
          </w:tcPr>
          <w:p w14:paraId="16CAC587" w14:textId="04100161"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-8.04</w:t>
            </w:r>
          </w:p>
        </w:tc>
        <w:tc>
          <w:tcPr>
            <w:tcW w:w="682" w:type="dxa"/>
            <w:tcBorders>
              <w:top w:val="nil"/>
              <w:left w:val="nil"/>
              <w:bottom w:val="nil"/>
              <w:right w:val="nil"/>
            </w:tcBorders>
            <w:shd w:val="clear" w:color="auto" w:fill="auto"/>
            <w:noWrap/>
            <w:vAlign w:val="bottom"/>
            <w:hideMark/>
          </w:tcPr>
          <w:p w14:paraId="7C088C4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0.01</w:t>
            </w:r>
          </w:p>
        </w:tc>
        <w:tc>
          <w:tcPr>
            <w:tcW w:w="960" w:type="dxa"/>
            <w:tcBorders>
              <w:top w:val="nil"/>
              <w:left w:val="nil"/>
              <w:bottom w:val="nil"/>
              <w:right w:val="nil"/>
            </w:tcBorders>
            <w:shd w:val="clear" w:color="auto" w:fill="auto"/>
            <w:noWrap/>
            <w:vAlign w:val="bottom"/>
            <w:hideMark/>
          </w:tcPr>
          <w:p w14:paraId="6EF98D0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8.80E-18</w:t>
            </w:r>
          </w:p>
        </w:tc>
        <w:tc>
          <w:tcPr>
            <w:tcW w:w="571" w:type="dxa"/>
            <w:tcBorders>
              <w:top w:val="nil"/>
              <w:left w:val="nil"/>
              <w:bottom w:val="nil"/>
              <w:right w:val="nil"/>
            </w:tcBorders>
            <w:shd w:val="clear" w:color="auto" w:fill="auto"/>
            <w:noWrap/>
            <w:vAlign w:val="bottom"/>
            <w:hideMark/>
          </w:tcPr>
          <w:p w14:paraId="76A32EB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0.35</w:t>
            </w:r>
          </w:p>
        </w:tc>
        <w:tc>
          <w:tcPr>
            <w:tcW w:w="602" w:type="dxa"/>
            <w:tcBorders>
              <w:top w:val="nil"/>
              <w:left w:val="nil"/>
              <w:bottom w:val="nil"/>
              <w:right w:val="nil"/>
            </w:tcBorders>
            <w:shd w:val="clear" w:color="auto" w:fill="auto"/>
            <w:noWrap/>
            <w:vAlign w:val="bottom"/>
            <w:hideMark/>
          </w:tcPr>
          <w:p w14:paraId="6D43E3B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0.31</w:t>
            </w:r>
          </w:p>
        </w:tc>
        <w:tc>
          <w:tcPr>
            <w:tcW w:w="709" w:type="dxa"/>
            <w:gridSpan w:val="2"/>
            <w:tcBorders>
              <w:top w:val="nil"/>
              <w:left w:val="nil"/>
              <w:bottom w:val="nil"/>
              <w:right w:val="nil"/>
            </w:tcBorders>
            <w:shd w:val="clear" w:color="auto" w:fill="auto"/>
            <w:noWrap/>
            <w:vAlign w:val="bottom"/>
            <w:hideMark/>
          </w:tcPr>
          <w:p w14:paraId="6084D1F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0.01</w:t>
            </w:r>
          </w:p>
        </w:tc>
      </w:tr>
      <w:tr w:rsidR="00F15317" w:rsidRPr="0002162A" w14:paraId="3F603E90" w14:textId="77777777" w:rsidTr="00F15317">
        <w:trPr>
          <w:trHeight w:val="300"/>
        </w:trPr>
        <w:tc>
          <w:tcPr>
            <w:tcW w:w="1120" w:type="dxa"/>
            <w:tcBorders>
              <w:top w:val="nil"/>
              <w:left w:val="nil"/>
              <w:bottom w:val="nil"/>
              <w:right w:val="nil"/>
            </w:tcBorders>
            <w:shd w:val="clear" w:color="auto" w:fill="auto"/>
            <w:noWrap/>
            <w:vAlign w:val="bottom"/>
            <w:hideMark/>
          </w:tcPr>
          <w:p w14:paraId="19B9C075" w14:textId="77777777" w:rsidR="00F15317" w:rsidRPr="0002162A" w:rsidRDefault="00F15317" w:rsidP="0002162A">
            <w:pPr>
              <w:spacing w:after="0" w:line="240" w:lineRule="auto"/>
              <w:jc w:val="right"/>
              <w:rPr>
                <w:rFonts w:ascii="Calibri" w:eastAsia="Times New Roman" w:hAnsi="Calibri" w:cs="Calibri"/>
                <w:color w:val="000000"/>
                <w:sz w:val="20"/>
                <w:szCs w:val="20"/>
              </w:rPr>
            </w:pPr>
            <w:proofErr w:type="spellStart"/>
            <w:r w:rsidRPr="0002162A">
              <w:rPr>
                <w:rFonts w:ascii="Calibri" w:eastAsia="Times New Roman" w:hAnsi="Calibri" w:cs="Calibri"/>
                <w:color w:val="000000"/>
                <w:sz w:val="20"/>
                <w:szCs w:val="20"/>
              </w:rPr>
              <w:t>TnBP</w:t>
            </w:r>
            <w:proofErr w:type="spellEnd"/>
          </w:p>
        </w:tc>
        <w:tc>
          <w:tcPr>
            <w:tcW w:w="3880" w:type="dxa"/>
            <w:tcBorders>
              <w:top w:val="nil"/>
              <w:left w:val="nil"/>
              <w:bottom w:val="nil"/>
              <w:right w:val="nil"/>
            </w:tcBorders>
            <w:shd w:val="clear" w:color="auto" w:fill="auto"/>
            <w:noWrap/>
            <w:vAlign w:val="center"/>
            <w:hideMark/>
          </w:tcPr>
          <w:p w14:paraId="061914B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w:t>
            </w:r>
          </w:p>
        </w:tc>
        <w:tc>
          <w:tcPr>
            <w:tcW w:w="1120" w:type="dxa"/>
            <w:tcBorders>
              <w:top w:val="nil"/>
              <w:left w:val="nil"/>
              <w:bottom w:val="nil"/>
              <w:right w:val="nil"/>
            </w:tcBorders>
            <w:shd w:val="clear" w:color="auto" w:fill="auto"/>
            <w:noWrap/>
            <w:vAlign w:val="bottom"/>
            <w:hideMark/>
          </w:tcPr>
          <w:p w14:paraId="0B3C332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1.68E-12</w:t>
            </w:r>
          </w:p>
        </w:tc>
        <w:tc>
          <w:tcPr>
            <w:tcW w:w="720" w:type="dxa"/>
            <w:tcBorders>
              <w:top w:val="nil"/>
              <w:left w:val="nil"/>
              <w:bottom w:val="nil"/>
              <w:right w:val="nil"/>
            </w:tcBorders>
            <w:shd w:val="clear" w:color="auto" w:fill="auto"/>
            <w:noWrap/>
            <w:vAlign w:val="bottom"/>
            <w:hideMark/>
          </w:tcPr>
          <w:p w14:paraId="1F8433DF" w14:textId="3E3D3EEC"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-7.80</w:t>
            </w:r>
          </w:p>
        </w:tc>
        <w:tc>
          <w:tcPr>
            <w:tcW w:w="682" w:type="dxa"/>
            <w:tcBorders>
              <w:top w:val="nil"/>
              <w:left w:val="nil"/>
              <w:bottom w:val="nil"/>
              <w:right w:val="nil"/>
            </w:tcBorders>
            <w:shd w:val="clear" w:color="auto" w:fill="auto"/>
            <w:noWrap/>
            <w:vAlign w:val="bottom"/>
            <w:hideMark/>
          </w:tcPr>
          <w:p w14:paraId="2DC6A26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0.01</w:t>
            </w:r>
          </w:p>
        </w:tc>
        <w:tc>
          <w:tcPr>
            <w:tcW w:w="960" w:type="dxa"/>
            <w:tcBorders>
              <w:top w:val="nil"/>
              <w:left w:val="nil"/>
              <w:bottom w:val="nil"/>
              <w:right w:val="nil"/>
            </w:tcBorders>
            <w:shd w:val="clear" w:color="auto" w:fill="auto"/>
            <w:noWrap/>
            <w:vAlign w:val="bottom"/>
            <w:hideMark/>
          </w:tcPr>
          <w:p w14:paraId="3851A363"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2.61E-21</w:t>
            </w:r>
          </w:p>
        </w:tc>
        <w:tc>
          <w:tcPr>
            <w:tcW w:w="571" w:type="dxa"/>
            <w:tcBorders>
              <w:top w:val="nil"/>
              <w:left w:val="nil"/>
              <w:bottom w:val="nil"/>
              <w:right w:val="nil"/>
            </w:tcBorders>
            <w:shd w:val="clear" w:color="auto" w:fill="auto"/>
            <w:noWrap/>
            <w:vAlign w:val="bottom"/>
            <w:hideMark/>
          </w:tcPr>
          <w:p w14:paraId="2EF5CF8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0.34</w:t>
            </w:r>
          </w:p>
        </w:tc>
        <w:tc>
          <w:tcPr>
            <w:tcW w:w="602" w:type="dxa"/>
            <w:tcBorders>
              <w:top w:val="nil"/>
              <w:left w:val="nil"/>
              <w:bottom w:val="nil"/>
              <w:right w:val="nil"/>
            </w:tcBorders>
            <w:shd w:val="clear" w:color="auto" w:fill="auto"/>
            <w:noWrap/>
            <w:vAlign w:val="bottom"/>
            <w:hideMark/>
          </w:tcPr>
          <w:p w14:paraId="272646B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0.30</w:t>
            </w:r>
          </w:p>
        </w:tc>
        <w:tc>
          <w:tcPr>
            <w:tcW w:w="709" w:type="dxa"/>
            <w:gridSpan w:val="2"/>
            <w:tcBorders>
              <w:top w:val="nil"/>
              <w:left w:val="nil"/>
              <w:bottom w:val="nil"/>
              <w:right w:val="nil"/>
            </w:tcBorders>
            <w:shd w:val="clear" w:color="auto" w:fill="auto"/>
            <w:noWrap/>
            <w:vAlign w:val="bottom"/>
            <w:hideMark/>
          </w:tcPr>
          <w:p w14:paraId="027436A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0.01</w:t>
            </w:r>
          </w:p>
        </w:tc>
      </w:tr>
      <w:tr w:rsidR="00F15317" w:rsidRPr="0002162A" w14:paraId="556F3046" w14:textId="77777777" w:rsidTr="00F15317">
        <w:trPr>
          <w:trHeight w:val="300"/>
        </w:trPr>
        <w:tc>
          <w:tcPr>
            <w:tcW w:w="1120" w:type="dxa"/>
            <w:tcBorders>
              <w:top w:val="nil"/>
              <w:left w:val="nil"/>
              <w:bottom w:val="nil"/>
              <w:right w:val="nil"/>
            </w:tcBorders>
            <w:shd w:val="clear" w:color="auto" w:fill="auto"/>
            <w:noWrap/>
            <w:vAlign w:val="bottom"/>
            <w:hideMark/>
          </w:tcPr>
          <w:p w14:paraId="6A4CFB1F"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TCIPP</w:t>
            </w:r>
          </w:p>
        </w:tc>
        <w:tc>
          <w:tcPr>
            <w:tcW w:w="3880" w:type="dxa"/>
            <w:tcBorders>
              <w:top w:val="nil"/>
              <w:left w:val="nil"/>
              <w:bottom w:val="nil"/>
              <w:right w:val="nil"/>
            </w:tcBorders>
            <w:shd w:val="clear" w:color="auto" w:fill="auto"/>
            <w:noWrap/>
            <w:vAlign w:val="center"/>
            <w:hideMark/>
          </w:tcPr>
          <w:p w14:paraId="264AB8D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Energy for Buildings</w:t>
            </w:r>
          </w:p>
        </w:tc>
        <w:tc>
          <w:tcPr>
            <w:tcW w:w="1120" w:type="dxa"/>
            <w:tcBorders>
              <w:top w:val="nil"/>
              <w:left w:val="nil"/>
              <w:bottom w:val="nil"/>
              <w:right w:val="nil"/>
            </w:tcBorders>
            <w:shd w:val="clear" w:color="auto" w:fill="auto"/>
            <w:noWrap/>
            <w:vAlign w:val="bottom"/>
            <w:hideMark/>
          </w:tcPr>
          <w:p w14:paraId="1BA0FAA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2.89E+00</w:t>
            </w:r>
          </w:p>
        </w:tc>
        <w:tc>
          <w:tcPr>
            <w:tcW w:w="720" w:type="dxa"/>
            <w:tcBorders>
              <w:top w:val="nil"/>
              <w:left w:val="nil"/>
              <w:bottom w:val="nil"/>
              <w:right w:val="nil"/>
            </w:tcBorders>
            <w:shd w:val="clear" w:color="auto" w:fill="auto"/>
            <w:noWrap/>
            <w:vAlign w:val="bottom"/>
            <w:hideMark/>
          </w:tcPr>
          <w:p w14:paraId="09BB97A8" w14:textId="7953919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-6.50</w:t>
            </w:r>
          </w:p>
        </w:tc>
        <w:tc>
          <w:tcPr>
            <w:tcW w:w="682" w:type="dxa"/>
            <w:tcBorders>
              <w:top w:val="nil"/>
              <w:left w:val="nil"/>
              <w:bottom w:val="nil"/>
              <w:right w:val="nil"/>
            </w:tcBorders>
            <w:shd w:val="clear" w:color="auto" w:fill="auto"/>
            <w:noWrap/>
            <w:vAlign w:val="bottom"/>
            <w:hideMark/>
          </w:tcPr>
          <w:p w14:paraId="7CB5BF1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0.01</w:t>
            </w:r>
          </w:p>
        </w:tc>
        <w:tc>
          <w:tcPr>
            <w:tcW w:w="960" w:type="dxa"/>
            <w:tcBorders>
              <w:top w:val="nil"/>
              <w:left w:val="nil"/>
              <w:bottom w:val="nil"/>
              <w:right w:val="nil"/>
            </w:tcBorders>
            <w:shd w:val="clear" w:color="auto" w:fill="auto"/>
            <w:noWrap/>
            <w:vAlign w:val="bottom"/>
            <w:hideMark/>
          </w:tcPr>
          <w:p w14:paraId="637135B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2.23E-15</w:t>
            </w:r>
          </w:p>
        </w:tc>
        <w:tc>
          <w:tcPr>
            <w:tcW w:w="571" w:type="dxa"/>
            <w:tcBorders>
              <w:top w:val="nil"/>
              <w:left w:val="nil"/>
              <w:bottom w:val="nil"/>
              <w:right w:val="nil"/>
            </w:tcBorders>
            <w:shd w:val="clear" w:color="auto" w:fill="auto"/>
            <w:noWrap/>
            <w:vAlign w:val="bottom"/>
            <w:hideMark/>
          </w:tcPr>
          <w:p w14:paraId="09259AD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0.32</w:t>
            </w:r>
          </w:p>
        </w:tc>
        <w:tc>
          <w:tcPr>
            <w:tcW w:w="602" w:type="dxa"/>
            <w:tcBorders>
              <w:top w:val="nil"/>
              <w:left w:val="nil"/>
              <w:bottom w:val="nil"/>
              <w:right w:val="nil"/>
            </w:tcBorders>
            <w:shd w:val="clear" w:color="auto" w:fill="auto"/>
            <w:noWrap/>
            <w:vAlign w:val="bottom"/>
            <w:hideMark/>
          </w:tcPr>
          <w:p w14:paraId="02B23E9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0.28</w:t>
            </w:r>
          </w:p>
        </w:tc>
        <w:tc>
          <w:tcPr>
            <w:tcW w:w="709" w:type="dxa"/>
            <w:gridSpan w:val="2"/>
            <w:tcBorders>
              <w:top w:val="nil"/>
              <w:left w:val="nil"/>
              <w:bottom w:val="nil"/>
              <w:right w:val="nil"/>
            </w:tcBorders>
            <w:shd w:val="clear" w:color="auto" w:fill="auto"/>
            <w:noWrap/>
            <w:vAlign w:val="bottom"/>
            <w:hideMark/>
          </w:tcPr>
          <w:p w14:paraId="0B18E75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0.01</w:t>
            </w:r>
          </w:p>
        </w:tc>
      </w:tr>
      <w:tr w:rsidR="00F15317" w:rsidRPr="0002162A" w14:paraId="7A35D01A" w14:textId="77777777" w:rsidTr="00F15317">
        <w:trPr>
          <w:gridAfter w:val="1"/>
          <w:wAfter w:w="24" w:type="dxa"/>
          <w:trHeight w:val="300"/>
        </w:trPr>
        <w:tc>
          <w:tcPr>
            <w:tcW w:w="1120" w:type="dxa"/>
            <w:tcBorders>
              <w:top w:val="nil"/>
              <w:left w:val="nil"/>
              <w:bottom w:val="nil"/>
              <w:right w:val="nil"/>
            </w:tcBorders>
            <w:shd w:val="clear" w:color="auto" w:fill="auto"/>
            <w:noWrap/>
            <w:vAlign w:val="bottom"/>
          </w:tcPr>
          <w:p w14:paraId="4BB3127F" w14:textId="560C101A"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TBOEP</w:t>
            </w:r>
          </w:p>
        </w:tc>
        <w:tc>
          <w:tcPr>
            <w:tcW w:w="3880" w:type="dxa"/>
            <w:tcBorders>
              <w:top w:val="nil"/>
              <w:left w:val="nil"/>
              <w:bottom w:val="nil"/>
              <w:right w:val="nil"/>
            </w:tcBorders>
            <w:shd w:val="clear" w:color="auto" w:fill="auto"/>
            <w:noWrap/>
            <w:vAlign w:val="center"/>
          </w:tcPr>
          <w:p w14:paraId="2FD964C9" w14:textId="5639B963"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RH</w:t>
            </w:r>
          </w:p>
        </w:tc>
        <w:tc>
          <w:tcPr>
            <w:tcW w:w="1120" w:type="dxa"/>
            <w:tcBorders>
              <w:top w:val="nil"/>
              <w:left w:val="nil"/>
              <w:bottom w:val="nil"/>
              <w:right w:val="nil"/>
            </w:tcBorders>
            <w:shd w:val="clear" w:color="auto" w:fill="auto"/>
            <w:noWrap/>
            <w:vAlign w:val="bottom"/>
          </w:tcPr>
          <w:p w14:paraId="41FC33E8" w14:textId="677D6B9E"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2.97E-02</w:t>
            </w:r>
          </w:p>
        </w:tc>
        <w:tc>
          <w:tcPr>
            <w:tcW w:w="720" w:type="dxa"/>
            <w:tcBorders>
              <w:top w:val="nil"/>
              <w:left w:val="nil"/>
              <w:bottom w:val="nil"/>
              <w:right w:val="nil"/>
            </w:tcBorders>
            <w:shd w:val="clear" w:color="auto" w:fill="auto"/>
            <w:noWrap/>
            <w:vAlign w:val="bottom"/>
          </w:tcPr>
          <w:p w14:paraId="1C379405" w14:textId="17074858"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-9.01</w:t>
            </w:r>
          </w:p>
        </w:tc>
        <w:tc>
          <w:tcPr>
            <w:tcW w:w="682" w:type="dxa"/>
            <w:tcBorders>
              <w:top w:val="nil"/>
              <w:left w:val="nil"/>
              <w:bottom w:val="nil"/>
              <w:right w:val="nil"/>
            </w:tcBorders>
            <w:shd w:val="clear" w:color="auto" w:fill="auto"/>
            <w:noWrap/>
            <w:vAlign w:val="bottom"/>
          </w:tcPr>
          <w:p w14:paraId="1B364861" w14:textId="0D6F217A"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0.01</w:t>
            </w:r>
          </w:p>
        </w:tc>
        <w:tc>
          <w:tcPr>
            <w:tcW w:w="960" w:type="dxa"/>
            <w:tcBorders>
              <w:top w:val="nil"/>
              <w:left w:val="nil"/>
              <w:bottom w:val="nil"/>
              <w:right w:val="nil"/>
            </w:tcBorders>
            <w:shd w:val="clear" w:color="auto" w:fill="auto"/>
            <w:noWrap/>
            <w:vAlign w:val="bottom"/>
          </w:tcPr>
          <w:p w14:paraId="0C836C6F" w14:textId="7B640010"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2.44E-09</w:t>
            </w:r>
          </w:p>
        </w:tc>
        <w:tc>
          <w:tcPr>
            <w:tcW w:w="571" w:type="dxa"/>
            <w:tcBorders>
              <w:top w:val="nil"/>
              <w:left w:val="nil"/>
              <w:bottom w:val="nil"/>
              <w:right w:val="nil"/>
            </w:tcBorders>
            <w:shd w:val="clear" w:color="auto" w:fill="auto"/>
            <w:noWrap/>
            <w:vAlign w:val="bottom"/>
          </w:tcPr>
          <w:p w14:paraId="28E3A4D5" w14:textId="46634F3D"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0.36</w:t>
            </w:r>
          </w:p>
        </w:tc>
        <w:tc>
          <w:tcPr>
            <w:tcW w:w="602" w:type="dxa"/>
            <w:tcBorders>
              <w:top w:val="nil"/>
              <w:left w:val="nil"/>
              <w:bottom w:val="nil"/>
              <w:right w:val="nil"/>
            </w:tcBorders>
            <w:shd w:val="clear" w:color="auto" w:fill="auto"/>
            <w:noWrap/>
            <w:vAlign w:val="bottom"/>
          </w:tcPr>
          <w:p w14:paraId="4037564C" w14:textId="6AE3A083"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0.32</w:t>
            </w:r>
          </w:p>
        </w:tc>
        <w:tc>
          <w:tcPr>
            <w:tcW w:w="685" w:type="dxa"/>
            <w:tcBorders>
              <w:top w:val="nil"/>
              <w:left w:val="nil"/>
              <w:bottom w:val="nil"/>
              <w:right w:val="nil"/>
            </w:tcBorders>
            <w:shd w:val="clear" w:color="auto" w:fill="auto"/>
            <w:noWrap/>
            <w:vAlign w:val="bottom"/>
          </w:tcPr>
          <w:p w14:paraId="25F67010" w14:textId="3991BB20"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0.01</w:t>
            </w:r>
          </w:p>
        </w:tc>
      </w:tr>
      <w:tr w:rsidR="00F15317" w:rsidRPr="0002162A" w14:paraId="7FFE700C" w14:textId="77777777" w:rsidTr="00F15317">
        <w:trPr>
          <w:trHeight w:val="300"/>
        </w:trPr>
        <w:tc>
          <w:tcPr>
            <w:tcW w:w="1120" w:type="dxa"/>
            <w:tcBorders>
              <w:top w:val="nil"/>
              <w:left w:val="nil"/>
              <w:bottom w:val="nil"/>
              <w:right w:val="nil"/>
            </w:tcBorders>
            <w:shd w:val="clear" w:color="auto" w:fill="auto"/>
            <w:noWrap/>
            <w:vAlign w:val="bottom"/>
            <w:hideMark/>
          </w:tcPr>
          <w:p w14:paraId="259BC517"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TCEP</w:t>
            </w:r>
          </w:p>
        </w:tc>
        <w:tc>
          <w:tcPr>
            <w:tcW w:w="3880" w:type="dxa"/>
            <w:tcBorders>
              <w:top w:val="nil"/>
              <w:left w:val="nil"/>
              <w:bottom w:val="nil"/>
              <w:right w:val="nil"/>
            </w:tcBorders>
            <w:shd w:val="clear" w:color="auto" w:fill="auto"/>
            <w:noWrap/>
            <w:vAlign w:val="center"/>
            <w:hideMark/>
          </w:tcPr>
          <w:p w14:paraId="63E4BB7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 per Capita</w:t>
            </w:r>
          </w:p>
        </w:tc>
        <w:tc>
          <w:tcPr>
            <w:tcW w:w="1120" w:type="dxa"/>
            <w:tcBorders>
              <w:top w:val="nil"/>
              <w:left w:val="nil"/>
              <w:bottom w:val="nil"/>
              <w:right w:val="nil"/>
            </w:tcBorders>
            <w:shd w:val="clear" w:color="auto" w:fill="auto"/>
            <w:noWrap/>
            <w:vAlign w:val="bottom"/>
            <w:hideMark/>
          </w:tcPr>
          <w:p w14:paraId="58F9130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1.90E-05</w:t>
            </w:r>
          </w:p>
        </w:tc>
        <w:tc>
          <w:tcPr>
            <w:tcW w:w="720" w:type="dxa"/>
            <w:tcBorders>
              <w:top w:val="nil"/>
              <w:left w:val="nil"/>
              <w:bottom w:val="nil"/>
              <w:right w:val="nil"/>
            </w:tcBorders>
            <w:shd w:val="clear" w:color="auto" w:fill="auto"/>
            <w:noWrap/>
            <w:vAlign w:val="bottom"/>
            <w:hideMark/>
          </w:tcPr>
          <w:p w14:paraId="665C0055" w14:textId="63DE2F36"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-6.42</w:t>
            </w:r>
          </w:p>
        </w:tc>
        <w:tc>
          <w:tcPr>
            <w:tcW w:w="682" w:type="dxa"/>
            <w:tcBorders>
              <w:top w:val="nil"/>
              <w:left w:val="nil"/>
              <w:bottom w:val="nil"/>
              <w:right w:val="nil"/>
            </w:tcBorders>
            <w:shd w:val="clear" w:color="auto" w:fill="auto"/>
            <w:noWrap/>
            <w:vAlign w:val="bottom"/>
            <w:hideMark/>
          </w:tcPr>
          <w:p w14:paraId="7285A25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0.02</w:t>
            </w:r>
          </w:p>
        </w:tc>
        <w:tc>
          <w:tcPr>
            <w:tcW w:w="960" w:type="dxa"/>
            <w:tcBorders>
              <w:top w:val="nil"/>
              <w:left w:val="nil"/>
              <w:bottom w:val="nil"/>
              <w:right w:val="nil"/>
            </w:tcBorders>
            <w:shd w:val="clear" w:color="auto" w:fill="auto"/>
            <w:noWrap/>
            <w:vAlign w:val="bottom"/>
            <w:hideMark/>
          </w:tcPr>
          <w:p w14:paraId="0BB16E7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1.32E-17</w:t>
            </w:r>
          </w:p>
        </w:tc>
        <w:tc>
          <w:tcPr>
            <w:tcW w:w="571" w:type="dxa"/>
            <w:tcBorders>
              <w:top w:val="nil"/>
              <w:left w:val="nil"/>
              <w:bottom w:val="nil"/>
              <w:right w:val="nil"/>
            </w:tcBorders>
            <w:shd w:val="clear" w:color="auto" w:fill="auto"/>
            <w:noWrap/>
            <w:vAlign w:val="bottom"/>
            <w:hideMark/>
          </w:tcPr>
          <w:p w14:paraId="30E7D87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0.30</w:t>
            </w:r>
          </w:p>
        </w:tc>
        <w:tc>
          <w:tcPr>
            <w:tcW w:w="602" w:type="dxa"/>
            <w:tcBorders>
              <w:top w:val="nil"/>
              <w:left w:val="nil"/>
              <w:bottom w:val="nil"/>
              <w:right w:val="nil"/>
            </w:tcBorders>
            <w:shd w:val="clear" w:color="auto" w:fill="auto"/>
            <w:noWrap/>
            <w:vAlign w:val="bottom"/>
            <w:hideMark/>
          </w:tcPr>
          <w:p w14:paraId="49685C7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0.26</w:t>
            </w:r>
          </w:p>
        </w:tc>
        <w:tc>
          <w:tcPr>
            <w:tcW w:w="709" w:type="dxa"/>
            <w:gridSpan w:val="2"/>
            <w:tcBorders>
              <w:top w:val="nil"/>
              <w:left w:val="nil"/>
              <w:bottom w:val="nil"/>
              <w:right w:val="nil"/>
            </w:tcBorders>
            <w:shd w:val="clear" w:color="auto" w:fill="auto"/>
            <w:noWrap/>
            <w:vAlign w:val="bottom"/>
            <w:hideMark/>
          </w:tcPr>
          <w:p w14:paraId="43B1330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0.02</w:t>
            </w:r>
          </w:p>
        </w:tc>
      </w:tr>
      <w:tr w:rsidR="00F15317" w:rsidRPr="0002162A" w14:paraId="4FDA2749" w14:textId="77777777" w:rsidTr="00F15317">
        <w:trPr>
          <w:trHeight w:val="300"/>
        </w:trPr>
        <w:tc>
          <w:tcPr>
            <w:tcW w:w="1120" w:type="dxa"/>
            <w:tcBorders>
              <w:top w:val="nil"/>
              <w:left w:val="nil"/>
              <w:bottom w:val="nil"/>
              <w:right w:val="nil"/>
            </w:tcBorders>
            <w:shd w:val="clear" w:color="auto" w:fill="auto"/>
            <w:noWrap/>
            <w:vAlign w:val="bottom"/>
            <w:hideMark/>
          </w:tcPr>
          <w:p w14:paraId="5F1D6F8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TCEP</w:t>
            </w:r>
          </w:p>
        </w:tc>
        <w:tc>
          <w:tcPr>
            <w:tcW w:w="3880" w:type="dxa"/>
            <w:tcBorders>
              <w:top w:val="nil"/>
              <w:left w:val="nil"/>
              <w:bottom w:val="nil"/>
              <w:right w:val="nil"/>
            </w:tcBorders>
            <w:shd w:val="clear" w:color="auto" w:fill="auto"/>
            <w:noWrap/>
            <w:vAlign w:val="center"/>
            <w:hideMark/>
          </w:tcPr>
          <w:p w14:paraId="074C489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w:t>
            </w:r>
          </w:p>
        </w:tc>
        <w:tc>
          <w:tcPr>
            <w:tcW w:w="1120" w:type="dxa"/>
            <w:tcBorders>
              <w:top w:val="nil"/>
              <w:left w:val="nil"/>
              <w:bottom w:val="nil"/>
              <w:right w:val="nil"/>
            </w:tcBorders>
            <w:shd w:val="clear" w:color="auto" w:fill="auto"/>
            <w:noWrap/>
            <w:vAlign w:val="bottom"/>
            <w:hideMark/>
          </w:tcPr>
          <w:p w14:paraId="148890D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2.19E-12</w:t>
            </w:r>
          </w:p>
        </w:tc>
        <w:tc>
          <w:tcPr>
            <w:tcW w:w="720" w:type="dxa"/>
            <w:tcBorders>
              <w:top w:val="nil"/>
              <w:left w:val="nil"/>
              <w:bottom w:val="nil"/>
              <w:right w:val="nil"/>
            </w:tcBorders>
            <w:shd w:val="clear" w:color="auto" w:fill="auto"/>
            <w:noWrap/>
            <w:vAlign w:val="bottom"/>
            <w:hideMark/>
          </w:tcPr>
          <w:p w14:paraId="56291105" w14:textId="156B773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-6.45</w:t>
            </w:r>
          </w:p>
        </w:tc>
        <w:tc>
          <w:tcPr>
            <w:tcW w:w="682" w:type="dxa"/>
            <w:tcBorders>
              <w:top w:val="nil"/>
              <w:left w:val="nil"/>
              <w:bottom w:val="nil"/>
              <w:right w:val="nil"/>
            </w:tcBorders>
            <w:shd w:val="clear" w:color="auto" w:fill="auto"/>
            <w:noWrap/>
            <w:vAlign w:val="bottom"/>
            <w:hideMark/>
          </w:tcPr>
          <w:p w14:paraId="007EDE43"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0.02</w:t>
            </w:r>
          </w:p>
        </w:tc>
        <w:tc>
          <w:tcPr>
            <w:tcW w:w="960" w:type="dxa"/>
            <w:tcBorders>
              <w:top w:val="nil"/>
              <w:left w:val="nil"/>
              <w:bottom w:val="nil"/>
              <w:right w:val="nil"/>
            </w:tcBorders>
            <w:shd w:val="clear" w:color="auto" w:fill="auto"/>
            <w:noWrap/>
            <w:vAlign w:val="bottom"/>
            <w:hideMark/>
          </w:tcPr>
          <w:p w14:paraId="1E2163F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3.31E-17</w:t>
            </w:r>
          </w:p>
        </w:tc>
        <w:tc>
          <w:tcPr>
            <w:tcW w:w="571" w:type="dxa"/>
            <w:tcBorders>
              <w:top w:val="nil"/>
              <w:left w:val="nil"/>
              <w:bottom w:val="nil"/>
              <w:right w:val="nil"/>
            </w:tcBorders>
            <w:shd w:val="clear" w:color="auto" w:fill="auto"/>
            <w:noWrap/>
            <w:vAlign w:val="bottom"/>
            <w:hideMark/>
          </w:tcPr>
          <w:p w14:paraId="0204DA5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0.30</w:t>
            </w:r>
          </w:p>
        </w:tc>
        <w:tc>
          <w:tcPr>
            <w:tcW w:w="602" w:type="dxa"/>
            <w:tcBorders>
              <w:top w:val="nil"/>
              <w:left w:val="nil"/>
              <w:bottom w:val="nil"/>
              <w:right w:val="nil"/>
            </w:tcBorders>
            <w:shd w:val="clear" w:color="auto" w:fill="auto"/>
            <w:noWrap/>
            <w:vAlign w:val="bottom"/>
            <w:hideMark/>
          </w:tcPr>
          <w:p w14:paraId="0F39184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0.26</w:t>
            </w:r>
          </w:p>
        </w:tc>
        <w:tc>
          <w:tcPr>
            <w:tcW w:w="709" w:type="dxa"/>
            <w:gridSpan w:val="2"/>
            <w:tcBorders>
              <w:top w:val="nil"/>
              <w:left w:val="nil"/>
              <w:bottom w:val="nil"/>
              <w:right w:val="nil"/>
            </w:tcBorders>
            <w:shd w:val="clear" w:color="auto" w:fill="auto"/>
            <w:noWrap/>
            <w:vAlign w:val="bottom"/>
            <w:hideMark/>
          </w:tcPr>
          <w:p w14:paraId="1C64533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0.02</w:t>
            </w:r>
          </w:p>
        </w:tc>
      </w:tr>
      <w:tr w:rsidR="00F15317" w:rsidRPr="0002162A" w14:paraId="67877AA2" w14:textId="77777777" w:rsidTr="00F15317">
        <w:trPr>
          <w:trHeight w:val="300"/>
        </w:trPr>
        <w:tc>
          <w:tcPr>
            <w:tcW w:w="1120" w:type="dxa"/>
            <w:tcBorders>
              <w:top w:val="nil"/>
              <w:left w:val="nil"/>
              <w:bottom w:val="nil"/>
              <w:right w:val="nil"/>
            </w:tcBorders>
            <w:shd w:val="clear" w:color="auto" w:fill="auto"/>
            <w:noWrap/>
            <w:vAlign w:val="bottom"/>
          </w:tcPr>
          <w:p w14:paraId="170B8965" w14:textId="3AE6F8AC"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∑OPEs</w:t>
            </w:r>
          </w:p>
        </w:tc>
        <w:tc>
          <w:tcPr>
            <w:tcW w:w="3880" w:type="dxa"/>
            <w:tcBorders>
              <w:top w:val="nil"/>
              <w:left w:val="nil"/>
              <w:bottom w:val="nil"/>
              <w:right w:val="nil"/>
            </w:tcBorders>
            <w:shd w:val="clear" w:color="auto" w:fill="auto"/>
            <w:noWrap/>
            <w:vAlign w:val="center"/>
          </w:tcPr>
          <w:p w14:paraId="30A2B3BF" w14:textId="49DEAFB5"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RH</w:t>
            </w:r>
          </w:p>
        </w:tc>
        <w:tc>
          <w:tcPr>
            <w:tcW w:w="1120" w:type="dxa"/>
            <w:tcBorders>
              <w:top w:val="nil"/>
              <w:left w:val="nil"/>
              <w:bottom w:val="nil"/>
              <w:right w:val="nil"/>
            </w:tcBorders>
            <w:shd w:val="clear" w:color="auto" w:fill="auto"/>
            <w:noWrap/>
            <w:vAlign w:val="bottom"/>
          </w:tcPr>
          <w:p w14:paraId="6CD667DF" w14:textId="7F0788B1"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2.08E-02</w:t>
            </w:r>
          </w:p>
        </w:tc>
        <w:tc>
          <w:tcPr>
            <w:tcW w:w="720" w:type="dxa"/>
            <w:tcBorders>
              <w:top w:val="nil"/>
              <w:left w:val="nil"/>
              <w:bottom w:val="nil"/>
              <w:right w:val="nil"/>
            </w:tcBorders>
            <w:shd w:val="clear" w:color="auto" w:fill="auto"/>
            <w:noWrap/>
            <w:vAlign w:val="bottom"/>
          </w:tcPr>
          <w:p w14:paraId="785BCCC5" w14:textId="5F13FB9D"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-6.97</w:t>
            </w:r>
          </w:p>
        </w:tc>
        <w:tc>
          <w:tcPr>
            <w:tcW w:w="682" w:type="dxa"/>
            <w:tcBorders>
              <w:top w:val="nil"/>
              <w:left w:val="nil"/>
              <w:bottom w:val="nil"/>
              <w:right w:val="nil"/>
            </w:tcBorders>
            <w:shd w:val="clear" w:color="auto" w:fill="auto"/>
            <w:noWrap/>
            <w:vAlign w:val="bottom"/>
          </w:tcPr>
          <w:p w14:paraId="74CB9E05" w14:textId="1CA8A60E"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0.02</w:t>
            </w:r>
          </w:p>
        </w:tc>
        <w:tc>
          <w:tcPr>
            <w:tcW w:w="960" w:type="dxa"/>
            <w:tcBorders>
              <w:top w:val="nil"/>
              <w:left w:val="nil"/>
              <w:bottom w:val="nil"/>
              <w:right w:val="nil"/>
            </w:tcBorders>
            <w:shd w:val="clear" w:color="auto" w:fill="auto"/>
            <w:noWrap/>
            <w:vAlign w:val="bottom"/>
          </w:tcPr>
          <w:p w14:paraId="427A1AC8" w14:textId="0CF72FC5"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5.16E-10</w:t>
            </w:r>
          </w:p>
        </w:tc>
        <w:tc>
          <w:tcPr>
            <w:tcW w:w="571" w:type="dxa"/>
            <w:tcBorders>
              <w:top w:val="nil"/>
              <w:left w:val="nil"/>
              <w:bottom w:val="nil"/>
              <w:right w:val="nil"/>
            </w:tcBorders>
            <w:shd w:val="clear" w:color="auto" w:fill="auto"/>
            <w:noWrap/>
            <w:vAlign w:val="bottom"/>
          </w:tcPr>
          <w:p w14:paraId="616232F6" w14:textId="01F05364"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0.30</w:t>
            </w:r>
          </w:p>
        </w:tc>
        <w:tc>
          <w:tcPr>
            <w:tcW w:w="602" w:type="dxa"/>
            <w:tcBorders>
              <w:top w:val="nil"/>
              <w:left w:val="nil"/>
              <w:bottom w:val="nil"/>
              <w:right w:val="nil"/>
            </w:tcBorders>
            <w:shd w:val="clear" w:color="auto" w:fill="auto"/>
            <w:noWrap/>
            <w:vAlign w:val="bottom"/>
          </w:tcPr>
          <w:p w14:paraId="0F49EC13" w14:textId="7BBBC6FE"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0.25</w:t>
            </w:r>
          </w:p>
        </w:tc>
        <w:tc>
          <w:tcPr>
            <w:tcW w:w="709" w:type="dxa"/>
            <w:gridSpan w:val="2"/>
            <w:tcBorders>
              <w:top w:val="nil"/>
              <w:left w:val="nil"/>
              <w:bottom w:val="nil"/>
              <w:right w:val="nil"/>
            </w:tcBorders>
            <w:shd w:val="clear" w:color="auto" w:fill="auto"/>
            <w:noWrap/>
            <w:vAlign w:val="bottom"/>
          </w:tcPr>
          <w:p w14:paraId="21F24D2D" w14:textId="6DCDE9CC"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0.02</w:t>
            </w:r>
          </w:p>
        </w:tc>
      </w:tr>
      <w:tr w:rsidR="00F15317" w:rsidRPr="0002162A" w14:paraId="6ED48B3C" w14:textId="77777777" w:rsidTr="00F15317">
        <w:trPr>
          <w:trHeight w:val="300"/>
        </w:trPr>
        <w:tc>
          <w:tcPr>
            <w:tcW w:w="1120" w:type="dxa"/>
            <w:tcBorders>
              <w:top w:val="nil"/>
              <w:left w:val="nil"/>
              <w:bottom w:val="nil"/>
              <w:right w:val="nil"/>
            </w:tcBorders>
            <w:shd w:val="clear" w:color="auto" w:fill="auto"/>
            <w:noWrap/>
            <w:vAlign w:val="bottom"/>
            <w:hideMark/>
          </w:tcPr>
          <w:p w14:paraId="7F21EEB9" w14:textId="77777777" w:rsidR="00F15317" w:rsidRPr="0002162A" w:rsidRDefault="00F15317" w:rsidP="0002162A">
            <w:pPr>
              <w:spacing w:after="0" w:line="240" w:lineRule="auto"/>
              <w:jc w:val="right"/>
              <w:rPr>
                <w:rFonts w:ascii="Calibri" w:eastAsia="Times New Roman" w:hAnsi="Calibri" w:cs="Calibri"/>
                <w:color w:val="000000"/>
                <w:sz w:val="20"/>
                <w:szCs w:val="20"/>
              </w:rPr>
            </w:pPr>
            <w:proofErr w:type="spellStart"/>
            <w:r w:rsidRPr="0002162A">
              <w:rPr>
                <w:rFonts w:ascii="Calibri" w:eastAsia="Times New Roman" w:hAnsi="Calibri" w:cs="Calibri"/>
                <w:color w:val="000000"/>
                <w:sz w:val="20"/>
                <w:szCs w:val="20"/>
              </w:rPr>
              <w:t>TmCP</w:t>
            </w:r>
            <w:proofErr w:type="spellEnd"/>
          </w:p>
        </w:tc>
        <w:tc>
          <w:tcPr>
            <w:tcW w:w="3880" w:type="dxa"/>
            <w:tcBorders>
              <w:top w:val="nil"/>
              <w:left w:val="nil"/>
              <w:bottom w:val="nil"/>
              <w:right w:val="nil"/>
            </w:tcBorders>
            <w:shd w:val="clear" w:color="auto" w:fill="auto"/>
            <w:noWrap/>
            <w:vAlign w:val="center"/>
            <w:hideMark/>
          </w:tcPr>
          <w:p w14:paraId="53D03793"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 per Capita</w:t>
            </w:r>
          </w:p>
        </w:tc>
        <w:tc>
          <w:tcPr>
            <w:tcW w:w="1120" w:type="dxa"/>
            <w:tcBorders>
              <w:top w:val="nil"/>
              <w:left w:val="nil"/>
              <w:bottom w:val="nil"/>
              <w:right w:val="nil"/>
            </w:tcBorders>
            <w:shd w:val="clear" w:color="auto" w:fill="auto"/>
            <w:noWrap/>
            <w:vAlign w:val="bottom"/>
            <w:hideMark/>
          </w:tcPr>
          <w:p w14:paraId="75F0F2B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2.22E-05</w:t>
            </w:r>
          </w:p>
        </w:tc>
        <w:tc>
          <w:tcPr>
            <w:tcW w:w="720" w:type="dxa"/>
            <w:tcBorders>
              <w:top w:val="nil"/>
              <w:left w:val="nil"/>
              <w:bottom w:val="nil"/>
              <w:right w:val="nil"/>
            </w:tcBorders>
            <w:shd w:val="clear" w:color="auto" w:fill="auto"/>
            <w:noWrap/>
            <w:vAlign w:val="bottom"/>
            <w:hideMark/>
          </w:tcPr>
          <w:p w14:paraId="379C6166" w14:textId="00A6E011"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-7.95</w:t>
            </w:r>
          </w:p>
        </w:tc>
        <w:tc>
          <w:tcPr>
            <w:tcW w:w="682" w:type="dxa"/>
            <w:tcBorders>
              <w:top w:val="nil"/>
              <w:left w:val="nil"/>
              <w:bottom w:val="nil"/>
              <w:right w:val="nil"/>
            </w:tcBorders>
            <w:shd w:val="clear" w:color="auto" w:fill="auto"/>
            <w:noWrap/>
            <w:vAlign w:val="bottom"/>
            <w:hideMark/>
          </w:tcPr>
          <w:p w14:paraId="055156E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0.02</w:t>
            </w:r>
          </w:p>
        </w:tc>
        <w:tc>
          <w:tcPr>
            <w:tcW w:w="960" w:type="dxa"/>
            <w:tcBorders>
              <w:top w:val="nil"/>
              <w:left w:val="nil"/>
              <w:bottom w:val="nil"/>
              <w:right w:val="nil"/>
            </w:tcBorders>
            <w:shd w:val="clear" w:color="auto" w:fill="auto"/>
            <w:noWrap/>
            <w:vAlign w:val="bottom"/>
            <w:hideMark/>
          </w:tcPr>
          <w:p w14:paraId="1C7FB563"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9.05E-18</w:t>
            </w:r>
          </w:p>
        </w:tc>
        <w:tc>
          <w:tcPr>
            <w:tcW w:w="571" w:type="dxa"/>
            <w:tcBorders>
              <w:top w:val="nil"/>
              <w:left w:val="nil"/>
              <w:bottom w:val="nil"/>
              <w:right w:val="nil"/>
            </w:tcBorders>
            <w:shd w:val="clear" w:color="auto" w:fill="auto"/>
            <w:noWrap/>
            <w:vAlign w:val="bottom"/>
            <w:hideMark/>
          </w:tcPr>
          <w:p w14:paraId="6A5E45C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0.28</w:t>
            </w:r>
          </w:p>
        </w:tc>
        <w:tc>
          <w:tcPr>
            <w:tcW w:w="602" w:type="dxa"/>
            <w:tcBorders>
              <w:top w:val="nil"/>
              <w:left w:val="nil"/>
              <w:bottom w:val="nil"/>
              <w:right w:val="nil"/>
            </w:tcBorders>
            <w:shd w:val="clear" w:color="auto" w:fill="auto"/>
            <w:noWrap/>
            <w:vAlign w:val="bottom"/>
            <w:hideMark/>
          </w:tcPr>
          <w:p w14:paraId="3DA86AB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0.24</w:t>
            </w:r>
          </w:p>
        </w:tc>
        <w:tc>
          <w:tcPr>
            <w:tcW w:w="709" w:type="dxa"/>
            <w:gridSpan w:val="2"/>
            <w:tcBorders>
              <w:top w:val="nil"/>
              <w:left w:val="nil"/>
              <w:bottom w:val="nil"/>
              <w:right w:val="nil"/>
            </w:tcBorders>
            <w:shd w:val="clear" w:color="auto" w:fill="auto"/>
            <w:noWrap/>
            <w:vAlign w:val="bottom"/>
            <w:hideMark/>
          </w:tcPr>
          <w:p w14:paraId="0113C76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0.02</w:t>
            </w:r>
          </w:p>
        </w:tc>
      </w:tr>
      <w:tr w:rsidR="00F15317" w:rsidRPr="0002162A" w14:paraId="1C510DED" w14:textId="77777777" w:rsidTr="00F15317">
        <w:trPr>
          <w:trHeight w:val="300"/>
        </w:trPr>
        <w:tc>
          <w:tcPr>
            <w:tcW w:w="1120" w:type="dxa"/>
            <w:tcBorders>
              <w:top w:val="nil"/>
              <w:left w:val="nil"/>
              <w:bottom w:val="nil"/>
              <w:right w:val="nil"/>
            </w:tcBorders>
            <w:shd w:val="clear" w:color="auto" w:fill="auto"/>
            <w:noWrap/>
            <w:vAlign w:val="bottom"/>
          </w:tcPr>
          <w:p w14:paraId="12B59EEF" w14:textId="54B93E55"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TCIPP</w:t>
            </w:r>
          </w:p>
        </w:tc>
        <w:tc>
          <w:tcPr>
            <w:tcW w:w="3880" w:type="dxa"/>
            <w:tcBorders>
              <w:top w:val="nil"/>
              <w:left w:val="nil"/>
              <w:bottom w:val="nil"/>
              <w:right w:val="nil"/>
            </w:tcBorders>
            <w:shd w:val="clear" w:color="auto" w:fill="auto"/>
            <w:noWrap/>
            <w:vAlign w:val="center"/>
          </w:tcPr>
          <w:p w14:paraId="5C9EE6C7" w14:textId="61991FB7"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RH</w:t>
            </w:r>
          </w:p>
        </w:tc>
        <w:tc>
          <w:tcPr>
            <w:tcW w:w="1120" w:type="dxa"/>
            <w:tcBorders>
              <w:top w:val="nil"/>
              <w:left w:val="nil"/>
              <w:bottom w:val="nil"/>
              <w:right w:val="nil"/>
            </w:tcBorders>
            <w:shd w:val="clear" w:color="auto" w:fill="auto"/>
            <w:noWrap/>
            <w:vAlign w:val="bottom"/>
          </w:tcPr>
          <w:p w14:paraId="570843B9" w14:textId="4A628B58"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2.35E-02</w:t>
            </w:r>
          </w:p>
        </w:tc>
        <w:tc>
          <w:tcPr>
            <w:tcW w:w="720" w:type="dxa"/>
            <w:tcBorders>
              <w:top w:val="nil"/>
              <w:left w:val="nil"/>
              <w:bottom w:val="nil"/>
              <w:right w:val="nil"/>
            </w:tcBorders>
            <w:shd w:val="clear" w:color="auto" w:fill="auto"/>
            <w:noWrap/>
            <w:vAlign w:val="bottom"/>
          </w:tcPr>
          <w:p w14:paraId="731AEB78" w14:textId="41887CF8"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-7.54</w:t>
            </w:r>
          </w:p>
        </w:tc>
        <w:tc>
          <w:tcPr>
            <w:tcW w:w="682" w:type="dxa"/>
            <w:tcBorders>
              <w:top w:val="nil"/>
              <w:left w:val="nil"/>
              <w:bottom w:val="nil"/>
              <w:right w:val="nil"/>
            </w:tcBorders>
            <w:shd w:val="clear" w:color="auto" w:fill="auto"/>
            <w:noWrap/>
            <w:vAlign w:val="bottom"/>
          </w:tcPr>
          <w:p w14:paraId="6AC83D92" w14:textId="2C2F134E"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0.02</w:t>
            </w:r>
          </w:p>
        </w:tc>
        <w:tc>
          <w:tcPr>
            <w:tcW w:w="960" w:type="dxa"/>
            <w:tcBorders>
              <w:top w:val="nil"/>
              <w:left w:val="nil"/>
              <w:bottom w:val="nil"/>
              <w:right w:val="nil"/>
            </w:tcBorders>
            <w:shd w:val="clear" w:color="auto" w:fill="auto"/>
            <w:noWrap/>
            <w:vAlign w:val="bottom"/>
          </w:tcPr>
          <w:p w14:paraId="1EEF084C" w14:textId="25046FAE"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1.97E-09</w:t>
            </w:r>
          </w:p>
        </w:tc>
        <w:tc>
          <w:tcPr>
            <w:tcW w:w="571" w:type="dxa"/>
            <w:tcBorders>
              <w:top w:val="nil"/>
              <w:left w:val="nil"/>
              <w:bottom w:val="nil"/>
              <w:right w:val="nil"/>
            </w:tcBorders>
            <w:shd w:val="clear" w:color="auto" w:fill="auto"/>
            <w:noWrap/>
            <w:vAlign w:val="bottom"/>
          </w:tcPr>
          <w:p w14:paraId="531E01A2" w14:textId="363D1F9B"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0.28</w:t>
            </w:r>
          </w:p>
        </w:tc>
        <w:tc>
          <w:tcPr>
            <w:tcW w:w="602" w:type="dxa"/>
            <w:tcBorders>
              <w:top w:val="nil"/>
              <w:left w:val="nil"/>
              <w:bottom w:val="nil"/>
              <w:right w:val="nil"/>
            </w:tcBorders>
            <w:shd w:val="clear" w:color="auto" w:fill="auto"/>
            <w:noWrap/>
            <w:vAlign w:val="bottom"/>
          </w:tcPr>
          <w:p w14:paraId="41317C44" w14:textId="61F25C64"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0.23</w:t>
            </w:r>
          </w:p>
        </w:tc>
        <w:tc>
          <w:tcPr>
            <w:tcW w:w="709" w:type="dxa"/>
            <w:gridSpan w:val="2"/>
            <w:tcBorders>
              <w:top w:val="nil"/>
              <w:left w:val="nil"/>
              <w:bottom w:val="nil"/>
              <w:right w:val="nil"/>
            </w:tcBorders>
            <w:shd w:val="clear" w:color="auto" w:fill="auto"/>
            <w:noWrap/>
            <w:vAlign w:val="bottom"/>
          </w:tcPr>
          <w:p w14:paraId="2279236F" w14:textId="29CF556D"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0.02</w:t>
            </w:r>
          </w:p>
        </w:tc>
      </w:tr>
      <w:tr w:rsidR="00F15317" w:rsidRPr="0002162A" w14:paraId="3205D0C6" w14:textId="77777777" w:rsidTr="00F15317">
        <w:trPr>
          <w:trHeight w:val="300"/>
        </w:trPr>
        <w:tc>
          <w:tcPr>
            <w:tcW w:w="1120" w:type="dxa"/>
            <w:tcBorders>
              <w:top w:val="nil"/>
              <w:left w:val="nil"/>
              <w:bottom w:val="nil"/>
              <w:right w:val="nil"/>
            </w:tcBorders>
            <w:shd w:val="clear" w:color="auto" w:fill="auto"/>
            <w:noWrap/>
            <w:vAlign w:val="bottom"/>
            <w:hideMark/>
          </w:tcPr>
          <w:p w14:paraId="6AEE6313"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TCIPP</w:t>
            </w:r>
          </w:p>
        </w:tc>
        <w:tc>
          <w:tcPr>
            <w:tcW w:w="3880" w:type="dxa"/>
            <w:tcBorders>
              <w:top w:val="nil"/>
              <w:left w:val="nil"/>
              <w:bottom w:val="nil"/>
              <w:right w:val="nil"/>
            </w:tcBorders>
            <w:shd w:val="clear" w:color="auto" w:fill="auto"/>
            <w:noWrap/>
            <w:vAlign w:val="center"/>
            <w:hideMark/>
          </w:tcPr>
          <w:p w14:paraId="565BB30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w:t>
            </w:r>
          </w:p>
        </w:tc>
        <w:tc>
          <w:tcPr>
            <w:tcW w:w="1120" w:type="dxa"/>
            <w:tcBorders>
              <w:top w:val="nil"/>
              <w:left w:val="nil"/>
              <w:bottom w:val="nil"/>
              <w:right w:val="nil"/>
            </w:tcBorders>
            <w:shd w:val="clear" w:color="auto" w:fill="auto"/>
            <w:noWrap/>
            <w:vAlign w:val="bottom"/>
            <w:hideMark/>
          </w:tcPr>
          <w:p w14:paraId="16F01FB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2.37E-12</w:t>
            </w:r>
          </w:p>
        </w:tc>
        <w:tc>
          <w:tcPr>
            <w:tcW w:w="720" w:type="dxa"/>
            <w:tcBorders>
              <w:top w:val="nil"/>
              <w:left w:val="nil"/>
              <w:bottom w:val="nil"/>
              <w:right w:val="nil"/>
            </w:tcBorders>
            <w:shd w:val="clear" w:color="auto" w:fill="auto"/>
            <w:noWrap/>
            <w:vAlign w:val="bottom"/>
            <w:hideMark/>
          </w:tcPr>
          <w:p w14:paraId="14FE435F" w14:textId="073F1490"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-6.34</w:t>
            </w:r>
          </w:p>
        </w:tc>
        <w:tc>
          <w:tcPr>
            <w:tcW w:w="682" w:type="dxa"/>
            <w:tcBorders>
              <w:top w:val="nil"/>
              <w:left w:val="nil"/>
              <w:bottom w:val="nil"/>
              <w:right w:val="nil"/>
            </w:tcBorders>
            <w:shd w:val="clear" w:color="auto" w:fill="auto"/>
            <w:noWrap/>
            <w:vAlign w:val="bottom"/>
            <w:hideMark/>
          </w:tcPr>
          <w:p w14:paraId="796B3F57"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0.02</w:t>
            </w:r>
          </w:p>
        </w:tc>
        <w:tc>
          <w:tcPr>
            <w:tcW w:w="960" w:type="dxa"/>
            <w:tcBorders>
              <w:top w:val="nil"/>
              <w:left w:val="nil"/>
              <w:bottom w:val="nil"/>
              <w:right w:val="nil"/>
            </w:tcBorders>
            <w:shd w:val="clear" w:color="auto" w:fill="auto"/>
            <w:noWrap/>
            <w:vAlign w:val="bottom"/>
            <w:hideMark/>
          </w:tcPr>
          <w:p w14:paraId="2269F6C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4.57E-16</w:t>
            </w:r>
          </w:p>
        </w:tc>
        <w:tc>
          <w:tcPr>
            <w:tcW w:w="571" w:type="dxa"/>
            <w:tcBorders>
              <w:top w:val="nil"/>
              <w:left w:val="nil"/>
              <w:bottom w:val="nil"/>
              <w:right w:val="nil"/>
            </w:tcBorders>
            <w:shd w:val="clear" w:color="auto" w:fill="auto"/>
            <w:noWrap/>
            <w:vAlign w:val="bottom"/>
            <w:hideMark/>
          </w:tcPr>
          <w:p w14:paraId="562CE1A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0.27</w:t>
            </w:r>
          </w:p>
        </w:tc>
        <w:tc>
          <w:tcPr>
            <w:tcW w:w="602" w:type="dxa"/>
            <w:tcBorders>
              <w:top w:val="nil"/>
              <w:left w:val="nil"/>
              <w:bottom w:val="nil"/>
              <w:right w:val="nil"/>
            </w:tcBorders>
            <w:shd w:val="clear" w:color="auto" w:fill="auto"/>
            <w:noWrap/>
            <w:vAlign w:val="bottom"/>
            <w:hideMark/>
          </w:tcPr>
          <w:p w14:paraId="12DA51D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0.23</w:t>
            </w:r>
          </w:p>
        </w:tc>
        <w:tc>
          <w:tcPr>
            <w:tcW w:w="709" w:type="dxa"/>
            <w:gridSpan w:val="2"/>
            <w:tcBorders>
              <w:top w:val="nil"/>
              <w:left w:val="nil"/>
              <w:bottom w:val="nil"/>
              <w:right w:val="nil"/>
            </w:tcBorders>
            <w:shd w:val="clear" w:color="auto" w:fill="auto"/>
            <w:noWrap/>
            <w:vAlign w:val="bottom"/>
            <w:hideMark/>
          </w:tcPr>
          <w:p w14:paraId="5C833E9C"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0.02</w:t>
            </w:r>
          </w:p>
        </w:tc>
      </w:tr>
      <w:tr w:rsidR="00F15317" w:rsidRPr="0002162A" w14:paraId="758471F0" w14:textId="77777777" w:rsidTr="00F15317">
        <w:trPr>
          <w:trHeight w:val="300"/>
        </w:trPr>
        <w:tc>
          <w:tcPr>
            <w:tcW w:w="1120" w:type="dxa"/>
            <w:tcBorders>
              <w:top w:val="nil"/>
              <w:left w:val="nil"/>
              <w:bottom w:val="nil"/>
              <w:right w:val="nil"/>
            </w:tcBorders>
            <w:shd w:val="clear" w:color="auto" w:fill="auto"/>
            <w:noWrap/>
            <w:vAlign w:val="bottom"/>
          </w:tcPr>
          <w:p w14:paraId="1F889A0E" w14:textId="6829C1B9" w:rsidR="00F15317" w:rsidRPr="0002162A" w:rsidRDefault="00F15317" w:rsidP="00F15317">
            <w:pPr>
              <w:spacing w:after="0" w:line="240" w:lineRule="auto"/>
              <w:jc w:val="right"/>
              <w:rPr>
                <w:rFonts w:ascii="Calibri" w:eastAsia="Times New Roman" w:hAnsi="Calibri" w:cs="Calibri"/>
                <w:color w:val="000000"/>
                <w:sz w:val="20"/>
                <w:szCs w:val="20"/>
              </w:rPr>
            </w:pPr>
            <w:proofErr w:type="spellStart"/>
            <w:r>
              <w:rPr>
                <w:rFonts w:ascii="Calibri" w:hAnsi="Calibri" w:cs="Calibri"/>
                <w:color w:val="000000"/>
                <w:sz w:val="20"/>
                <w:szCs w:val="20"/>
              </w:rPr>
              <w:t>TmCP</w:t>
            </w:r>
            <w:proofErr w:type="spellEnd"/>
          </w:p>
        </w:tc>
        <w:tc>
          <w:tcPr>
            <w:tcW w:w="3880" w:type="dxa"/>
            <w:tcBorders>
              <w:top w:val="nil"/>
              <w:left w:val="nil"/>
              <w:bottom w:val="nil"/>
              <w:right w:val="nil"/>
            </w:tcBorders>
            <w:shd w:val="clear" w:color="auto" w:fill="auto"/>
            <w:noWrap/>
            <w:vAlign w:val="center"/>
          </w:tcPr>
          <w:p w14:paraId="568AC71A" w14:textId="24F9D669"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Precipitation Rate</w:t>
            </w:r>
          </w:p>
        </w:tc>
        <w:tc>
          <w:tcPr>
            <w:tcW w:w="1120" w:type="dxa"/>
            <w:tcBorders>
              <w:top w:val="nil"/>
              <w:left w:val="nil"/>
              <w:bottom w:val="nil"/>
              <w:right w:val="nil"/>
            </w:tcBorders>
            <w:shd w:val="clear" w:color="auto" w:fill="auto"/>
            <w:noWrap/>
            <w:vAlign w:val="bottom"/>
          </w:tcPr>
          <w:p w14:paraId="25051D3E" w14:textId="1FA34BD2"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3.72E+00</w:t>
            </w:r>
          </w:p>
        </w:tc>
        <w:tc>
          <w:tcPr>
            <w:tcW w:w="720" w:type="dxa"/>
            <w:tcBorders>
              <w:top w:val="nil"/>
              <w:left w:val="nil"/>
              <w:bottom w:val="nil"/>
              <w:right w:val="nil"/>
            </w:tcBorders>
            <w:shd w:val="clear" w:color="auto" w:fill="auto"/>
            <w:noWrap/>
            <w:vAlign w:val="bottom"/>
          </w:tcPr>
          <w:p w14:paraId="503FA379" w14:textId="56A06A50"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-7.96</w:t>
            </w:r>
          </w:p>
        </w:tc>
        <w:tc>
          <w:tcPr>
            <w:tcW w:w="682" w:type="dxa"/>
            <w:tcBorders>
              <w:top w:val="nil"/>
              <w:left w:val="nil"/>
              <w:bottom w:val="nil"/>
              <w:right w:val="nil"/>
            </w:tcBorders>
            <w:shd w:val="clear" w:color="auto" w:fill="auto"/>
            <w:noWrap/>
            <w:vAlign w:val="bottom"/>
          </w:tcPr>
          <w:p w14:paraId="346F2B87" w14:textId="631B73A6"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0.02</w:t>
            </w:r>
          </w:p>
        </w:tc>
        <w:tc>
          <w:tcPr>
            <w:tcW w:w="960" w:type="dxa"/>
            <w:tcBorders>
              <w:top w:val="nil"/>
              <w:left w:val="nil"/>
              <w:bottom w:val="nil"/>
              <w:right w:val="nil"/>
            </w:tcBorders>
            <w:shd w:val="clear" w:color="auto" w:fill="auto"/>
            <w:noWrap/>
            <w:vAlign w:val="bottom"/>
          </w:tcPr>
          <w:p w14:paraId="27E5BA54" w14:textId="2F30996C"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1.91E-17</w:t>
            </w:r>
          </w:p>
        </w:tc>
        <w:tc>
          <w:tcPr>
            <w:tcW w:w="571" w:type="dxa"/>
            <w:tcBorders>
              <w:top w:val="nil"/>
              <w:left w:val="nil"/>
              <w:bottom w:val="nil"/>
              <w:right w:val="nil"/>
            </w:tcBorders>
            <w:shd w:val="clear" w:color="auto" w:fill="auto"/>
            <w:noWrap/>
            <w:vAlign w:val="bottom"/>
          </w:tcPr>
          <w:p w14:paraId="3329EBA7" w14:textId="767A9035"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0.27</w:t>
            </w:r>
          </w:p>
        </w:tc>
        <w:tc>
          <w:tcPr>
            <w:tcW w:w="602" w:type="dxa"/>
            <w:tcBorders>
              <w:top w:val="nil"/>
              <w:left w:val="nil"/>
              <w:bottom w:val="nil"/>
              <w:right w:val="nil"/>
            </w:tcBorders>
            <w:shd w:val="clear" w:color="auto" w:fill="auto"/>
            <w:noWrap/>
            <w:vAlign w:val="bottom"/>
          </w:tcPr>
          <w:p w14:paraId="6A4235EA" w14:textId="56FB4880"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0.23</w:t>
            </w:r>
          </w:p>
        </w:tc>
        <w:tc>
          <w:tcPr>
            <w:tcW w:w="709" w:type="dxa"/>
            <w:gridSpan w:val="2"/>
            <w:tcBorders>
              <w:top w:val="nil"/>
              <w:left w:val="nil"/>
              <w:bottom w:val="nil"/>
              <w:right w:val="nil"/>
            </w:tcBorders>
            <w:shd w:val="clear" w:color="auto" w:fill="auto"/>
            <w:noWrap/>
            <w:vAlign w:val="bottom"/>
          </w:tcPr>
          <w:p w14:paraId="091B4075" w14:textId="01192B19"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0.02</w:t>
            </w:r>
          </w:p>
        </w:tc>
      </w:tr>
      <w:tr w:rsidR="00F15317" w:rsidRPr="0002162A" w14:paraId="6737B70C" w14:textId="77777777" w:rsidTr="00F15317">
        <w:trPr>
          <w:trHeight w:val="300"/>
        </w:trPr>
        <w:tc>
          <w:tcPr>
            <w:tcW w:w="1120" w:type="dxa"/>
            <w:tcBorders>
              <w:top w:val="nil"/>
              <w:left w:val="nil"/>
              <w:bottom w:val="nil"/>
              <w:right w:val="nil"/>
            </w:tcBorders>
            <w:shd w:val="clear" w:color="auto" w:fill="auto"/>
            <w:noWrap/>
            <w:vAlign w:val="bottom"/>
            <w:hideMark/>
          </w:tcPr>
          <w:p w14:paraId="2426F733"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∑OPEs</w:t>
            </w:r>
          </w:p>
        </w:tc>
        <w:tc>
          <w:tcPr>
            <w:tcW w:w="3880" w:type="dxa"/>
            <w:tcBorders>
              <w:top w:val="nil"/>
              <w:left w:val="nil"/>
              <w:bottom w:val="nil"/>
              <w:right w:val="nil"/>
            </w:tcBorders>
            <w:shd w:val="clear" w:color="auto" w:fill="auto"/>
            <w:noWrap/>
            <w:vAlign w:val="center"/>
            <w:hideMark/>
          </w:tcPr>
          <w:p w14:paraId="05E62D0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Energy for Buildings</w:t>
            </w:r>
          </w:p>
        </w:tc>
        <w:tc>
          <w:tcPr>
            <w:tcW w:w="1120" w:type="dxa"/>
            <w:tcBorders>
              <w:top w:val="nil"/>
              <w:left w:val="nil"/>
              <w:bottom w:val="nil"/>
              <w:right w:val="nil"/>
            </w:tcBorders>
            <w:shd w:val="clear" w:color="auto" w:fill="auto"/>
            <w:noWrap/>
            <w:vAlign w:val="bottom"/>
            <w:hideMark/>
          </w:tcPr>
          <w:p w14:paraId="6A59522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2.21E+00</w:t>
            </w:r>
          </w:p>
        </w:tc>
        <w:tc>
          <w:tcPr>
            <w:tcW w:w="720" w:type="dxa"/>
            <w:tcBorders>
              <w:top w:val="nil"/>
              <w:left w:val="nil"/>
              <w:bottom w:val="nil"/>
              <w:right w:val="nil"/>
            </w:tcBorders>
            <w:shd w:val="clear" w:color="auto" w:fill="auto"/>
            <w:noWrap/>
            <w:vAlign w:val="bottom"/>
            <w:hideMark/>
          </w:tcPr>
          <w:p w14:paraId="7FB1BDB7" w14:textId="3CCDF679"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-5.97</w:t>
            </w:r>
          </w:p>
        </w:tc>
        <w:tc>
          <w:tcPr>
            <w:tcW w:w="682" w:type="dxa"/>
            <w:tcBorders>
              <w:top w:val="nil"/>
              <w:left w:val="nil"/>
              <w:bottom w:val="nil"/>
              <w:right w:val="nil"/>
            </w:tcBorders>
            <w:shd w:val="clear" w:color="auto" w:fill="auto"/>
            <w:noWrap/>
            <w:vAlign w:val="bottom"/>
            <w:hideMark/>
          </w:tcPr>
          <w:p w14:paraId="60C818F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c>
          <w:tcPr>
            <w:tcW w:w="960" w:type="dxa"/>
            <w:tcBorders>
              <w:top w:val="nil"/>
              <w:left w:val="nil"/>
              <w:bottom w:val="nil"/>
              <w:right w:val="nil"/>
            </w:tcBorders>
            <w:shd w:val="clear" w:color="auto" w:fill="auto"/>
            <w:noWrap/>
            <w:vAlign w:val="bottom"/>
            <w:hideMark/>
          </w:tcPr>
          <w:p w14:paraId="777326A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1.57E-15</w:t>
            </w:r>
          </w:p>
        </w:tc>
        <w:tc>
          <w:tcPr>
            <w:tcW w:w="571" w:type="dxa"/>
            <w:tcBorders>
              <w:top w:val="nil"/>
              <w:left w:val="nil"/>
              <w:bottom w:val="nil"/>
              <w:right w:val="nil"/>
            </w:tcBorders>
            <w:shd w:val="clear" w:color="auto" w:fill="auto"/>
            <w:noWrap/>
            <w:vAlign w:val="bottom"/>
            <w:hideMark/>
          </w:tcPr>
          <w:p w14:paraId="179DD957"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0.26</w:t>
            </w:r>
          </w:p>
        </w:tc>
        <w:tc>
          <w:tcPr>
            <w:tcW w:w="602" w:type="dxa"/>
            <w:tcBorders>
              <w:top w:val="nil"/>
              <w:left w:val="nil"/>
              <w:bottom w:val="nil"/>
              <w:right w:val="nil"/>
            </w:tcBorders>
            <w:shd w:val="clear" w:color="auto" w:fill="auto"/>
            <w:noWrap/>
            <w:vAlign w:val="bottom"/>
            <w:hideMark/>
          </w:tcPr>
          <w:p w14:paraId="1DA792FC"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0.21</w:t>
            </w:r>
          </w:p>
        </w:tc>
        <w:tc>
          <w:tcPr>
            <w:tcW w:w="709" w:type="dxa"/>
            <w:gridSpan w:val="2"/>
            <w:tcBorders>
              <w:top w:val="nil"/>
              <w:left w:val="nil"/>
              <w:bottom w:val="nil"/>
              <w:right w:val="nil"/>
            </w:tcBorders>
            <w:shd w:val="clear" w:color="auto" w:fill="auto"/>
            <w:noWrap/>
            <w:vAlign w:val="bottom"/>
            <w:hideMark/>
          </w:tcPr>
          <w:p w14:paraId="40BE7FC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r>
      <w:tr w:rsidR="00F15317" w:rsidRPr="0002162A" w14:paraId="778E9EEA" w14:textId="77777777" w:rsidTr="00F15317">
        <w:trPr>
          <w:trHeight w:val="300"/>
        </w:trPr>
        <w:tc>
          <w:tcPr>
            <w:tcW w:w="1120" w:type="dxa"/>
            <w:tcBorders>
              <w:top w:val="nil"/>
              <w:left w:val="nil"/>
              <w:bottom w:val="nil"/>
              <w:right w:val="nil"/>
            </w:tcBorders>
            <w:shd w:val="clear" w:color="auto" w:fill="auto"/>
            <w:noWrap/>
            <w:vAlign w:val="bottom"/>
            <w:hideMark/>
          </w:tcPr>
          <w:p w14:paraId="5F76407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TBOEP</w:t>
            </w:r>
          </w:p>
        </w:tc>
        <w:tc>
          <w:tcPr>
            <w:tcW w:w="3880" w:type="dxa"/>
            <w:tcBorders>
              <w:top w:val="nil"/>
              <w:left w:val="nil"/>
              <w:bottom w:val="nil"/>
              <w:right w:val="nil"/>
            </w:tcBorders>
            <w:shd w:val="clear" w:color="auto" w:fill="auto"/>
            <w:noWrap/>
            <w:vAlign w:val="center"/>
            <w:hideMark/>
          </w:tcPr>
          <w:p w14:paraId="56931D45"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 per Capita</w:t>
            </w:r>
          </w:p>
        </w:tc>
        <w:tc>
          <w:tcPr>
            <w:tcW w:w="1120" w:type="dxa"/>
            <w:tcBorders>
              <w:top w:val="nil"/>
              <w:left w:val="nil"/>
              <w:bottom w:val="nil"/>
              <w:right w:val="nil"/>
            </w:tcBorders>
            <w:shd w:val="clear" w:color="auto" w:fill="auto"/>
            <w:noWrap/>
            <w:vAlign w:val="bottom"/>
            <w:hideMark/>
          </w:tcPr>
          <w:p w14:paraId="64D6C15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2.35E-05</w:t>
            </w:r>
          </w:p>
        </w:tc>
        <w:tc>
          <w:tcPr>
            <w:tcW w:w="720" w:type="dxa"/>
            <w:tcBorders>
              <w:top w:val="nil"/>
              <w:left w:val="nil"/>
              <w:bottom w:val="nil"/>
              <w:right w:val="nil"/>
            </w:tcBorders>
            <w:shd w:val="clear" w:color="auto" w:fill="auto"/>
            <w:noWrap/>
            <w:vAlign w:val="bottom"/>
            <w:hideMark/>
          </w:tcPr>
          <w:p w14:paraId="1DC35E27" w14:textId="626386F1"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-7.46</w:t>
            </w:r>
          </w:p>
        </w:tc>
        <w:tc>
          <w:tcPr>
            <w:tcW w:w="682" w:type="dxa"/>
            <w:tcBorders>
              <w:top w:val="nil"/>
              <w:left w:val="nil"/>
              <w:bottom w:val="nil"/>
              <w:right w:val="nil"/>
            </w:tcBorders>
            <w:shd w:val="clear" w:color="auto" w:fill="auto"/>
            <w:noWrap/>
            <w:vAlign w:val="bottom"/>
            <w:hideMark/>
          </w:tcPr>
          <w:p w14:paraId="6AFFBF3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c>
          <w:tcPr>
            <w:tcW w:w="960" w:type="dxa"/>
            <w:tcBorders>
              <w:top w:val="nil"/>
              <w:left w:val="nil"/>
              <w:bottom w:val="nil"/>
              <w:right w:val="nil"/>
            </w:tcBorders>
            <w:shd w:val="clear" w:color="auto" w:fill="auto"/>
            <w:noWrap/>
            <w:vAlign w:val="bottom"/>
            <w:hideMark/>
          </w:tcPr>
          <w:p w14:paraId="7057213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9.88E-15</w:t>
            </w:r>
          </w:p>
        </w:tc>
        <w:tc>
          <w:tcPr>
            <w:tcW w:w="571" w:type="dxa"/>
            <w:tcBorders>
              <w:top w:val="nil"/>
              <w:left w:val="nil"/>
              <w:bottom w:val="nil"/>
              <w:right w:val="nil"/>
            </w:tcBorders>
            <w:shd w:val="clear" w:color="auto" w:fill="auto"/>
            <w:noWrap/>
            <w:vAlign w:val="bottom"/>
            <w:hideMark/>
          </w:tcPr>
          <w:p w14:paraId="59A1B6B5"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0.28</w:t>
            </w:r>
          </w:p>
        </w:tc>
        <w:tc>
          <w:tcPr>
            <w:tcW w:w="602" w:type="dxa"/>
            <w:tcBorders>
              <w:top w:val="nil"/>
              <w:left w:val="nil"/>
              <w:bottom w:val="nil"/>
              <w:right w:val="nil"/>
            </w:tcBorders>
            <w:shd w:val="clear" w:color="auto" w:fill="auto"/>
            <w:noWrap/>
            <w:vAlign w:val="bottom"/>
            <w:hideMark/>
          </w:tcPr>
          <w:p w14:paraId="2BEB307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0.23</w:t>
            </w:r>
          </w:p>
        </w:tc>
        <w:tc>
          <w:tcPr>
            <w:tcW w:w="709" w:type="dxa"/>
            <w:gridSpan w:val="2"/>
            <w:tcBorders>
              <w:top w:val="nil"/>
              <w:left w:val="nil"/>
              <w:bottom w:val="nil"/>
              <w:right w:val="nil"/>
            </w:tcBorders>
            <w:shd w:val="clear" w:color="auto" w:fill="auto"/>
            <w:noWrap/>
            <w:vAlign w:val="bottom"/>
            <w:hideMark/>
          </w:tcPr>
          <w:p w14:paraId="78AF48F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r>
      <w:tr w:rsidR="00F15317" w:rsidRPr="0002162A" w14:paraId="12030829" w14:textId="77777777" w:rsidTr="00F15317">
        <w:trPr>
          <w:trHeight w:val="300"/>
        </w:trPr>
        <w:tc>
          <w:tcPr>
            <w:tcW w:w="1120" w:type="dxa"/>
            <w:tcBorders>
              <w:top w:val="nil"/>
              <w:left w:val="nil"/>
              <w:bottom w:val="nil"/>
              <w:right w:val="nil"/>
            </w:tcBorders>
            <w:shd w:val="clear" w:color="auto" w:fill="auto"/>
            <w:noWrap/>
            <w:vAlign w:val="bottom"/>
          </w:tcPr>
          <w:p w14:paraId="438E828A" w14:textId="30AAC7BE" w:rsidR="00F15317" w:rsidRPr="0002162A" w:rsidRDefault="00F15317" w:rsidP="00F15317">
            <w:pPr>
              <w:spacing w:after="0" w:line="240" w:lineRule="auto"/>
              <w:jc w:val="right"/>
              <w:rPr>
                <w:rFonts w:ascii="Calibri" w:eastAsia="Times New Roman" w:hAnsi="Calibri" w:cs="Calibri"/>
                <w:color w:val="000000"/>
                <w:sz w:val="20"/>
                <w:szCs w:val="20"/>
              </w:rPr>
            </w:pPr>
            <w:proofErr w:type="spellStart"/>
            <w:r>
              <w:rPr>
                <w:rFonts w:ascii="Calibri" w:hAnsi="Calibri" w:cs="Calibri"/>
                <w:color w:val="000000"/>
                <w:sz w:val="20"/>
                <w:szCs w:val="20"/>
              </w:rPr>
              <w:t>TPrP</w:t>
            </w:r>
            <w:proofErr w:type="spellEnd"/>
          </w:p>
        </w:tc>
        <w:tc>
          <w:tcPr>
            <w:tcW w:w="3880" w:type="dxa"/>
            <w:tcBorders>
              <w:top w:val="nil"/>
              <w:left w:val="nil"/>
              <w:bottom w:val="nil"/>
              <w:right w:val="nil"/>
            </w:tcBorders>
            <w:shd w:val="clear" w:color="auto" w:fill="auto"/>
            <w:noWrap/>
            <w:vAlign w:val="center"/>
          </w:tcPr>
          <w:p w14:paraId="4D32B90E" w14:textId="22BD9FE3"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Area of Vegetation</w:t>
            </w:r>
          </w:p>
        </w:tc>
        <w:tc>
          <w:tcPr>
            <w:tcW w:w="1120" w:type="dxa"/>
            <w:tcBorders>
              <w:top w:val="nil"/>
              <w:left w:val="nil"/>
              <w:bottom w:val="nil"/>
              <w:right w:val="nil"/>
            </w:tcBorders>
            <w:shd w:val="clear" w:color="auto" w:fill="auto"/>
            <w:noWrap/>
            <w:vAlign w:val="bottom"/>
          </w:tcPr>
          <w:p w14:paraId="2DF22E85" w14:textId="5FAB9577"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-1.10E-10</w:t>
            </w:r>
          </w:p>
        </w:tc>
        <w:tc>
          <w:tcPr>
            <w:tcW w:w="720" w:type="dxa"/>
            <w:tcBorders>
              <w:top w:val="nil"/>
              <w:left w:val="nil"/>
              <w:bottom w:val="nil"/>
              <w:right w:val="nil"/>
            </w:tcBorders>
            <w:shd w:val="clear" w:color="auto" w:fill="auto"/>
            <w:noWrap/>
            <w:vAlign w:val="bottom"/>
          </w:tcPr>
          <w:p w14:paraId="3EEF7564" w14:textId="5491D371"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-7.41</w:t>
            </w:r>
          </w:p>
        </w:tc>
        <w:tc>
          <w:tcPr>
            <w:tcW w:w="682" w:type="dxa"/>
            <w:tcBorders>
              <w:top w:val="nil"/>
              <w:left w:val="nil"/>
              <w:bottom w:val="nil"/>
              <w:right w:val="nil"/>
            </w:tcBorders>
            <w:shd w:val="clear" w:color="auto" w:fill="auto"/>
            <w:noWrap/>
            <w:vAlign w:val="bottom"/>
          </w:tcPr>
          <w:p w14:paraId="03774557" w14:textId="79696E63"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0.03</w:t>
            </w:r>
          </w:p>
        </w:tc>
        <w:tc>
          <w:tcPr>
            <w:tcW w:w="960" w:type="dxa"/>
            <w:tcBorders>
              <w:top w:val="nil"/>
              <w:left w:val="nil"/>
              <w:bottom w:val="nil"/>
              <w:right w:val="nil"/>
            </w:tcBorders>
            <w:shd w:val="clear" w:color="auto" w:fill="auto"/>
            <w:noWrap/>
            <w:vAlign w:val="bottom"/>
          </w:tcPr>
          <w:p w14:paraId="11ABBD13" w14:textId="5CBCD216"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3.42E-22</w:t>
            </w:r>
          </w:p>
        </w:tc>
        <w:tc>
          <w:tcPr>
            <w:tcW w:w="571" w:type="dxa"/>
            <w:tcBorders>
              <w:top w:val="nil"/>
              <w:left w:val="nil"/>
              <w:bottom w:val="nil"/>
              <w:right w:val="nil"/>
            </w:tcBorders>
            <w:shd w:val="clear" w:color="auto" w:fill="auto"/>
            <w:noWrap/>
            <w:vAlign w:val="bottom"/>
          </w:tcPr>
          <w:p w14:paraId="04814AA9" w14:textId="52D4753A"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0.25</w:t>
            </w:r>
          </w:p>
        </w:tc>
        <w:tc>
          <w:tcPr>
            <w:tcW w:w="602" w:type="dxa"/>
            <w:tcBorders>
              <w:top w:val="nil"/>
              <w:left w:val="nil"/>
              <w:bottom w:val="nil"/>
              <w:right w:val="nil"/>
            </w:tcBorders>
            <w:shd w:val="clear" w:color="auto" w:fill="auto"/>
            <w:noWrap/>
            <w:vAlign w:val="bottom"/>
          </w:tcPr>
          <w:p w14:paraId="6F19F72E" w14:textId="3BA206BD"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0.21</w:t>
            </w:r>
          </w:p>
        </w:tc>
        <w:tc>
          <w:tcPr>
            <w:tcW w:w="709" w:type="dxa"/>
            <w:gridSpan w:val="2"/>
            <w:tcBorders>
              <w:top w:val="nil"/>
              <w:left w:val="nil"/>
              <w:bottom w:val="nil"/>
              <w:right w:val="nil"/>
            </w:tcBorders>
            <w:shd w:val="clear" w:color="auto" w:fill="auto"/>
            <w:noWrap/>
            <w:vAlign w:val="bottom"/>
          </w:tcPr>
          <w:p w14:paraId="522C8BFB" w14:textId="51E9643D"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0.03</w:t>
            </w:r>
          </w:p>
        </w:tc>
      </w:tr>
      <w:tr w:rsidR="00F15317" w:rsidRPr="0002162A" w14:paraId="32830C19" w14:textId="77777777" w:rsidTr="00F15317">
        <w:trPr>
          <w:trHeight w:val="300"/>
        </w:trPr>
        <w:tc>
          <w:tcPr>
            <w:tcW w:w="1120" w:type="dxa"/>
            <w:tcBorders>
              <w:top w:val="nil"/>
              <w:left w:val="nil"/>
              <w:bottom w:val="nil"/>
              <w:right w:val="nil"/>
            </w:tcBorders>
            <w:shd w:val="clear" w:color="auto" w:fill="auto"/>
            <w:noWrap/>
            <w:vAlign w:val="bottom"/>
            <w:hideMark/>
          </w:tcPr>
          <w:p w14:paraId="357374F7"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TEHP</w:t>
            </w:r>
          </w:p>
        </w:tc>
        <w:tc>
          <w:tcPr>
            <w:tcW w:w="3880" w:type="dxa"/>
            <w:tcBorders>
              <w:top w:val="nil"/>
              <w:left w:val="nil"/>
              <w:bottom w:val="nil"/>
              <w:right w:val="nil"/>
            </w:tcBorders>
            <w:shd w:val="clear" w:color="auto" w:fill="auto"/>
            <w:noWrap/>
            <w:vAlign w:val="center"/>
            <w:hideMark/>
          </w:tcPr>
          <w:p w14:paraId="295AE83F"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Solid Waste Incineration</w:t>
            </w:r>
          </w:p>
        </w:tc>
        <w:tc>
          <w:tcPr>
            <w:tcW w:w="1120" w:type="dxa"/>
            <w:tcBorders>
              <w:top w:val="nil"/>
              <w:left w:val="nil"/>
              <w:bottom w:val="nil"/>
              <w:right w:val="nil"/>
            </w:tcBorders>
            <w:shd w:val="clear" w:color="auto" w:fill="auto"/>
            <w:noWrap/>
            <w:vAlign w:val="bottom"/>
            <w:hideMark/>
          </w:tcPr>
          <w:p w14:paraId="1F8C7B6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-1.41E+02</w:t>
            </w:r>
          </w:p>
        </w:tc>
        <w:tc>
          <w:tcPr>
            <w:tcW w:w="720" w:type="dxa"/>
            <w:tcBorders>
              <w:top w:val="nil"/>
              <w:left w:val="nil"/>
              <w:bottom w:val="nil"/>
              <w:right w:val="nil"/>
            </w:tcBorders>
            <w:shd w:val="clear" w:color="auto" w:fill="auto"/>
            <w:noWrap/>
            <w:vAlign w:val="bottom"/>
            <w:hideMark/>
          </w:tcPr>
          <w:p w14:paraId="6B67C376" w14:textId="7485004A"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-8.40</w:t>
            </w:r>
          </w:p>
        </w:tc>
        <w:tc>
          <w:tcPr>
            <w:tcW w:w="682" w:type="dxa"/>
            <w:tcBorders>
              <w:top w:val="nil"/>
              <w:left w:val="nil"/>
              <w:bottom w:val="nil"/>
              <w:right w:val="nil"/>
            </w:tcBorders>
            <w:shd w:val="clear" w:color="auto" w:fill="auto"/>
            <w:noWrap/>
            <w:vAlign w:val="bottom"/>
            <w:hideMark/>
          </w:tcPr>
          <w:p w14:paraId="06C26EEC"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c>
          <w:tcPr>
            <w:tcW w:w="960" w:type="dxa"/>
            <w:tcBorders>
              <w:top w:val="nil"/>
              <w:left w:val="nil"/>
              <w:bottom w:val="nil"/>
              <w:right w:val="nil"/>
            </w:tcBorders>
            <w:shd w:val="clear" w:color="auto" w:fill="auto"/>
            <w:noWrap/>
            <w:vAlign w:val="bottom"/>
            <w:hideMark/>
          </w:tcPr>
          <w:p w14:paraId="6C25FA5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3.57E-17</w:t>
            </w:r>
          </w:p>
        </w:tc>
        <w:tc>
          <w:tcPr>
            <w:tcW w:w="571" w:type="dxa"/>
            <w:tcBorders>
              <w:top w:val="nil"/>
              <w:left w:val="nil"/>
              <w:bottom w:val="nil"/>
              <w:right w:val="nil"/>
            </w:tcBorders>
            <w:shd w:val="clear" w:color="auto" w:fill="auto"/>
            <w:noWrap/>
            <w:vAlign w:val="bottom"/>
            <w:hideMark/>
          </w:tcPr>
          <w:p w14:paraId="08010A8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0.29</w:t>
            </w:r>
          </w:p>
        </w:tc>
        <w:tc>
          <w:tcPr>
            <w:tcW w:w="602" w:type="dxa"/>
            <w:tcBorders>
              <w:top w:val="nil"/>
              <w:left w:val="nil"/>
              <w:bottom w:val="nil"/>
              <w:right w:val="nil"/>
            </w:tcBorders>
            <w:shd w:val="clear" w:color="auto" w:fill="auto"/>
            <w:noWrap/>
            <w:vAlign w:val="bottom"/>
            <w:hideMark/>
          </w:tcPr>
          <w:p w14:paraId="2AFDEF3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0.24</w:t>
            </w:r>
          </w:p>
        </w:tc>
        <w:tc>
          <w:tcPr>
            <w:tcW w:w="709" w:type="dxa"/>
            <w:gridSpan w:val="2"/>
            <w:tcBorders>
              <w:top w:val="nil"/>
              <w:left w:val="nil"/>
              <w:bottom w:val="nil"/>
              <w:right w:val="nil"/>
            </w:tcBorders>
            <w:shd w:val="clear" w:color="auto" w:fill="auto"/>
            <w:noWrap/>
            <w:vAlign w:val="bottom"/>
            <w:hideMark/>
          </w:tcPr>
          <w:p w14:paraId="6ACF6C85"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r>
      <w:tr w:rsidR="00F15317" w:rsidRPr="0002162A" w14:paraId="60365E1C" w14:textId="77777777" w:rsidTr="00F15317">
        <w:trPr>
          <w:trHeight w:val="300"/>
        </w:trPr>
        <w:tc>
          <w:tcPr>
            <w:tcW w:w="1120" w:type="dxa"/>
            <w:tcBorders>
              <w:top w:val="nil"/>
              <w:left w:val="nil"/>
              <w:bottom w:val="nil"/>
              <w:right w:val="nil"/>
            </w:tcBorders>
            <w:shd w:val="clear" w:color="auto" w:fill="auto"/>
            <w:noWrap/>
            <w:vAlign w:val="bottom"/>
            <w:hideMark/>
          </w:tcPr>
          <w:p w14:paraId="6873F69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TCIPP</w:t>
            </w:r>
          </w:p>
        </w:tc>
        <w:tc>
          <w:tcPr>
            <w:tcW w:w="3880" w:type="dxa"/>
            <w:tcBorders>
              <w:top w:val="nil"/>
              <w:left w:val="nil"/>
              <w:bottom w:val="nil"/>
              <w:right w:val="nil"/>
            </w:tcBorders>
            <w:shd w:val="clear" w:color="auto" w:fill="auto"/>
            <w:noWrap/>
            <w:vAlign w:val="center"/>
            <w:hideMark/>
          </w:tcPr>
          <w:p w14:paraId="43C7109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Emissions</w:t>
            </w:r>
          </w:p>
        </w:tc>
        <w:tc>
          <w:tcPr>
            <w:tcW w:w="1120" w:type="dxa"/>
            <w:tcBorders>
              <w:top w:val="nil"/>
              <w:left w:val="nil"/>
              <w:bottom w:val="nil"/>
              <w:right w:val="nil"/>
            </w:tcBorders>
            <w:shd w:val="clear" w:color="auto" w:fill="auto"/>
            <w:noWrap/>
            <w:vAlign w:val="bottom"/>
            <w:hideMark/>
          </w:tcPr>
          <w:p w14:paraId="46D32FC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-1.68E+00</w:t>
            </w:r>
          </w:p>
        </w:tc>
        <w:tc>
          <w:tcPr>
            <w:tcW w:w="720" w:type="dxa"/>
            <w:tcBorders>
              <w:top w:val="nil"/>
              <w:left w:val="nil"/>
              <w:bottom w:val="nil"/>
              <w:right w:val="nil"/>
            </w:tcBorders>
            <w:shd w:val="clear" w:color="auto" w:fill="auto"/>
            <w:noWrap/>
            <w:vAlign w:val="bottom"/>
            <w:hideMark/>
          </w:tcPr>
          <w:p w14:paraId="2EDC48AC" w14:textId="3403749A"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-5.82</w:t>
            </w:r>
          </w:p>
        </w:tc>
        <w:tc>
          <w:tcPr>
            <w:tcW w:w="682" w:type="dxa"/>
            <w:tcBorders>
              <w:top w:val="nil"/>
              <w:left w:val="nil"/>
              <w:bottom w:val="nil"/>
              <w:right w:val="nil"/>
            </w:tcBorders>
            <w:shd w:val="clear" w:color="auto" w:fill="auto"/>
            <w:noWrap/>
            <w:vAlign w:val="bottom"/>
            <w:hideMark/>
          </w:tcPr>
          <w:p w14:paraId="53DCB97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c>
          <w:tcPr>
            <w:tcW w:w="960" w:type="dxa"/>
            <w:tcBorders>
              <w:top w:val="nil"/>
              <w:left w:val="nil"/>
              <w:bottom w:val="nil"/>
              <w:right w:val="nil"/>
            </w:tcBorders>
            <w:shd w:val="clear" w:color="auto" w:fill="auto"/>
            <w:noWrap/>
            <w:vAlign w:val="bottom"/>
            <w:hideMark/>
          </w:tcPr>
          <w:p w14:paraId="55C4C36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2.39E-19</w:t>
            </w:r>
          </w:p>
        </w:tc>
        <w:tc>
          <w:tcPr>
            <w:tcW w:w="571" w:type="dxa"/>
            <w:tcBorders>
              <w:top w:val="nil"/>
              <w:left w:val="nil"/>
              <w:bottom w:val="nil"/>
              <w:right w:val="nil"/>
            </w:tcBorders>
            <w:shd w:val="clear" w:color="auto" w:fill="auto"/>
            <w:noWrap/>
            <w:vAlign w:val="bottom"/>
            <w:hideMark/>
          </w:tcPr>
          <w:p w14:paraId="788A36B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0.25</w:t>
            </w:r>
          </w:p>
        </w:tc>
        <w:tc>
          <w:tcPr>
            <w:tcW w:w="602" w:type="dxa"/>
            <w:tcBorders>
              <w:top w:val="nil"/>
              <w:left w:val="nil"/>
              <w:bottom w:val="nil"/>
              <w:right w:val="nil"/>
            </w:tcBorders>
            <w:shd w:val="clear" w:color="auto" w:fill="auto"/>
            <w:noWrap/>
            <w:vAlign w:val="bottom"/>
            <w:hideMark/>
          </w:tcPr>
          <w:p w14:paraId="6960F51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0.20</w:t>
            </w:r>
          </w:p>
        </w:tc>
        <w:tc>
          <w:tcPr>
            <w:tcW w:w="709" w:type="dxa"/>
            <w:gridSpan w:val="2"/>
            <w:tcBorders>
              <w:top w:val="nil"/>
              <w:left w:val="nil"/>
              <w:bottom w:val="nil"/>
              <w:right w:val="nil"/>
            </w:tcBorders>
            <w:shd w:val="clear" w:color="auto" w:fill="auto"/>
            <w:noWrap/>
            <w:vAlign w:val="bottom"/>
            <w:hideMark/>
          </w:tcPr>
          <w:p w14:paraId="47A6AC8C"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r>
      <w:tr w:rsidR="00F15317" w:rsidRPr="0002162A" w14:paraId="29B3A059" w14:textId="77777777" w:rsidTr="00F15317">
        <w:trPr>
          <w:trHeight w:val="300"/>
        </w:trPr>
        <w:tc>
          <w:tcPr>
            <w:tcW w:w="1120" w:type="dxa"/>
            <w:tcBorders>
              <w:top w:val="nil"/>
              <w:left w:val="nil"/>
              <w:bottom w:val="nil"/>
              <w:right w:val="nil"/>
            </w:tcBorders>
            <w:shd w:val="clear" w:color="auto" w:fill="auto"/>
            <w:noWrap/>
            <w:vAlign w:val="bottom"/>
            <w:hideMark/>
          </w:tcPr>
          <w:p w14:paraId="20C53D8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TCEP</w:t>
            </w:r>
          </w:p>
        </w:tc>
        <w:tc>
          <w:tcPr>
            <w:tcW w:w="3880" w:type="dxa"/>
            <w:tcBorders>
              <w:top w:val="nil"/>
              <w:left w:val="nil"/>
              <w:bottom w:val="nil"/>
              <w:right w:val="nil"/>
            </w:tcBorders>
            <w:shd w:val="clear" w:color="auto" w:fill="auto"/>
            <w:noWrap/>
            <w:vAlign w:val="center"/>
            <w:hideMark/>
          </w:tcPr>
          <w:p w14:paraId="49D71AD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Emissions</w:t>
            </w:r>
          </w:p>
        </w:tc>
        <w:tc>
          <w:tcPr>
            <w:tcW w:w="1120" w:type="dxa"/>
            <w:tcBorders>
              <w:top w:val="nil"/>
              <w:left w:val="nil"/>
              <w:bottom w:val="nil"/>
              <w:right w:val="nil"/>
            </w:tcBorders>
            <w:shd w:val="clear" w:color="auto" w:fill="auto"/>
            <w:noWrap/>
            <w:vAlign w:val="bottom"/>
            <w:hideMark/>
          </w:tcPr>
          <w:p w14:paraId="5C2DBB6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7.49E+04</w:t>
            </w:r>
          </w:p>
        </w:tc>
        <w:tc>
          <w:tcPr>
            <w:tcW w:w="720" w:type="dxa"/>
            <w:tcBorders>
              <w:top w:val="nil"/>
              <w:left w:val="nil"/>
              <w:bottom w:val="nil"/>
              <w:right w:val="nil"/>
            </w:tcBorders>
            <w:shd w:val="clear" w:color="auto" w:fill="auto"/>
            <w:noWrap/>
            <w:vAlign w:val="bottom"/>
            <w:hideMark/>
          </w:tcPr>
          <w:p w14:paraId="617ACCE2" w14:textId="3A364F69"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-6.38</w:t>
            </w:r>
          </w:p>
        </w:tc>
        <w:tc>
          <w:tcPr>
            <w:tcW w:w="682" w:type="dxa"/>
            <w:tcBorders>
              <w:top w:val="nil"/>
              <w:left w:val="nil"/>
              <w:bottom w:val="nil"/>
              <w:right w:val="nil"/>
            </w:tcBorders>
            <w:shd w:val="clear" w:color="auto" w:fill="auto"/>
            <w:noWrap/>
            <w:vAlign w:val="bottom"/>
            <w:hideMark/>
          </w:tcPr>
          <w:p w14:paraId="3F12E6F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c>
          <w:tcPr>
            <w:tcW w:w="960" w:type="dxa"/>
            <w:tcBorders>
              <w:top w:val="nil"/>
              <w:left w:val="nil"/>
              <w:bottom w:val="nil"/>
              <w:right w:val="nil"/>
            </w:tcBorders>
            <w:shd w:val="clear" w:color="auto" w:fill="auto"/>
            <w:noWrap/>
            <w:vAlign w:val="bottom"/>
            <w:hideMark/>
          </w:tcPr>
          <w:p w14:paraId="5333B55F"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2.94E-17</w:t>
            </w:r>
          </w:p>
        </w:tc>
        <w:tc>
          <w:tcPr>
            <w:tcW w:w="571" w:type="dxa"/>
            <w:tcBorders>
              <w:top w:val="nil"/>
              <w:left w:val="nil"/>
              <w:bottom w:val="nil"/>
              <w:right w:val="nil"/>
            </w:tcBorders>
            <w:shd w:val="clear" w:color="auto" w:fill="auto"/>
            <w:noWrap/>
            <w:vAlign w:val="bottom"/>
            <w:hideMark/>
          </w:tcPr>
          <w:p w14:paraId="01C1F25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0.24</w:t>
            </w:r>
          </w:p>
        </w:tc>
        <w:tc>
          <w:tcPr>
            <w:tcW w:w="602" w:type="dxa"/>
            <w:tcBorders>
              <w:top w:val="nil"/>
              <w:left w:val="nil"/>
              <w:bottom w:val="nil"/>
              <w:right w:val="nil"/>
            </w:tcBorders>
            <w:shd w:val="clear" w:color="auto" w:fill="auto"/>
            <w:noWrap/>
            <w:vAlign w:val="bottom"/>
            <w:hideMark/>
          </w:tcPr>
          <w:p w14:paraId="087A3AD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0.19</w:t>
            </w:r>
          </w:p>
        </w:tc>
        <w:tc>
          <w:tcPr>
            <w:tcW w:w="709" w:type="dxa"/>
            <w:gridSpan w:val="2"/>
            <w:tcBorders>
              <w:top w:val="nil"/>
              <w:left w:val="nil"/>
              <w:bottom w:val="nil"/>
              <w:right w:val="nil"/>
            </w:tcBorders>
            <w:shd w:val="clear" w:color="auto" w:fill="auto"/>
            <w:noWrap/>
            <w:vAlign w:val="bottom"/>
            <w:hideMark/>
          </w:tcPr>
          <w:p w14:paraId="542EFD2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r>
      <w:tr w:rsidR="00F15317" w:rsidRPr="0002162A" w14:paraId="54FC7260" w14:textId="77777777" w:rsidTr="00F15317">
        <w:trPr>
          <w:trHeight w:val="300"/>
        </w:trPr>
        <w:tc>
          <w:tcPr>
            <w:tcW w:w="1120" w:type="dxa"/>
            <w:tcBorders>
              <w:top w:val="nil"/>
              <w:left w:val="nil"/>
              <w:bottom w:val="nil"/>
              <w:right w:val="nil"/>
            </w:tcBorders>
            <w:shd w:val="clear" w:color="auto" w:fill="auto"/>
            <w:noWrap/>
            <w:vAlign w:val="bottom"/>
            <w:hideMark/>
          </w:tcPr>
          <w:p w14:paraId="6B1B4E4C"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TDCIPP</w:t>
            </w:r>
          </w:p>
        </w:tc>
        <w:tc>
          <w:tcPr>
            <w:tcW w:w="3880" w:type="dxa"/>
            <w:tcBorders>
              <w:top w:val="nil"/>
              <w:left w:val="nil"/>
              <w:bottom w:val="nil"/>
              <w:right w:val="nil"/>
            </w:tcBorders>
            <w:shd w:val="clear" w:color="auto" w:fill="auto"/>
            <w:noWrap/>
            <w:vAlign w:val="center"/>
            <w:hideMark/>
          </w:tcPr>
          <w:p w14:paraId="11979CE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Emissions</w:t>
            </w:r>
          </w:p>
        </w:tc>
        <w:tc>
          <w:tcPr>
            <w:tcW w:w="1120" w:type="dxa"/>
            <w:tcBorders>
              <w:top w:val="nil"/>
              <w:left w:val="nil"/>
              <w:bottom w:val="nil"/>
              <w:right w:val="nil"/>
            </w:tcBorders>
            <w:shd w:val="clear" w:color="auto" w:fill="auto"/>
            <w:noWrap/>
            <w:vAlign w:val="bottom"/>
            <w:hideMark/>
          </w:tcPr>
          <w:p w14:paraId="006AA43C"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9.46E+04</w:t>
            </w:r>
          </w:p>
        </w:tc>
        <w:tc>
          <w:tcPr>
            <w:tcW w:w="720" w:type="dxa"/>
            <w:tcBorders>
              <w:top w:val="nil"/>
              <w:left w:val="nil"/>
              <w:bottom w:val="nil"/>
              <w:right w:val="nil"/>
            </w:tcBorders>
            <w:shd w:val="clear" w:color="auto" w:fill="auto"/>
            <w:noWrap/>
            <w:vAlign w:val="bottom"/>
            <w:hideMark/>
          </w:tcPr>
          <w:p w14:paraId="162B3744" w14:textId="6EF7B0BF"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-7.81</w:t>
            </w:r>
          </w:p>
        </w:tc>
        <w:tc>
          <w:tcPr>
            <w:tcW w:w="682" w:type="dxa"/>
            <w:tcBorders>
              <w:top w:val="nil"/>
              <w:left w:val="nil"/>
              <w:bottom w:val="nil"/>
              <w:right w:val="nil"/>
            </w:tcBorders>
            <w:shd w:val="clear" w:color="auto" w:fill="auto"/>
            <w:noWrap/>
            <w:vAlign w:val="bottom"/>
            <w:hideMark/>
          </w:tcPr>
          <w:p w14:paraId="12F3D84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c>
          <w:tcPr>
            <w:tcW w:w="960" w:type="dxa"/>
            <w:tcBorders>
              <w:top w:val="nil"/>
              <w:left w:val="nil"/>
              <w:bottom w:val="nil"/>
              <w:right w:val="nil"/>
            </w:tcBorders>
            <w:shd w:val="clear" w:color="auto" w:fill="auto"/>
            <w:noWrap/>
            <w:vAlign w:val="bottom"/>
            <w:hideMark/>
          </w:tcPr>
          <w:p w14:paraId="2FBD50C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2.35E-16</w:t>
            </w:r>
          </w:p>
        </w:tc>
        <w:tc>
          <w:tcPr>
            <w:tcW w:w="571" w:type="dxa"/>
            <w:tcBorders>
              <w:top w:val="nil"/>
              <w:left w:val="nil"/>
              <w:bottom w:val="nil"/>
              <w:right w:val="nil"/>
            </w:tcBorders>
            <w:shd w:val="clear" w:color="auto" w:fill="auto"/>
            <w:noWrap/>
            <w:vAlign w:val="bottom"/>
            <w:hideMark/>
          </w:tcPr>
          <w:p w14:paraId="0CD0EC3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0.25</w:t>
            </w:r>
          </w:p>
        </w:tc>
        <w:tc>
          <w:tcPr>
            <w:tcW w:w="602" w:type="dxa"/>
            <w:tcBorders>
              <w:top w:val="nil"/>
              <w:left w:val="nil"/>
              <w:bottom w:val="nil"/>
              <w:right w:val="nil"/>
            </w:tcBorders>
            <w:shd w:val="clear" w:color="auto" w:fill="auto"/>
            <w:noWrap/>
            <w:vAlign w:val="bottom"/>
            <w:hideMark/>
          </w:tcPr>
          <w:p w14:paraId="4602331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0.21</w:t>
            </w:r>
          </w:p>
        </w:tc>
        <w:tc>
          <w:tcPr>
            <w:tcW w:w="709" w:type="dxa"/>
            <w:gridSpan w:val="2"/>
            <w:tcBorders>
              <w:top w:val="nil"/>
              <w:left w:val="nil"/>
              <w:bottom w:val="nil"/>
              <w:right w:val="nil"/>
            </w:tcBorders>
            <w:shd w:val="clear" w:color="auto" w:fill="auto"/>
            <w:noWrap/>
            <w:vAlign w:val="bottom"/>
            <w:hideMark/>
          </w:tcPr>
          <w:p w14:paraId="5D6DB66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0.03</w:t>
            </w:r>
          </w:p>
        </w:tc>
      </w:tr>
      <w:tr w:rsidR="00F15317" w:rsidRPr="0002162A" w14:paraId="564A06D1" w14:textId="77777777" w:rsidTr="00F15317">
        <w:trPr>
          <w:trHeight w:val="300"/>
        </w:trPr>
        <w:tc>
          <w:tcPr>
            <w:tcW w:w="1120" w:type="dxa"/>
            <w:tcBorders>
              <w:top w:val="nil"/>
              <w:left w:val="nil"/>
              <w:bottom w:val="nil"/>
              <w:right w:val="nil"/>
            </w:tcBorders>
            <w:shd w:val="clear" w:color="auto" w:fill="auto"/>
            <w:noWrap/>
            <w:vAlign w:val="bottom"/>
            <w:hideMark/>
          </w:tcPr>
          <w:p w14:paraId="73BCB399" w14:textId="77777777" w:rsidR="00F15317" w:rsidRPr="0002162A" w:rsidRDefault="00F15317" w:rsidP="0002162A">
            <w:pPr>
              <w:spacing w:after="0" w:line="240" w:lineRule="auto"/>
              <w:jc w:val="right"/>
              <w:rPr>
                <w:rFonts w:ascii="Calibri" w:eastAsia="Times New Roman" w:hAnsi="Calibri" w:cs="Calibri"/>
                <w:color w:val="000000"/>
                <w:sz w:val="20"/>
                <w:szCs w:val="20"/>
              </w:rPr>
            </w:pPr>
            <w:proofErr w:type="spellStart"/>
            <w:r w:rsidRPr="0002162A">
              <w:rPr>
                <w:rFonts w:ascii="Calibri" w:eastAsia="Times New Roman" w:hAnsi="Calibri" w:cs="Calibri"/>
                <w:color w:val="000000"/>
                <w:sz w:val="20"/>
                <w:szCs w:val="20"/>
              </w:rPr>
              <w:t>TnBP</w:t>
            </w:r>
            <w:proofErr w:type="spellEnd"/>
          </w:p>
        </w:tc>
        <w:tc>
          <w:tcPr>
            <w:tcW w:w="3880" w:type="dxa"/>
            <w:tcBorders>
              <w:top w:val="nil"/>
              <w:left w:val="nil"/>
              <w:bottom w:val="nil"/>
              <w:right w:val="nil"/>
            </w:tcBorders>
            <w:shd w:val="clear" w:color="auto" w:fill="auto"/>
            <w:noWrap/>
            <w:vAlign w:val="center"/>
            <w:hideMark/>
          </w:tcPr>
          <w:p w14:paraId="2942F5E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Emissions</w:t>
            </w:r>
          </w:p>
        </w:tc>
        <w:tc>
          <w:tcPr>
            <w:tcW w:w="1120" w:type="dxa"/>
            <w:tcBorders>
              <w:top w:val="nil"/>
              <w:left w:val="nil"/>
              <w:bottom w:val="nil"/>
              <w:right w:val="nil"/>
            </w:tcBorders>
            <w:shd w:val="clear" w:color="auto" w:fill="auto"/>
            <w:noWrap/>
            <w:vAlign w:val="bottom"/>
            <w:hideMark/>
          </w:tcPr>
          <w:p w14:paraId="08E0B2E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5.29E+04</w:t>
            </w:r>
          </w:p>
        </w:tc>
        <w:tc>
          <w:tcPr>
            <w:tcW w:w="720" w:type="dxa"/>
            <w:tcBorders>
              <w:top w:val="nil"/>
              <w:left w:val="nil"/>
              <w:bottom w:val="nil"/>
              <w:right w:val="nil"/>
            </w:tcBorders>
            <w:shd w:val="clear" w:color="auto" w:fill="auto"/>
            <w:noWrap/>
            <w:vAlign w:val="bottom"/>
            <w:hideMark/>
          </w:tcPr>
          <w:p w14:paraId="2F3C17CB" w14:textId="6FB93A0D"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-7.72</w:t>
            </w:r>
          </w:p>
        </w:tc>
        <w:tc>
          <w:tcPr>
            <w:tcW w:w="682" w:type="dxa"/>
            <w:tcBorders>
              <w:top w:val="nil"/>
              <w:left w:val="nil"/>
              <w:bottom w:val="nil"/>
              <w:right w:val="nil"/>
            </w:tcBorders>
            <w:shd w:val="clear" w:color="auto" w:fill="auto"/>
            <w:noWrap/>
            <w:vAlign w:val="bottom"/>
            <w:hideMark/>
          </w:tcPr>
          <w:p w14:paraId="2F69925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c>
          <w:tcPr>
            <w:tcW w:w="960" w:type="dxa"/>
            <w:tcBorders>
              <w:top w:val="nil"/>
              <w:left w:val="nil"/>
              <w:bottom w:val="nil"/>
              <w:right w:val="nil"/>
            </w:tcBorders>
            <w:shd w:val="clear" w:color="auto" w:fill="auto"/>
            <w:noWrap/>
            <w:vAlign w:val="bottom"/>
            <w:hideMark/>
          </w:tcPr>
          <w:p w14:paraId="002044B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4.30E-21</w:t>
            </w:r>
          </w:p>
        </w:tc>
        <w:tc>
          <w:tcPr>
            <w:tcW w:w="571" w:type="dxa"/>
            <w:tcBorders>
              <w:top w:val="nil"/>
              <w:left w:val="nil"/>
              <w:bottom w:val="nil"/>
              <w:right w:val="nil"/>
            </w:tcBorders>
            <w:shd w:val="clear" w:color="auto" w:fill="auto"/>
            <w:noWrap/>
            <w:vAlign w:val="bottom"/>
            <w:hideMark/>
          </w:tcPr>
          <w:p w14:paraId="70F9C96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0.23</w:t>
            </w:r>
          </w:p>
        </w:tc>
        <w:tc>
          <w:tcPr>
            <w:tcW w:w="602" w:type="dxa"/>
            <w:tcBorders>
              <w:top w:val="nil"/>
              <w:left w:val="nil"/>
              <w:bottom w:val="nil"/>
              <w:right w:val="nil"/>
            </w:tcBorders>
            <w:shd w:val="clear" w:color="auto" w:fill="auto"/>
            <w:noWrap/>
            <w:vAlign w:val="bottom"/>
            <w:hideMark/>
          </w:tcPr>
          <w:p w14:paraId="39B1080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0.19</w:t>
            </w:r>
          </w:p>
        </w:tc>
        <w:tc>
          <w:tcPr>
            <w:tcW w:w="709" w:type="dxa"/>
            <w:gridSpan w:val="2"/>
            <w:tcBorders>
              <w:top w:val="nil"/>
              <w:left w:val="nil"/>
              <w:bottom w:val="nil"/>
              <w:right w:val="nil"/>
            </w:tcBorders>
            <w:shd w:val="clear" w:color="auto" w:fill="auto"/>
            <w:noWrap/>
            <w:vAlign w:val="bottom"/>
            <w:hideMark/>
          </w:tcPr>
          <w:p w14:paraId="578CF96F"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r>
      <w:tr w:rsidR="00F15317" w:rsidRPr="0002162A" w14:paraId="0589BF0F" w14:textId="77777777" w:rsidTr="00F15317">
        <w:trPr>
          <w:trHeight w:val="300"/>
        </w:trPr>
        <w:tc>
          <w:tcPr>
            <w:tcW w:w="1120" w:type="dxa"/>
            <w:tcBorders>
              <w:top w:val="nil"/>
              <w:left w:val="nil"/>
              <w:bottom w:val="nil"/>
              <w:right w:val="nil"/>
            </w:tcBorders>
            <w:shd w:val="clear" w:color="auto" w:fill="auto"/>
            <w:noWrap/>
            <w:vAlign w:val="bottom"/>
            <w:hideMark/>
          </w:tcPr>
          <w:p w14:paraId="70F4648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TCIPP</w:t>
            </w:r>
          </w:p>
        </w:tc>
        <w:tc>
          <w:tcPr>
            <w:tcW w:w="3880" w:type="dxa"/>
            <w:tcBorders>
              <w:top w:val="nil"/>
              <w:left w:val="nil"/>
              <w:bottom w:val="nil"/>
              <w:right w:val="nil"/>
            </w:tcBorders>
            <w:shd w:val="clear" w:color="auto" w:fill="auto"/>
            <w:noWrap/>
            <w:vAlign w:val="center"/>
            <w:hideMark/>
          </w:tcPr>
          <w:p w14:paraId="6AC2734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 per Capita</w:t>
            </w:r>
          </w:p>
        </w:tc>
        <w:tc>
          <w:tcPr>
            <w:tcW w:w="1120" w:type="dxa"/>
            <w:tcBorders>
              <w:top w:val="nil"/>
              <w:left w:val="nil"/>
              <w:bottom w:val="nil"/>
              <w:right w:val="nil"/>
            </w:tcBorders>
            <w:shd w:val="clear" w:color="auto" w:fill="auto"/>
            <w:noWrap/>
            <w:vAlign w:val="bottom"/>
            <w:hideMark/>
          </w:tcPr>
          <w:p w14:paraId="40CC4C2C"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1.88E-05</w:t>
            </w:r>
          </w:p>
        </w:tc>
        <w:tc>
          <w:tcPr>
            <w:tcW w:w="720" w:type="dxa"/>
            <w:tcBorders>
              <w:top w:val="nil"/>
              <w:left w:val="nil"/>
              <w:bottom w:val="nil"/>
              <w:right w:val="nil"/>
            </w:tcBorders>
            <w:shd w:val="clear" w:color="auto" w:fill="auto"/>
            <w:noWrap/>
            <w:vAlign w:val="bottom"/>
            <w:hideMark/>
          </w:tcPr>
          <w:p w14:paraId="7892F95D" w14:textId="64F8F35C"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-6.27</w:t>
            </w:r>
          </w:p>
        </w:tc>
        <w:tc>
          <w:tcPr>
            <w:tcW w:w="682" w:type="dxa"/>
            <w:tcBorders>
              <w:top w:val="nil"/>
              <w:left w:val="nil"/>
              <w:bottom w:val="nil"/>
              <w:right w:val="nil"/>
            </w:tcBorders>
            <w:shd w:val="clear" w:color="auto" w:fill="auto"/>
            <w:noWrap/>
            <w:vAlign w:val="bottom"/>
            <w:hideMark/>
          </w:tcPr>
          <w:p w14:paraId="39756CA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c>
          <w:tcPr>
            <w:tcW w:w="960" w:type="dxa"/>
            <w:tcBorders>
              <w:top w:val="nil"/>
              <w:left w:val="nil"/>
              <w:bottom w:val="nil"/>
              <w:right w:val="nil"/>
            </w:tcBorders>
            <w:shd w:val="clear" w:color="auto" w:fill="auto"/>
            <w:noWrap/>
            <w:vAlign w:val="bottom"/>
            <w:hideMark/>
          </w:tcPr>
          <w:p w14:paraId="68D54277"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3.48E-16</w:t>
            </w:r>
          </w:p>
        </w:tc>
        <w:tc>
          <w:tcPr>
            <w:tcW w:w="571" w:type="dxa"/>
            <w:tcBorders>
              <w:top w:val="nil"/>
              <w:left w:val="nil"/>
              <w:bottom w:val="nil"/>
              <w:right w:val="nil"/>
            </w:tcBorders>
            <w:shd w:val="clear" w:color="auto" w:fill="auto"/>
            <w:noWrap/>
            <w:vAlign w:val="bottom"/>
            <w:hideMark/>
          </w:tcPr>
          <w:p w14:paraId="5863B13C"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0.23</w:t>
            </w:r>
          </w:p>
        </w:tc>
        <w:tc>
          <w:tcPr>
            <w:tcW w:w="602" w:type="dxa"/>
            <w:tcBorders>
              <w:top w:val="nil"/>
              <w:left w:val="nil"/>
              <w:bottom w:val="nil"/>
              <w:right w:val="nil"/>
            </w:tcBorders>
            <w:shd w:val="clear" w:color="auto" w:fill="auto"/>
            <w:noWrap/>
            <w:vAlign w:val="bottom"/>
            <w:hideMark/>
          </w:tcPr>
          <w:p w14:paraId="03933B1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0.18</w:t>
            </w:r>
          </w:p>
        </w:tc>
        <w:tc>
          <w:tcPr>
            <w:tcW w:w="709" w:type="dxa"/>
            <w:gridSpan w:val="2"/>
            <w:tcBorders>
              <w:top w:val="nil"/>
              <w:left w:val="nil"/>
              <w:bottom w:val="nil"/>
              <w:right w:val="nil"/>
            </w:tcBorders>
            <w:shd w:val="clear" w:color="auto" w:fill="auto"/>
            <w:noWrap/>
            <w:vAlign w:val="bottom"/>
            <w:hideMark/>
          </w:tcPr>
          <w:p w14:paraId="424FAC17"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r>
      <w:tr w:rsidR="00F15317" w:rsidRPr="0002162A" w14:paraId="5BB1C2CC" w14:textId="77777777" w:rsidTr="00F15317">
        <w:trPr>
          <w:trHeight w:val="300"/>
        </w:trPr>
        <w:tc>
          <w:tcPr>
            <w:tcW w:w="1120" w:type="dxa"/>
            <w:tcBorders>
              <w:top w:val="nil"/>
              <w:left w:val="nil"/>
              <w:bottom w:val="nil"/>
              <w:right w:val="nil"/>
            </w:tcBorders>
            <w:shd w:val="clear" w:color="auto" w:fill="auto"/>
            <w:noWrap/>
            <w:vAlign w:val="bottom"/>
            <w:hideMark/>
          </w:tcPr>
          <w:p w14:paraId="1073479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∑OPEs</w:t>
            </w:r>
          </w:p>
        </w:tc>
        <w:tc>
          <w:tcPr>
            <w:tcW w:w="3880" w:type="dxa"/>
            <w:tcBorders>
              <w:top w:val="nil"/>
              <w:left w:val="nil"/>
              <w:bottom w:val="nil"/>
              <w:right w:val="nil"/>
            </w:tcBorders>
            <w:shd w:val="clear" w:color="auto" w:fill="auto"/>
            <w:noWrap/>
            <w:vAlign w:val="center"/>
            <w:hideMark/>
          </w:tcPr>
          <w:p w14:paraId="318F2F7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w:t>
            </w:r>
          </w:p>
        </w:tc>
        <w:tc>
          <w:tcPr>
            <w:tcW w:w="1120" w:type="dxa"/>
            <w:tcBorders>
              <w:top w:val="nil"/>
              <w:left w:val="nil"/>
              <w:bottom w:val="nil"/>
              <w:right w:val="nil"/>
            </w:tcBorders>
            <w:shd w:val="clear" w:color="auto" w:fill="auto"/>
            <w:noWrap/>
            <w:vAlign w:val="bottom"/>
            <w:hideMark/>
          </w:tcPr>
          <w:p w14:paraId="5D1CFBD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2.02E+01</w:t>
            </w:r>
          </w:p>
        </w:tc>
        <w:tc>
          <w:tcPr>
            <w:tcW w:w="720" w:type="dxa"/>
            <w:tcBorders>
              <w:top w:val="nil"/>
              <w:left w:val="nil"/>
              <w:bottom w:val="nil"/>
              <w:right w:val="nil"/>
            </w:tcBorders>
            <w:shd w:val="clear" w:color="auto" w:fill="auto"/>
            <w:noWrap/>
            <w:vAlign w:val="bottom"/>
            <w:hideMark/>
          </w:tcPr>
          <w:p w14:paraId="3BF63A80" w14:textId="48F07135"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-5.78</w:t>
            </w:r>
          </w:p>
        </w:tc>
        <w:tc>
          <w:tcPr>
            <w:tcW w:w="682" w:type="dxa"/>
            <w:tcBorders>
              <w:top w:val="nil"/>
              <w:left w:val="nil"/>
              <w:bottom w:val="nil"/>
              <w:right w:val="nil"/>
            </w:tcBorders>
            <w:shd w:val="clear" w:color="auto" w:fill="auto"/>
            <w:noWrap/>
            <w:vAlign w:val="bottom"/>
            <w:hideMark/>
          </w:tcPr>
          <w:p w14:paraId="702F20B5"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c>
          <w:tcPr>
            <w:tcW w:w="960" w:type="dxa"/>
            <w:tcBorders>
              <w:top w:val="nil"/>
              <w:left w:val="nil"/>
              <w:bottom w:val="nil"/>
              <w:right w:val="nil"/>
            </w:tcBorders>
            <w:shd w:val="clear" w:color="auto" w:fill="auto"/>
            <w:noWrap/>
            <w:vAlign w:val="bottom"/>
            <w:hideMark/>
          </w:tcPr>
          <w:p w14:paraId="5B06A24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1.53E-17</w:t>
            </w:r>
          </w:p>
        </w:tc>
        <w:tc>
          <w:tcPr>
            <w:tcW w:w="571" w:type="dxa"/>
            <w:tcBorders>
              <w:top w:val="nil"/>
              <w:left w:val="nil"/>
              <w:bottom w:val="nil"/>
              <w:right w:val="nil"/>
            </w:tcBorders>
            <w:shd w:val="clear" w:color="auto" w:fill="auto"/>
            <w:noWrap/>
            <w:vAlign w:val="bottom"/>
            <w:hideMark/>
          </w:tcPr>
          <w:p w14:paraId="288C9EF7"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0.23</w:t>
            </w:r>
          </w:p>
        </w:tc>
        <w:tc>
          <w:tcPr>
            <w:tcW w:w="602" w:type="dxa"/>
            <w:tcBorders>
              <w:top w:val="nil"/>
              <w:left w:val="nil"/>
              <w:bottom w:val="nil"/>
              <w:right w:val="nil"/>
            </w:tcBorders>
            <w:shd w:val="clear" w:color="auto" w:fill="auto"/>
            <w:noWrap/>
            <w:vAlign w:val="bottom"/>
            <w:hideMark/>
          </w:tcPr>
          <w:p w14:paraId="35BB386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0.18</w:t>
            </w:r>
          </w:p>
        </w:tc>
        <w:tc>
          <w:tcPr>
            <w:tcW w:w="709" w:type="dxa"/>
            <w:gridSpan w:val="2"/>
            <w:tcBorders>
              <w:top w:val="nil"/>
              <w:left w:val="nil"/>
              <w:bottom w:val="nil"/>
              <w:right w:val="nil"/>
            </w:tcBorders>
            <w:shd w:val="clear" w:color="auto" w:fill="auto"/>
            <w:noWrap/>
            <w:vAlign w:val="bottom"/>
            <w:hideMark/>
          </w:tcPr>
          <w:p w14:paraId="6A6FBCF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r>
      <w:tr w:rsidR="00F15317" w:rsidRPr="0002162A" w14:paraId="54A0EF47" w14:textId="77777777" w:rsidTr="00F15317">
        <w:trPr>
          <w:trHeight w:val="300"/>
        </w:trPr>
        <w:tc>
          <w:tcPr>
            <w:tcW w:w="1120" w:type="dxa"/>
            <w:tcBorders>
              <w:top w:val="nil"/>
              <w:left w:val="nil"/>
              <w:bottom w:val="nil"/>
              <w:right w:val="nil"/>
            </w:tcBorders>
            <w:shd w:val="clear" w:color="auto" w:fill="auto"/>
            <w:noWrap/>
            <w:vAlign w:val="bottom"/>
            <w:hideMark/>
          </w:tcPr>
          <w:p w14:paraId="4D8AEF3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TDCIPP</w:t>
            </w:r>
          </w:p>
        </w:tc>
        <w:tc>
          <w:tcPr>
            <w:tcW w:w="3880" w:type="dxa"/>
            <w:tcBorders>
              <w:top w:val="nil"/>
              <w:left w:val="nil"/>
              <w:bottom w:val="nil"/>
              <w:right w:val="nil"/>
            </w:tcBorders>
            <w:shd w:val="clear" w:color="auto" w:fill="auto"/>
            <w:noWrap/>
            <w:vAlign w:val="center"/>
            <w:hideMark/>
          </w:tcPr>
          <w:p w14:paraId="6608DCE9"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Emissions</w:t>
            </w:r>
          </w:p>
        </w:tc>
        <w:tc>
          <w:tcPr>
            <w:tcW w:w="1120" w:type="dxa"/>
            <w:tcBorders>
              <w:top w:val="nil"/>
              <w:left w:val="nil"/>
              <w:bottom w:val="nil"/>
              <w:right w:val="nil"/>
            </w:tcBorders>
            <w:shd w:val="clear" w:color="auto" w:fill="auto"/>
            <w:noWrap/>
            <w:vAlign w:val="bottom"/>
            <w:hideMark/>
          </w:tcPr>
          <w:p w14:paraId="7D0FCA1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2.40E-12</w:t>
            </w:r>
          </w:p>
        </w:tc>
        <w:tc>
          <w:tcPr>
            <w:tcW w:w="720" w:type="dxa"/>
            <w:tcBorders>
              <w:top w:val="nil"/>
              <w:left w:val="nil"/>
              <w:bottom w:val="nil"/>
              <w:right w:val="nil"/>
            </w:tcBorders>
            <w:shd w:val="clear" w:color="auto" w:fill="auto"/>
            <w:noWrap/>
            <w:vAlign w:val="bottom"/>
            <w:hideMark/>
          </w:tcPr>
          <w:p w14:paraId="61C96A7D" w14:textId="20FE2AFC"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-7.84</w:t>
            </w:r>
          </w:p>
        </w:tc>
        <w:tc>
          <w:tcPr>
            <w:tcW w:w="682" w:type="dxa"/>
            <w:tcBorders>
              <w:top w:val="nil"/>
              <w:left w:val="nil"/>
              <w:bottom w:val="nil"/>
              <w:right w:val="nil"/>
            </w:tcBorders>
            <w:shd w:val="clear" w:color="auto" w:fill="auto"/>
            <w:noWrap/>
            <w:vAlign w:val="bottom"/>
            <w:hideMark/>
          </w:tcPr>
          <w:p w14:paraId="070720D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c>
          <w:tcPr>
            <w:tcW w:w="960" w:type="dxa"/>
            <w:tcBorders>
              <w:top w:val="nil"/>
              <w:left w:val="nil"/>
              <w:bottom w:val="nil"/>
              <w:right w:val="nil"/>
            </w:tcBorders>
            <w:shd w:val="clear" w:color="auto" w:fill="auto"/>
            <w:noWrap/>
            <w:vAlign w:val="bottom"/>
            <w:hideMark/>
          </w:tcPr>
          <w:p w14:paraId="3783B35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6.71E-16</w:t>
            </w:r>
          </w:p>
        </w:tc>
        <w:tc>
          <w:tcPr>
            <w:tcW w:w="571" w:type="dxa"/>
            <w:tcBorders>
              <w:top w:val="nil"/>
              <w:left w:val="nil"/>
              <w:bottom w:val="nil"/>
              <w:right w:val="nil"/>
            </w:tcBorders>
            <w:shd w:val="clear" w:color="auto" w:fill="auto"/>
            <w:noWrap/>
            <w:vAlign w:val="bottom"/>
            <w:hideMark/>
          </w:tcPr>
          <w:p w14:paraId="5285002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0.24</w:t>
            </w:r>
          </w:p>
        </w:tc>
        <w:tc>
          <w:tcPr>
            <w:tcW w:w="602" w:type="dxa"/>
            <w:tcBorders>
              <w:top w:val="nil"/>
              <w:left w:val="nil"/>
              <w:bottom w:val="nil"/>
              <w:right w:val="nil"/>
            </w:tcBorders>
            <w:shd w:val="clear" w:color="auto" w:fill="auto"/>
            <w:noWrap/>
            <w:vAlign w:val="bottom"/>
            <w:hideMark/>
          </w:tcPr>
          <w:p w14:paraId="5362C9C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0.19</w:t>
            </w:r>
          </w:p>
        </w:tc>
        <w:tc>
          <w:tcPr>
            <w:tcW w:w="709" w:type="dxa"/>
            <w:gridSpan w:val="2"/>
            <w:tcBorders>
              <w:top w:val="nil"/>
              <w:left w:val="nil"/>
              <w:bottom w:val="nil"/>
              <w:right w:val="nil"/>
            </w:tcBorders>
            <w:shd w:val="clear" w:color="auto" w:fill="auto"/>
            <w:noWrap/>
            <w:vAlign w:val="bottom"/>
            <w:hideMark/>
          </w:tcPr>
          <w:p w14:paraId="0FE4B92F"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r>
      <w:tr w:rsidR="00F15317" w:rsidRPr="0002162A" w14:paraId="0CC00CB1" w14:textId="77777777" w:rsidTr="00F15317">
        <w:trPr>
          <w:trHeight w:val="300"/>
        </w:trPr>
        <w:tc>
          <w:tcPr>
            <w:tcW w:w="1120" w:type="dxa"/>
            <w:tcBorders>
              <w:top w:val="nil"/>
              <w:left w:val="nil"/>
              <w:bottom w:val="nil"/>
              <w:right w:val="nil"/>
            </w:tcBorders>
            <w:shd w:val="clear" w:color="auto" w:fill="auto"/>
            <w:noWrap/>
            <w:vAlign w:val="bottom"/>
            <w:hideMark/>
          </w:tcPr>
          <w:p w14:paraId="3D08614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∑OPEs</w:t>
            </w:r>
          </w:p>
        </w:tc>
        <w:tc>
          <w:tcPr>
            <w:tcW w:w="3880" w:type="dxa"/>
            <w:tcBorders>
              <w:top w:val="nil"/>
              <w:left w:val="nil"/>
              <w:bottom w:val="nil"/>
              <w:right w:val="nil"/>
            </w:tcBorders>
            <w:shd w:val="clear" w:color="auto" w:fill="auto"/>
            <w:noWrap/>
            <w:vAlign w:val="center"/>
            <w:hideMark/>
          </w:tcPr>
          <w:p w14:paraId="05884BD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Emissions</w:t>
            </w:r>
          </w:p>
        </w:tc>
        <w:tc>
          <w:tcPr>
            <w:tcW w:w="1120" w:type="dxa"/>
            <w:tcBorders>
              <w:top w:val="nil"/>
              <w:left w:val="nil"/>
              <w:bottom w:val="nil"/>
              <w:right w:val="nil"/>
            </w:tcBorders>
            <w:shd w:val="clear" w:color="auto" w:fill="auto"/>
            <w:noWrap/>
            <w:vAlign w:val="bottom"/>
            <w:hideMark/>
          </w:tcPr>
          <w:p w14:paraId="58D149CC"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7.01E+04</w:t>
            </w:r>
          </w:p>
        </w:tc>
        <w:tc>
          <w:tcPr>
            <w:tcW w:w="720" w:type="dxa"/>
            <w:tcBorders>
              <w:top w:val="nil"/>
              <w:left w:val="nil"/>
              <w:bottom w:val="nil"/>
              <w:right w:val="nil"/>
            </w:tcBorders>
            <w:shd w:val="clear" w:color="auto" w:fill="auto"/>
            <w:noWrap/>
            <w:vAlign w:val="bottom"/>
            <w:hideMark/>
          </w:tcPr>
          <w:p w14:paraId="7008EBC7" w14:textId="5FBFE8C5"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-5.83</w:t>
            </w:r>
          </w:p>
        </w:tc>
        <w:tc>
          <w:tcPr>
            <w:tcW w:w="682" w:type="dxa"/>
            <w:tcBorders>
              <w:top w:val="nil"/>
              <w:left w:val="nil"/>
              <w:bottom w:val="nil"/>
              <w:right w:val="nil"/>
            </w:tcBorders>
            <w:shd w:val="clear" w:color="auto" w:fill="auto"/>
            <w:noWrap/>
            <w:vAlign w:val="bottom"/>
            <w:hideMark/>
          </w:tcPr>
          <w:p w14:paraId="214A14E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c>
          <w:tcPr>
            <w:tcW w:w="960" w:type="dxa"/>
            <w:tcBorders>
              <w:top w:val="nil"/>
              <w:left w:val="nil"/>
              <w:bottom w:val="nil"/>
              <w:right w:val="nil"/>
            </w:tcBorders>
            <w:shd w:val="clear" w:color="auto" w:fill="auto"/>
            <w:noWrap/>
            <w:vAlign w:val="bottom"/>
            <w:hideMark/>
          </w:tcPr>
          <w:p w14:paraId="320F984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9.76E-17</w:t>
            </w:r>
          </w:p>
        </w:tc>
        <w:tc>
          <w:tcPr>
            <w:tcW w:w="571" w:type="dxa"/>
            <w:tcBorders>
              <w:top w:val="nil"/>
              <w:left w:val="nil"/>
              <w:bottom w:val="nil"/>
              <w:right w:val="nil"/>
            </w:tcBorders>
            <w:shd w:val="clear" w:color="auto" w:fill="auto"/>
            <w:noWrap/>
            <w:vAlign w:val="bottom"/>
            <w:hideMark/>
          </w:tcPr>
          <w:p w14:paraId="1B520A3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0.22</w:t>
            </w:r>
          </w:p>
        </w:tc>
        <w:tc>
          <w:tcPr>
            <w:tcW w:w="602" w:type="dxa"/>
            <w:tcBorders>
              <w:top w:val="nil"/>
              <w:left w:val="nil"/>
              <w:bottom w:val="nil"/>
              <w:right w:val="nil"/>
            </w:tcBorders>
            <w:shd w:val="clear" w:color="auto" w:fill="auto"/>
            <w:noWrap/>
            <w:vAlign w:val="bottom"/>
            <w:hideMark/>
          </w:tcPr>
          <w:p w14:paraId="355F278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0.18</w:t>
            </w:r>
          </w:p>
        </w:tc>
        <w:tc>
          <w:tcPr>
            <w:tcW w:w="709" w:type="dxa"/>
            <w:gridSpan w:val="2"/>
            <w:tcBorders>
              <w:top w:val="nil"/>
              <w:left w:val="nil"/>
              <w:bottom w:val="nil"/>
              <w:right w:val="nil"/>
            </w:tcBorders>
            <w:shd w:val="clear" w:color="auto" w:fill="auto"/>
            <w:noWrap/>
            <w:vAlign w:val="bottom"/>
            <w:hideMark/>
          </w:tcPr>
          <w:p w14:paraId="1E7BC1A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r>
      <w:tr w:rsidR="00F15317" w:rsidRPr="0002162A" w14:paraId="5D5C7C53" w14:textId="77777777" w:rsidTr="00F15317">
        <w:trPr>
          <w:trHeight w:val="300"/>
        </w:trPr>
        <w:tc>
          <w:tcPr>
            <w:tcW w:w="1120" w:type="dxa"/>
            <w:tcBorders>
              <w:top w:val="nil"/>
              <w:left w:val="nil"/>
              <w:bottom w:val="nil"/>
              <w:right w:val="nil"/>
            </w:tcBorders>
            <w:shd w:val="clear" w:color="auto" w:fill="auto"/>
            <w:noWrap/>
            <w:vAlign w:val="bottom"/>
            <w:hideMark/>
          </w:tcPr>
          <w:p w14:paraId="3EB3958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TCIPP</w:t>
            </w:r>
          </w:p>
        </w:tc>
        <w:tc>
          <w:tcPr>
            <w:tcW w:w="3880" w:type="dxa"/>
            <w:tcBorders>
              <w:top w:val="nil"/>
              <w:left w:val="nil"/>
              <w:bottom w:val="nil"/>
              <w:right w:val="nil"/>
            </w:tcBorders>
            <w:shd w:val="clear" w:color="auto" w:fill="auto"/>
            <w:noWrap/>
            <w:vAlign w:val="center"/>
            <w:hideMark/>
          </w:tcPr>
          <w:p w14:paraId="0A7D255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Non-Metallic Minerals Production</w:t>
            </w:r>
          </w:p>
        </w:tc>
        <w:tc>
          <w:tcPr>
            <w:tcW w:w="1120" w:type="dxa"/>
            <w:tcBorders>
              <w:top w:val="nil"/>
              <w:left w:val="nil"/>
              <w:bottom w:val="nil"/>
              <w:right w:val="nil"/>
            </w:tcBorders>
            <w:shd w:val="clear" w:color="auto" w:fill="auto"/>
            <w:noWrap/>
            <w:vAlign w:val="bottom"/>
            <w:hideMark/>
          </w:tcPr>
          <w:p w14:paraId="7E0ED37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-6.28E+00</w:t>
            </w:r>
          </w:p>
        </w:tc>
        <w:tc>
          <w:tcPr>
            <w:tcW w:w="720" w:type="dxa"/>
            <w:tcBorders>
              <w:top w:val="nil"/>
              <w:left w:val="nil"/>
              <w:bottom w:val="nil"/>
              <w:right w:val="nil"/>
            </w:tcBorders>
            <w:shd w:val="clear" w:color="auto" w:fill="auto"/>
            <w:noWrap/>
            <w:vAlign w:val="bottom"/>
            <w:hideMark/>
          </w:tcPr>
          <w:p w14:paraId="19D2AFE2" w14:textId="37A9F14A"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-5.53</w:t>
            </w:r>
          </w:p>
        </w:tc>
        <w:tc>
          <w:tcPr>
            <w:tcW w:w="682" w:type="dxa"/>
            <w:tcBorders>
              <w:top w:val="nil"/>
              <w:left w:val="nil"/>
              <w:bottom w:val="nil"/>
              <w:right w:val="nil"/>
            </w:tcBorders>
            <w:shd w:val="clear" w:color="auto" w:fill="auto"/>
            <w:noWrap/>
            <w:vAlign w:val="bottom"/>
            <w:hideMark/>
          </w:tcPr>
          <w:p w14:paraId="42B22121"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c>
          <w:tcPr>
            <w:tcW w:w="960" w:type="dxa"/>
            <w:tcBorders>
              <w:top w:val="nil"/>
              <w:left w:val="nil"/>
              <w:bottom w:val="nil"/>
              <w:right w:val="nil"/>
            </w:tcBorders>
            <w:shd w:val="clear" w:color="auto" w:fill="auto"/>
            <w:noWrap/>
            <w:vAlign w:val="bottom"/>
            <w:hideMark/>
          </w:tcPr>
          <w:p w14:paraId="46ADD963"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2.74E-15</w:t>
            </w:r>
          </w:p>
        </w:tc>
        <w:tc>
          <w:tcPr>
            <w:tcW w:w="571" w:type="dxa"/>
            <w:tcBorders>
              <w:top w:val="nil"/>
              <w:left w:val="nil"/>
              <w:bottom w:val="nil"/>
              <w:right w:val="nil"/>
            </w:tcBorders>
            <w:shd w:val="clear" w:color="auto" w:fill="auto"/>
            <w:noWrap/>
            <w:vAlign w:val="bottom"/>
            <w:hideMark/>
          </w:tcPr>
          <w:p w14:paraId="1679821C"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0.22</w:t>
            </w:r>
          </w:p>
        </w:tc>
        <w:tc>
          <w:tcPr>
            <w:tcW w:w="602" w:type="dxa"/>
            <w:tcBorders>
              <w:top w:val="nil"/>
              <w:left w:val="nil"/>
              <w:bottom w:val="nil"/>
              <w:right w:val="nil"/>
            </w:tcBorders>
            <w:shd w:val="clear" w:color="auto" w:fill="auto"/>
            <w:noWrap/>
            <w:vAlign w:val="bottom"/>
            <w:hideMark/>
          </w:tcPr>
          <w:p w14:paraId="4E81292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0.17</w:t>
            </w:r>
          </w:p>
        </w:tc>
        <w:tc>
          <w:tcPr>
            <w:tcW w:w="709" w:type="dxa"/>
            <w:gridSpan w:val="2"/>
            <w:tcBorders>
              <w:top w:val="nil"/>
              <w:left w:val="nil"/>
              <w:bottom w:val="nil"/>
              <w:right w:val="nil"/>
            </w:tcBorders>
            <w:shd w:val="clear" w:color="auto" w:fill="auto"/>
            <w:noWrap/>
            <w:vAlign w:val="bottom"/>
            <w:hideMark/>
          </w:tcPr>
          <w:p w14:paraId="4C15048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r>
      <w:tr w:rsidR="00F15317" w:rsidRPr="0002162A" w14:paraId="4E4885DA" w14:textId="77777777" w:rsidTr="00F15317">
        <w:trPr>
          <w:trHeight w:val="300"/>
        </w:trPr>
        <w:tc>
          <w:tcPr>
            <w:tcW w:w="1120" w:type="dxa"/>
            <w:tcBorders>
              <w:top w:val="nil"/>
              <w:left w:val="nil"/>
              <w:bottom w:val="nil"/>
              <w:right w:val="nil"/>
            </w:tcBorders>
            <w:shd w:val="clear" w:color="auto" w:fill="auto"/>
            <w:noWrap/>
            <w:vAlign w:val="bottom"/>
          </w:tcPr>
          <w:p w14:paraId="1076DBC1" w14:textId="3B5946A9" w:rsidR="00F15317" w:rsidRPr="0002162A" w:rsidRDefault="00F15317" w:rsidP="00F15317">
            <w:pPr>
              <w:spacing w:after="0" w:line="240" w:lineRule="auto"/>
              <w:jc w:val="right"/>
              <w:rPr>
                <w:rFonts w:ascii="Calibri" w:eastAsia="Times New Roman" w:hAnsi="Calibri" w:cs="Calibri"/>
                <w:color w:val="000000"/>
                <w:sz w:val="20"/>
                <w:szCs w:val="20"/>
              </w:rPr>
            </w:pPr>
            <w:proofErr w:type="spellStart"/>
            <w:r>
              <w:rPr>
                <w:rFonts w:ascii="Calibri" w:hAnsi="Calibri" w:cs="Calibri"/>
                <w:color w:val="000000"/>
                <w:sz w:val="20"/>
                <w:szCs w:val="20"/>
              </w:rPr>
              <w:t>TmCP</w:t>
            </w:r>
            <w:proofErr w:type="spellEnd"/>
          </w:p>
        </w:tc>
        <w:tc>
          <w:tcPr>
            <w:tcW w:w="3880" w:type="dxa"/>
            <w:tcBorders>
              <w:top w:val="nil"/>
              <w:left w:val="nil"/>
              <w:bottom w:val="nil"/>
              <w:right w:val="nil"/>
            </w:tcBorders>
            <w:shd w:val="clear" w:color="auto" w:fill="auto"/>
            <w:noWrap/>
            <w:vAlign w:val="center"/>
          </w:tcPr>
          <w:p w14:paraId="3AD935C8" w14:textId="6AF884E7"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RH</w:t>
            </w:r>
          </w:p>
        </w:tc>
        <w:tc>
          <w:tcPr>
            <w:tcW w:w="1120" w:type="dxa"/>
            <w:tcBorders>
              <w:top w:val="nil"/>
              <w:left w:val="nil"/>
              <w:bottom w:val="nil"/>
              <w:right w:val="nil"/>
            </w:tcBorders>
            <w:shd w:val="clear" w:color="auto" w:fill="auto"/>
            <w:noWrap/>
            <w:vAlign w:val="bottom"/>
          </w:tcPr>
          <w:p w14:paraId="39F11C1D" w14:textId="5B0F8502"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2.21E-02</w:t>
            </w:r>
          </w:p>
        </w:tc>
        <w:tc>
          <w:tcPr>
            <w:tcW w:w="720" w:type="dxa"/>
            <w:tcBorders>
              <w:top w:val="nil"/>
              <w:left w:val="nil"/>
              <w:bottom w:val="nil"/>
              <w:right w:val="nil"/>
            </w:tcBorders>
            <w:shd w:val="clear" w:color="auto" w:fill="auto"/>
            <w:noWrap/>
            <w:vAlign w:val="bottom"/>
          </w:tcPr>
          <w:p w14:paraId="71D051EF" w14:textId="7D6E7790"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-9.05</w:t>
            </w:r>
          </w:p>
        </w:tc>
        <w:tc>
          <w:tcPr>
            <w:tcW w:w="682" w:type="dxa"/>
            <w:tcBorders>
              <w:top w:val="nil"/>
              <w:left w:val="nil"/>
              <w:bottom w:val="nil"/>
              <w:right w:val="nil"/>
            </w:tcBorders>
            <w:shd w:val="clear" w:color="auto" w:fill="auto"/>
            <w:noWrap/>
            <w:vAlign w:val="bottom"/>
          </w:tcPr>
          <w:p w14:paraId="5FE43003" w14:textId="11EDC75A"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0.04</w:t>
            </w:r>
          </w:p>
        </w:tc>
        <w:tc>
          <w:tcPr>
            <w:tcW w:w="960" w:type="dxa"/>
            <w:tcBorders>
              <w:top w:val="nil"/>
              <w:left w:val="nil"/>
              <w:bottom w:val="nil"/>
              <w:right w:val="nil"/>
            </w:tcBorders>
            <w:shd w:val="clear" w:color="auto" w:fill="auto"/>
            <w:noWrap/>
            <w:vAlign w:val="bottom"/>
          </w:tcPr>
          <w:p w14:paraId="5012DC66" w14:textId="6A057ADE"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5.21E-10</w:t>
            </w:r>
          </w:p>
        </w:tc>
        <w:tc>
          <w:tcPr>
            <w:tcW w:w="571" w:type="dxa"/>
            <w:tcBorders>
              <w:top w:val="nil"/>
              <w:left w:val="nil"/>
              <w:bottom w:val="nil"/>
              <w:right w:val="nil"/>
            </w:tcBorders>
            <w:shd w:val="clear" w:color="auto" w:fill="auto"/>
            <w:noWrap/>
            <w:vAlign w:val="bottom"/>
          </w:tcPr>
          <w:p w14:paraId="7E9E11D0" w14:textId="6F47992C"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0.22</w:t>
            </w:r>
          </w:p>
        </w:tc>
        <w:tc>
          <w:tcPr>
            <w:tcW w:w="602" w:type="dxa"/>
            <w:tcBorders>
              <w:top w:val="nil"/>
              <w:left w:val="nil"/>
              <w:bottom w:val="nil"/>
              <w:right w:val="nil"/>
            </w:tcBorders>
            <w:shd w:val="clear" w:color="auto" w:fill="auto"/>
            <w:noWrap/>
            <w:vAlign w:val="bottom"/>
          </w:tcPr>
          <w:p w14:paraId="111E53D3" w14:textId="28CC16DC"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0.17</w:t>
            </w:r>
          </w:p>
        </w:tc>
        <w:tc>
          <w:tcPr>
            <w:tcW w:w="709" w:type="dxa"/>
            <w:gridSpan w:val="2"/>
            <w:tcBorders>
              <w:top w:val="nil"/>
              <w:left w:val="nil"/>
              <w:bottom w:val="nil"/>
              <w:right w:val="nil"/>
            </w:tcBorders>
            <w:shd w:val="clear" w:color="auto" w:fill="auto"/>
            <w:noWrap/>
            <w:vAlign w:val="bottom"/>
          </w:tcPr>
          <w:p w14:paraId="5382717C" w14:textId="3895C2B9" w:rsidR="00F15317" w:rsidRPr="0002162A" w:rsidRDefault="00F15317" w:rsidP="00F15317">
            <w:pPr>
              <w:spacing w:after="0" w:line="240" w:lineRule="auto"/>
              <w:jc w:val="right"/>
              <w:rPr>
                <w:rFonts w:ascii="Calibri" w:eastAsia="Times New Roman" w:hAnsi="Calibri" w:cs="Calibri"/>
                <w:color w:val="000000"/>
                <w:sz w:val="20"/>
                <w:szCs w:val="20"/>
              </w:rPr>
            </w:pPr>
            <w:r>
              <w:rPr>
                <w:rFonts w:ascii="Calibri" w:hAnsi="Calibri" w:cs="Calibri"/>
                <w:color w:val="000000"/>
                <w:sz w:val="20"/>
                <w:szCs w:val="20"/>
              </w:rPr>
              <w:t>0.04</w:t>
            </w:r>
          </w:p>
        </w:tc>
      </w:tr>
      <w:tr w:rsidR="00F15317" w:rsidRPr="0002162A" w14:paraId="4F3FFC60" w14:textId="77777777" w:rsidTr="00F15317">
        <w:trPr>
          <w:trHeight w:val="300"/>
        </w:trPr>
        <w:tc>
          <w:tcPr>
            <w:tcW w:w="1120" w:type="dxa"/>
            <w:tcBorders>
              <w:top w:val="nil"/>
              <w:left w:val="nil"/>
              <w:bottom w:val="nil"/>
              <w:right w:val="nil"/>
            </w:tcBorders>
            <w:shd w:val="clear" w:color="auto" w:fill="auto"/>
            <w:noWrap/>
            <w:vAlign w:val="bottom"/>
            <w:hideMark/>
          </w:tcPr>
          <w:p w14:paraId="401A5398" w14:textId="77777777" w:rsidR="00F15317" w:rsidRPr="0002162A" w:rsidRDefault="00F15317" w:rsidP="0002162A">
            <w:pPr>
              <w:spacing w:after="0" w:line="240" w:lineRule="auto"/>
              <w:jc w:val="right"/>
              <w:rPr>
                <w:rFonts w:ascii="Calibri" w:eastAsia="Times New Roman" w:hAnsi="Calibri" w:cs="Calibri"/>
                <w:color w:val="000000"/>
                <w:sz w:val="20"/>
                <w:szCs w:val="20"/>
              </w:rPr>
            </w:pPr>
            <w:proofErr w:type="spellStart"/>
            <w:r w:rsidRPr="0002162A">
              <w:rPr>
                <w:rFonts w:ascii="Calibri" w:eastAsia="Times New Roman" w:hAnsi="Calibri" w:cs="Calibri"/>
                <w:color w:val="000000"/>
                <w:sz w:val="20"/>
                <w:szCs w:val="20"/>
              </w:rPr>
              <w:t>TmCP</w:t>
            </w:r>
            <w:proofErr w:type="spellEnd"/>
          </w:p>
        </w:tc>
        <w:tc>
          <w:tcPr>
            <w:tcW w:w="3880" w:type="dxa"/>
            <w:tcBorders>
              <w:top w:val="nil"/>
              <w:left w:val="nil"/>
              <w:bottom w:val="nil"/>
              <w:right w:val="nil"/>
            </w:tcBorders>
            <w:shd w:val="clear" w:color="auto" w:fill="auto"/>
            <w:noWrap/>
            <w:vAlign w:val="center"/>
            <w:hideMark/>
          </w:tcPr>
          <w:p w14:paraId="4D05C715"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Emissions</w:t>
            </w:r>
          </w:p>
        </w:tc>
        <w:tc>
          <w:tcPr>
            <w:tcW w:w="1120" w:type="dxa"/>
            <w:tcBorders>
              <w:top w:val="nil"/>
              <w:left w:val="nil"/>
              <w:bottom w:val="nil"/>
              <w:right w:val="nil"/>
            </w:tcBorders>
            <w:shd w:val="clear" w:color="auto" w:fill="auto"/>
            <w:noWrap/>
            <w:vAlign w:val="bottom"/>
            <w:hideMark/>
          </w:tcPr>
          <w:p w14:paraId="71B35AC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8.56E+04</w:t>
            </w:r>
          </w:p>
        </w:tc>
        <w:tc>
          <w:tcPr>
            <w:tcW w:w="720" w:type="dxa"/>
            <w:tcBorders>
              <w:top w:val="nil"/>
              <w:left w:val="nil"/>
              <w:bottom w:val="nil"/>
              <w:right w:val="nil"/>
            </w:tcBorders>
            <w:shd w:val="clear" w:color="auto" w:fill="auto"/>
            <w:noWrap/>
            <w:vAlign w:val="bottom"/>
            <w:hideMark/>
          </w:tcPr>
          <w:p w14:paraId="08AF5314" w14:textId="7AF59274"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-7.89</w:t>
            </w:r>
          </w:p>
        </w:tc>
        <w:tc>
          <w:tcPr>
            <w:tcW w:w="682" w:type="dxa"/>
            <w:tcBorders>
              <w:top w:val="nil"/>
              <w:left w:val="nil"/>
              <w:bottom w:val="nil"/>
              <w:right w:val="nil"/>
            </w:tcBorders>
            <w:shd w:val="clear" w:color="auto" w:fill="auto"/>
            <w:noWrap/>
            <w:vAlign w:val="bottom"/>
            <w:hideMark/>
          </w:tcPr>
          <w:p w14:paraId="4912C94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c>
          <w:tcPr>
            <w:tcW w:w="960" w:type="dxa"/>
            <w:tcBorders>
              <w:top w:val="nil"/>
              <w:left w:val="nil"/>
              <w:bottom w:val="nil"/>
              <w:right w:val="nil"/>
            </w:tcBorders>
            <w:shd w:val="clear" w:color="auto" w:fill="auto"/>
            <w:noWrap/>
            <w:vAlign w:val="bottom"/>
            <w:hideMark/>
          </w:tcPr>
          <w:p w14:paraId="70BFBC25"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2.14E-17</w:t>
            </w:r>
          </w:p>
        </w:tc>
        <w:tc>
          <w:tcPr>
            <w:tcW w:w="571" w:type="dxa"/>
            <w:tcBorders>
              <w:top w:val="nil"/>
              <w:left w:val="nil"/>
              <w:bottom w:val="nil"/>
              <w:right w:val="nil"/>
            </w:tcBorders>
            <w:shd w:val="clear" w:color="auto" w:fill="auto"/>
            <w:noWrap/>
            <w:vAlign w:val="bottom"/>
            <w:hideMark/>
          </w:tcPr>
          <w:p w14:paraId="06A1C91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0.22</w:t>
            </w:r>
          </w:p>
        </w:tc>
        <w:tc>
          <w:tcPr>
            <w:tcW w:w="602" w:type="dxa"/>
            <w:tcBorders>
              <w:top w:val="nil"/>
              <w:left w:val="nil"/>
              <w:bottom w:val="nil"/>
              <w:right w:val="nil"/>
            </w:tcBorders>
            <w:shd w:val="clear" w:color="auto" w:fill="auto"/>
            <w:noWrap/>
            <w:vAlign w:val="bottom"/>
            <w:hideMark/>
          </w:tcPr>
          <w:p w14:paraId="07ACFFC8"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0.17</w:t>
            </w:r>
          </w:p>
        </w:tc>
        <w:tc>
          <w:tcPr>
            <w:tcW w:w="709" w:type="dxa"/>
            <w:gridSpan w:val="2"/>
            <w:tcBorders>
              <w:top w:val="nil"/>
              <w:left w:val="nil"/>
              <w:bottom w:val="nil"/>
              <w:right w:val="nil"/>
            </w:tcBorders>
            <w:shd w:val="clear" w:color="auto" w:fill="auto"/>
            <w:noWrap/>
            <w:vAlign w:val="bottom"/>
            <w:hideMark/>
          </w:tcPr>
          <w:p w14:paraId="12DD4F82"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0.04</w:t>
            </w:r>
          </w:p>
        </w:tc>
      </w:tr>
      <w:tr w:rsidR="00F15317" w:rsidRPr="0002162A" w14:paraId="36A8D00E" w14:textId="77777777" w:rsidTr="00F15317">
        <w:trPr>
          <w:trHeight w:val="300"/>
        </w:trPr>
        <w:tc>
          <w:tcPr>
            <w:tcW w:w="1120" w:type="dxa"/>
            <w:tcBorders>
              <w:top w:val="nil"/>
              <w:left w:val="nil"/>
              <w:bottom w:val="nil"/>
              <w:right w:val="nil"/>
            </w:tcBorders>
            <w:shd w:val="clear" w:color="auto" w:fill="auto"/>
            <w:noWrap/>
            <w:vAlign w:val="bottom"/>
            <w:hideMark/>
          </w:tcPr>
          <w:p w14:paraId="64C1DA05"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TEP</w:t>
            </w:r>
          </w:p>
        </w:tc>
        <w:tc>
          <w:tcPr>
            <w:tcW w:w="3880" w:type="dxa"/>
            <w:tcBorders>
              <w:top w:val="nil"/>
              <w:left w:val="nil"/>
              <w:bottom w:val="nil"/>
              <w:right w:val="nil"/>
            </w:tcBorders>
            <w:shd w:val="clear" w:color="auto" w:fill="auto"/>
            <w:noWrap/>
            <w:vAlign w:val="center"/>
            <w:hideMark/>
          </w:tcPr>
          <w:p w14:paraId="7BD5E84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%CO</w:t>
            </w:r>
            <w:r w:rsidRPr="0002162A">
              <w:rPr>
                <w:rFonts w:ascii="Calibri" w:eastAsia="Times New Roman" w:hAnsi="Calibri" w:cs="Calibri"/>
                <w:color w:val="000000"/>
                <w:sz w:val="20"/>
                <w:szCs w:val="20"/>
                <w:vertAlign w:val="subscript"/>
              </w:rPr>
              <w:t>2</w:t>
            </w:r>
            <w:r w:rsidRPr="0002162A">
              <w:rPr>
                <w:rFonts w:ascii="Calibri" w:eastAsia="Times New Roman" w:hAnsi="Calibri" w:cs="Calibri"/>
                <w:color w:val="000000"/>
                <w:sz w:val="20"/>
                <w:szCs w:val="20"/>
              </w:rPr>
              <w:t xml:space="preserve"> Combustion for Manufacturing</w:t>
            </w:r>
          </w:p>
        </w:tc>
        <w:tc>
          <w:tcPr>
            <w:tcW w:w="1120" w:type="dxa"/>
            <w:tcBorders>
              <w:top w:val="nil"/>
              <w:left w:val="nil"/>
              <w:bottom w:val="nil"/>
              <w:right w:val="nil"/>
            </w:tcBorders>
            <w:shd w:val="clear" w:color="auto" w:fill="auto"/>
            <w:noWrap/>
            <w:vAlign w:val="bottom"/>
            <w:hideMark/>
          </w:tcPr>
          <w:p w14:paraId="583CCC4D"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-2.22E+00</w:t>
            </w:r>
          </w:p>
        </w:tc>
        <w:tc>
          <w:tcPr>
            <w:tcW w:w="720" w:type="dxa"/>
            <w:tcBorders>
              <w:top w:val="nil"/>
              <w:left w:val="nil"/>
              <w:bottom w:val="nil"/>
              <w:right w:val="nil"/>
            </w:tcBorders>
            <w:shd w:val="clear" w:color="auto" w:fill="auto"/>
            <w:noWrap/>
            <w:vAlign w:val="bottom"/>
            <w:hideMark/>
          </w:tcPr>
          <w:p w14:paraId="2F767E04" w14:textId="3C2CAA72"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-7.23</w:t>
            </w:r>
          </w:p>
        </w:tc>
        <w:tc>
          <w:tcPr>
            <w:tcW w:w="682" w:type="dxa"/>
            <w:tcBorders>
              <w:top w:val="nil"/>
              <w:left w:val="nil"/>
              <w:bottom w:val="nil"/>
              <w:right w:val="nil"/>
            </w:tcBorders>
            <w:shd w:val="clear" w:color="auto" w:fill="auto"/>
            <w:noWrap/>
            <w:vAlign w:val="bottom"/>
            <w:hideMark/>
          </w:tcPr>
          <w:p w14:paraId="6FCD235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0.05</w:t>
            </w:r>
          </w:p>
        </w:tc>
        <w:tc>
          <w:tcPr>
            <w:tcW w:w="960" w:type="dxa"/>
            <w:tcBorders>
              <w:top w:val="nil"/>
              <w:left w:val="nil"/>
              <w:bottom w:val="nil"/>
              <w:right w:val="nil"/>
            </w:tcBorders>
            <w:shd w:val="clear" w:color="auto" w:fill="auto"/>
            <w:noWrap/>
            <w:vAlign w:val="bottom"/>
            <w:hideMark/>
          </w:tcPr>
          <w:p w14:paraId="2BD189D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1.98E-16</w:t>
            </w:r>
          </w:p>
        </w:tc>
        <w:tc>
          <w:tcPr>
            <w:tcW w:w="571" w:type="dxa"/>
            <w:tcBorders>
              <w:top w:val="nil"/>
              <w:left w:val="nil"/>
              <w:bottom w:val="nil"/>
              <w:right w:val="nil"/>
            </w:tcBorders>
            <w:shd w:val="clear" w:color="auto" w:fill="auto"/>
            <w:noWrap/>
            <w:vAlign w:val="bottom"/>
            <w:hideMark/>
          </w:tcPr>
          <w:p w14:paraId="20A0B5E0"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0.22</w:t>
            </w:r>
          </w:p>
        </w:tc>
        <w:tc>
          <w:tcPr>
            <w:tcW w:w="602" w:type="dxa"/>
            <w:tcBorders>
              <w:top w:val="nil"/>
              <w:left w:val="nil"/>
              <w:bottom w:val="nil"/>
              <w:right w:val="nil"/>
            </w:tcBorders>
            <w:shd w:val="clear" w:color="auto" w:fill="auto"/>
            <w:noWrap/>
            <w:vAlign w:val="bottom"/>
            <w:hideMark/>
          </w:tcPr>
          <w:p w14:paraId="506E068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0.17</w:t>
            </w:r>
          </w:p>
        </w:tc>
        <w:tc>
          <w:tcPr>
            <w:tcW w:w="709" w:type="dxa"/>
            <w:gridSpan w:val="2"/>
            <w:tcBorders>
              <w:top w:val="nil"/>
              <w:left w:val="nil"/>
              <w:bottom w:val="nil"/>
              <w:right w:val="nil"/>
            </w:tcBorders>
            <w:shd w:val="clear" w:color="auto" w:fill="auto"/>
            <w:noWrap/>
            <w:vAlign w:val="bottom"/>
            <w:hideMark/>
          </w:tcPr>
          <w:p w14:paraId="27FD2CB4"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0.05</w:t>
            </w:r>
          </w:p>
        </w:tc>
      </w:tr>
      <w:tr w:rsidR="00F15317" w:rsidRPr="0002162A" w14:paraId="753A92F0" w14:textId="77777777" w:rsidTr="00F15317">
        <w:trPr>
          <w:trHeight w:val="315"/>
        </w:trPr>
        <w:tc>
          <w:tcPr>
            <w:tcW w:w="1120" w:type="dxa"/>
            <w:tcBorders>
              <w:top w:val="nil"/>
              <w:left w:val="nil"/>
              <w:bottom w:val="single" w:sz="4" w:space="0" w:color="auto"/>
              <w:right w:val="nil"/>
            </w:tcBorders>
            <w:shd w:val="clear" w:color="auto" w:fill="auto"/>
            <w:noWrap/>
            <w:vAlign w:val="bottom"/>
            <w:hideMark/>
          </w:tcPr>
          <w:p w14:paraId="05427AB0" w14:textId="77777777" w:rsidR="00F15317" w:rsidRPr="0002162A" w:rsidRDefault="00F15317" w:rsidP="0002162A">
            <w:pPr>
              <w:spacing w:after="0" w:line="240" w:lineRule="auto"/>
              <w:jc w:val="right"/>
              <w:rPr>
                <w:rFonts w:ascii="Calibri" w:eastAsia="Times New Roman" w:hAnsi="Calibri" w:cs="Calibri"/>
                <w:color w:val="000000"/>
                <w:sz w:val="20"/>
                <w:szCs w:val="20"/>
              </w:rPr>
            </w:pPr>
            <w:proofErr w:type="spellStart"/>
            <w:r w:rsidRPr="0002162A">
              <w:rPr>
                <w:rFonts w:ascii="Calibri" w:eastAsia="Times New Roman" w:hAnsi="Calibri" w:cs="Calibri"/>
                <w:color w:val="000000"/>
                <w:sz w:val="20"/>
                <w:szCs w:val="20"/>
              </w:rPr>
              <w:t>TPhP</w:t>
            </w:r>
            <w:proofErr w:type="spellEnd"/>
          </w:p>
        </w:tc>
        <w:tc>
          <w:tcPr>
            <w:tcW w:w="3880" w:type="dxa"/>
            <w:tcBorders>
              <w:top w:val="nil"/>
              <w:left w:val="nil"/>
              <w:bottom w:val="single" w:sz="8" w:space="0" w:color="auto"/>
              <w:right w:val="nil"/>
            </w:tcBorders>
            <w:shd w:val="clear" w:color="auto" w:fill="auto"/>
            <w:noWrap/>
            <w:vAlign w:val="center"/>
            <w:hideMark/>
          </w:tcPr>
          <w:p w14:paraId="62695DF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∑GDP</w:t>
            </w:r>
          </w:p>
        </w:tc>
        <w:tc>
          <w:tcPr>
            <w:tcW w:w="1120" w:type="dxa"/>
            <w:tcBorders>
              <w:top w:val="nil"/>
              <w:left w:val="nil"/>
              <w:bottom w:val="single" w:sz="4" w:space="0" w:color="auto"/>
              <w:right w:val="nil"/>
            </w:tcBorders>
            <w:shd w:val="clear" w:color="auto" w:fill="auto"/>
            <w:noWrap/>
            <w:vAlign w:val="bottom"/>
            <w:hideMark/>
          </w:tcPr>
          <w:p w14:paraId="7F47D1FB"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1.95E-12</w:t>
            </w:r>
          </w:p>
        </w:tc>
        <w:tc>
          <w:tcPr>
            <w:tcW w:w="720" w:type="dxa"/>
            <w:tcBorders>
              <w:top w:val="nil"/>
              <w:left w:val="nil"/>
              <w:bottom w:val="single" w:sz="4" w:space="0" w:color="auto"/>
              <w:right w:val="nil"/>
            </w:tcBorders>
            <w:shd w:val="clear" w:color="auto" w:fill="auto"/>
            <w:noWrap/>
            <w:vAlign w:val="bottom"/>
            <w:hideMark/>
          </w:tcPr>
          <w:p w14:paraId="014F7BEE" w14:textId="72D9153E"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-7.38</w:t>
            </w:r>
          </w:p>
        </w:tc>
        <w:tc>
          <w:tcPr>
            <w:tcW w:w="682" w:type="dxa"/>
            <w:tcBorders>
              <w:top w:val="nil"/>
              <w:left w:val="nil"/>
              <w:bottom w:val="single" w:sz="4" w:space="0" w:color="auto"/>
              <w:right w:val="nil"/>
            </w:tcBorders>
            <w:shd w:val="clear" w:color="auto" w:fill="auto"/>
            <w:noWrap/>
            <w:vAlign w:val="bottom"/>
            <w:hideMark/>
          </w:tcPr>
          <w:p w14:paraId="615202BF"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0.05</w:t>
            </w:r>
          </w:p>
        </w:tc>
        <w:tc>
          <w:tcPr>
            <w:tcW w:w="960" w:type="dxa"/>
            <w:tcBorders>
              <w:top w:val="nil"/>
              <w:left w:val="nil"/>
              <w:bottom w:val="single" w:sz="4" w:space="0" w:color="auto"/>
              <w:right w:val="nil"/>
            </w:tcBorders>
            <w:shd w:val="clear" w:color="auto" w:fill="auto"/>
            <w:noWrap/>
            <w:vAlign w:val="bottom"/>
            <w:hideMark/>
          </w:tcPr>
          <w:p w14:paraId="22403673"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2.44E-17</w:t>
            </w:r>
          </w:p>
        </w:tc>
        <w:tc>
          <w:tcPr>
            <w:tcW w:w="571" w:type="dxa"/>
            <w:tcBorders>
              <w:top w:val="nil"/>
              <w:left w:val="nil"/>
              <w:bottom w:val="single" w:sz="4" w:space="0" w:color="auto"/>
              <w:right w:val="nil"/>
            </w:tcBorders>
            <w:shd w:val="clear" w:color="auto" w:fill="auto"/>
            <w:noWrap/>
            <w:vAlign w:val="bottom"/>
            <w:hideMark/>
          </w:tcPr>
          <w:p w14:paraId="1475AFA6"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0.21</w:t>
            </w:r>
          </w:p>
        </w:tc>
        <w:tc>
          <w:tcPr>
            <w:tcW w:w="602" w:type="dxa"/>
            <w:tcBorders>
              <w:top w:val="nil"/>
              <w:left w:val="nil"/>
              <w:bottom w:val="single" w:sz="4" w:space="0" w:color="auto"/>
              <w:right w:val="nil"/>
            </w:tcBorders>
            <w:shd w:val="clear" w:color="auto" w:fill="auto"/>
            <w:noWrap/>
            <w:vAlign w:val="bottom"/>
            <w:hideMark/>
          </w:tcPr>
          <w:p w14:paraId="01E02CEE"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0.16</w:t>
            </w:r>
          </w:p>
        </w:tc>
        <w:tc>
          <w:tcPr>
            <w:tcW w:w="709" w:type="dxa"/>
            <w:gridSpan w:val="2"/>
            <w:tcBorders>
              <w:top w:val="nil"/>
              <w:left w:val="nil"/>
              <w:bottom w:val="single" w:sz="4" w:space="0" w:color="auto"/>
              <w:right w:val="nil"/>
            </w:tcBorders>
            <w:shd w:val="clear" w:color="auto" w:fill="auto"/>
            <w:noWrap/>
            <w:vAlign w:val="bottom"/>
            <w:hideMark/>
          </w:tcPr>
          <w:p w14:paraId="10284DBA" w14:textId="77777777" w:rsidR="00F15317" w:rsidRPr="0002162A" w:rsidRDefault="00F15317" w:rsidP="0002162A">
            <w:pPr>
              <w:spacing w:after="0" w:line="240" w:lineRule="auto"/>
              <w:jc w:val="right"/>
              <w:rPr>
                <w:rFonts w:ascii="Calibri" w:eastAsia="Times New Roman" w:hAnsi="Calibri" w:cs="Calibri"/>
                <w:color w:val="000000"/>
                <w:sz w:val="20"/>
                <w:szCs w:val="20"/>
              </w:rPr>
            </w:pPr>
            <w:r w:rsidRPr="0002162A">
              <w:rPr>
                <w:rFonts w:ascii="Calibri" w:eastAsia="Times New Roman" w:hAnsi="Calibri" w:cs="Calibri"/>
                <w:color w:val="000000"/>
                <w:sz w:val="20"/>
                <w:szCs w:val="20"/>
              </w:rPr>
              <w:t>0.05</w:t>
            </w:r>
          </w:p>
        </w:tc>
      </w:tr>
    </w:tbl>
    <w:p w14:paraId="69685128" w14:textId="77777777" w:rsidR="0002162A" w:rsidRPr="0002162A" w:rsidRDefault="0002162A" w:rsidP="0002162A"/>
    <w:p w14:paraId="7B2AADB8" w14:textId="77777777" w:rsidR="004C4BB9" w:rsidRPr="004C4BB9" w:rsidRDefault="004C4BB9" w:rsidP="004C4BB9"/>
    <w:p w14:paraId="136B626A" w14:textId="2979ED0A" w:rsidR="00B807E2" w:rsidRDefault="00416CCF" w:rsidP="000D2F3A">
      <w:r>
        <w:rPr>
          <w:noProof/>
        </w:rPr>
        <w:lastRenderedPageBreak/>
        <w:drawing>
          <wp:inline distT="0" distB="0" distL="0" distR="0" wp14:anchorId="45876A88" wp14:editId="28F0F642">
            <wp:extent cx="5654308" cy="7272068"/>
            <wp:effectExtent l="0" t="0" r="381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BOEP_fate.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59468" cy="7278705"/>
                    </a:xfrm>
                    <a:prstGeom prst="rect">
                      <a:avLst/>
                    </a:prstGeom>
                  </pic:spPr>
                </pic:pic>
              </a:graphicData>
            </a:graphic>
          </wp:inline>
        </w:drawing>
      </w:r>
    </w:p>
    <w:p w14:paraId="65B1FFBC" w14:textId="761E343C" w:rsidR="00D22095" w:rsidRDefault="00D22095" w:rsidP="00D22095">
      <w:pPr>
        <w:pStyle w:val="Caption"/>
      </w:pPr>
      <w:r>
        <w:t>Figure S</w:t>
      </w:r>
      <w:r w:rsidR="00E90D29">
        <w:fldChar w:fldCharType="begin"/>
      </w:r>
      <w:r w:rsidR="00E90D29">
        <w:instrText xml:space="preserve"> SEQ Figure \* ARABIC </w:instrText>
      </w:r>
      <w:r w:rsidR="00E90D29">
        <w:fldChar w:fldCharType="separate"/>
      </w:r>
      <w:r w:rsidR="004E4C5D">
        <w:rPr>
          <w:noProof/>
        </w:rPr>
        <w:t>2</w:t>
      </w:r>
      <w:r w:rsidR="00E90D29">
        <w:rPr>
          <w:noProof/>
        </w:rPr>
        <w:fldChar w:fldCharType="end"/>
      </w:r>
      <w:r>
        <w:t xml:space="preserve">: TBOEP emissions and fate for each of the modeled cities using the 2018 annual average administrative area baseline model fate parameterization. Advective processes leaving the city’s modeled boundary are shown with one-way transport arrows at the right-hand side of the figure for the upper air, lower air, soil (to groundwater), water, and sediment (burial) compartments. Figures may not </w:t>
      </w:r>
      <w:r w:rsidR="00E25D42">
        <w:t>sum</w:t>
      </w:r>
      <w:r>
        <w:t xml:space="preserve"> exactly to 100 </w:t>
      </w:r>
      <w:proofErr w:type="gramStart"/>
      <w:r>
        <w:t>due</w:t>
      </w:r>
      <w:proofErr w:type="gramEnd"/>
      <w:r>
        <w:t xml:space="preserve"> to rounding. </w:t>
      </w:r>
      <w:r w:rsidR="00416CCF">
        <w:t xml:space="preserve">Blanks show cities where </w:t>
      </w:r>
      <w:r w:rsidR="00F54641">
        <w:t xml:space="preserve">no TBOEP was emitted. </w:t>
      </w:r>
    </w:p>
    <w:p w14:paraId="0CEBEDA3" w14:textId="0A50CBD3" w:rsidR="00F54641" w:rsidRDefault="00F54641" w:rsidP="00F54641">
      <w:pPr>
        <w:pStyle w:val="Caption"/>
      </w:pPr>
      <w:r>
        <w:rPr>
          <w:noProof/>
        </w:rPr>
        <w:lastRenderedPageBreak/>
        <w:drawing>
          <wp:inline distT="0" distB="0" distL="0" distR="0" wp14:anchorId="58A81FD0" wp14:editId="701D3A18">
            <wp:extent cx="5761626" cy="7410091"/>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CEP_fate.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2833" cy="7411643"/>
                    </a:xfrm>
                    <a:prstGeom prst="rect">
                      <a:avLst/>
                    </a:prstGeom>
                  </pic:spPr>
                </pic:pic>
              </a:graphicData>
            </a:graphic>
          </wp:inline>
        </w:drawing>
      </w:r>
    </w:p>
    <w:p w14:paraId="285AE329" w14:textId="008A218A" w:rsidR="00F54641" w:rsidRDefault="00F54641" w:rsidP="00F54641">
      <w:pPr>
        <w:pStyle w:val="Caption"/>
      </w:pPr>
      <w:r>
        <w:t>Figure S</w:t>
      </w:r>
      <w:r w:rsidR="00E90D29">
        <w:fldChar w:fldCharType="begin"/>
      </w:r>
      <w:r w:rsidR="00E90D29">
        <w:instrText xml:space="preserve"> SEQ Figure \* ARABIC </w:instrText>
      </w:r>
      <w:r w:rsidR="00E90D29">
        <w:fldChar w:fldCharType="separate"/>
      </w:r>
      <w:r w:rsidR="004E4C5D">
        <w:rPr>
          <w:noProof/>
        </w:rPr>
        <w:t>3</w:t>
      </w:r>
      <w:r w:rsidR="00E90D29">
        <w:rPr>
          <w:noProof/>
        </w:rPr>
        <w:fldChar w:fldCharType="end"/>
      </w:r>
      <w:r>
        <w:t xml:space="preserve">: TCEP emissions and fate for each of the modeled cities using the 2018 annual average administrative area baseline model fate parameterization. Advective processes leaving the city’s modeled boundary are shown with one-way transport arrows at the right-hand side of the figure for the upper air, lower air, soil (to groundwater), water, and sediment (burial) compartments. Figures may not sum exactly to 100 </w:t>
      </w:r>
      <w:proofErr w:type="gramStart"/>
      <w:r>
        <w:t>due</w:t>
      </w:r>
      <w:proofErr w:type="gramEnd"/>
      <w:r>
        <w:t xml:space="preserve"> to rounding. </w:t>
      </w:r>
    </w:p>
    <w:p w14:paraId="0142A693" w14:textId="5EFE4B34" w:rsidR="00F54641" w:rsidRDefault="00F54641" w:rsidP="00F54641">
      <w:r>
        <w:rPr>
          <w:noProof/>
        </w:rPr>
        <w:lastRenderedPageBreak/>
        <w:drawing>
          <wp:inline distT="0" distB="0" distL="0" distR="0" wp14:anchorId="61999F09" wp14:editId="792EDC7A">
            <wp:extent cx="5848821" cy="7522234"/>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CIPP_fate.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52669" cy="7527183"/>
                    </a:xfrm>
                    <a:prstGeom prst="rect">
                      <a:avLst/>
                    </a:prstGeom>
                  </pic:spPr>
                </pic:pic>
              </a:graphicData>
            </a:graphic>
          </wp:inline>
        </w:drawing>
      </w:r>
    </w:p>
    <w:p w14:paraId="4A6CC5DF" w14:textId="365ADE36" w:rsidR="00F54641" w:rsidRDefault="00F54641" w:rsidP="00F54641">
      <w:pPr>
        <w:pStyle w:val="Caption"/>
      </w:pPr>
      <w:r>
        <w:t>Figure S</w:t>
      </w:r>
      <w:r w:rsidR="00E90D29">
        <w:fldChar w:fldCharType="begin"/>
      </w:r>
      <w:r w:rsidR="00E90D29">
        <w:instrText xml:space="preserve"> SEQ Figure \* ARABIC </w:instrText>
      </w:r>
      <w:r w:rsidR="00E90D29">
        <w:fldChar w:fldCharType="separate"/>
      </w:r>
      <w:r w:rsidR="004E4C5D">
        <w:rPr>
          <w:noProof/>
        </w:rPr>
        <w:t>4</w:t>
      </w:r>
      <w:r w:rsidR="00E90D29">
        <w:rPr>
          <w:noProof/>
        </w:rPr>
        <w:fldChar w:fldCharType="end"/>
      </w:r>
      <w:r>
        <w:t xml:space="preserve">: TCIPP emissions and fate for each of the modeled cities using the 2018 annual average administrative area baseline model fate parameterization. Advective processes leaving the city’s modeled boundary are shown with one-way transport arrows at the right-hand side of the figure for the upper air, lower air, soil (to groundwater), water, and sediment (burial) compartments. Figures may not sum exactly to 100 </w:t>
      </w:r>
      <w:proofErr w:type="gramStart"/>
      <w:r>
        <w:t>due</w:t>
      </w:r>
      <w:proofErr w:type="gramEnd"/>
      <w:r>
        <w:t xml:space="preserve"> to rounding. </w:t>
      </w:r>
    </w:p>
    <w:p w14:paraId="5C97FC9B" w14:textId="37103940" w:rsidR="00F54641" w:rsidRDefault="00FC643E" w:rsidP="00F54641">
      <w:r>
        <w:rPr>
          <w:noProof/>
        </w:rPr>
        <w:lastRenderedPageBreak/>
        <w:drawing>
          <wp:inline distT="0" distB="0" distL="0" distR="0" wp14:anchorId="04711143" wp14:editId="6525DD53">
            <wp:extent cx="5835406" cy="7504981"/>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DCIPP_fate.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40098" cy="7511015"/>
                    </a:xfrm>
                    <a:prstGeom prst="rect">
                      <a:avLst/>
                    </a:prstGeom>
                  </pic:spPr>
                </pic:pic>
              </a:graphicData>
            </a:graphic>
          </wp:inline>
        </w:drawing>
      </w:r>
    </w:p>
    <w:p w14:paraId="01FC2B53" w14:textId="11B4048E" w:rsidR="00FC643E" w:rsidRDefault="00FC643E" w:rsidP="00FC643E">
      <w:pPr>
        <w:pStyle w:val="Caption"/>
      </w:pPr>
      <w:r>
        <w:t>Figure S</w:t>
      </w:r>
      <w:r w:rsidR="00E90D29">
        <w:fldChar w:fldCharType="begin"/>
      </w:r>
      <w:r w:rsidR="00E90D29">
        <w:instrText xml:space="preserve"> SEQ Figure \* ARABIC </w:instrText>
      </w:r>
      <w:r w:rsidR="00E90D29">
        <w:fldChar w:fldCharType="separate"/>
      </w:r>
      <w:r w:rsidR="004E4C5D">
        <w:rPr>
          <w:noProof/>
        </w:rPr>
        <w:t>5</w:t>
      </w:r>
      <w:r w:rsidR="00E90D29">
        <w:rPr>
          <w:noProof/>
        </w:rPr>
        <w:fldChar w:fldCharType="end"/>
      </w:r>
      <w:r>
        <w:t xml:space="preserve">: TDCIPP emissions and fate for each of the modeled cities using the 2018 annual average administrative area baseline model fate parameterization. Advective processes leaving the city’s modeled boundary are shown with one-way transport arrows at the right-hand side of the figure for the upper air, lower air, soil (to groundwater), water, and sediment (burial) compartments. Figures may not sum exactly to 100 </w:t>
      </w:r>
      <w:proofErr w:type="gramStart"/>
      <w:r>
        <w:t>due</w:t>
      </w:r>
      <w:proofErr w:type="gramEnd"/>
      <w:r>
        <w:t xml:space="preserve"> to rounding. Blanks show cities where no TDCIPP was emitted.</w:t>
      </w:r>
    </w:p>
    <w:p w14:paraId="2D93E73A" w14:textId="6E117958" w:rsidR="00D716FE" w:rsidRDefault="00D716FE" w:rsidP="00D716FE">
      <w:r>
        <w:rPr>
          <w:noProof/>
        </w:rPr>
        <w:lastRenderedPageBreak/>
        <w:drawing>
          <wp:inline distT="0" distB="0" distL="0" distR="0" wp14:anchorId="2F691DFB" wp14:editId="550D095A">
            <wp:extent cx="5796951" cy="745552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EHP_fate.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99530" cy="7458839"/>
                    </a:xfrm>
                    <a:prstGeom prst="rect">
                      <a:avLst/>
                    </a:prstGeom>
                  </pic:spPr>
                </pic:pic>
              </a:graphicData>
            </a:graphic>
          </wp:inline>
        </w:drawing>
      </w:r>
    </w:p>
    <w:p w14:paraId="738FB256" w14:textId="397E11EB" w:rsidR="00D716FE" w:rsidRPr="00D716FE" w:rsidRDefault="00D716FE" w:rsidP="00D716FE">
      <w:pPr>
        <w:pStyle w:val="Caption"/>
      </w:pPr>
      <w:r>
        <w:t>Figure S</w:t>
      </w:r>
      <w:r w:rsidR="00E90D29">
        <w:fldChar w:fldCharType="begin"/>
      </w:r>
      <w:r w:rsidR="00E90D29">
        <w:instrText xml:space="preserve"> SEQ Figure \* ARABIC </w:instrText>
      </w:r>
      <w:r w:rsidR="00E90D29">
        <w:fldChar w:fldCharType="separate"/>
      </w:r>
      <w:r w:rsidR="004E4C5D">
        <w:rPr>
          <w:noProof/>
        </w:rPr>
        <w:t>6</w:t>
      </w:r>
      <w:r w:rsidR="00E90D29">
        <w:rPr>
          <w:noProof/>
        </w:rPr>
        <w:fldChar w:fldCharType="end"/>
      </w:r>
      <w:r>
        <w:t xml:space="preserve">: TEHP emissions and fate for each of the modeled cities using the 2018 annual average administrative area baseline model fate parameterization. Advective processes leaving the city’s modeled boundary are shown with one-way transport arrows at the right-hand side of the figure for the upper air, lower air, soil (to groundwater), water, and sediment (burial) compartments. Figures may not sum exactly to 100 </w:t>
      </w:r>
      <w:proofErr w:type="gramStart"/>
      <w:r>
        <w:t>due</w:t>
      </w:r>
      <w:proofErr w:type="gramEnd"/>
      <w:r>
        <w:t xml:space="preserve"> to rounding. Blanks show cities where no TEHP was emitted.</w:t>
      </w:r>
    </w:p>
    <w:p w14:paraId="3720A096" w14:textId="03E63A5F" w:rsidR="00D22095" w:rsidRDefault="00E25D42" w:rsidP="000D2F3A">
      <w:r>
        <w:rPr>
          <w:noProof/>
        </w:rPr>
        <w:lastRenderedPageBreak/>
        <w:drawing>
          <wp:inline distT="0" distB="0" distL="0" distR="0" wp14:anchorId="15CAAA19" wp14:editId="086F1253">
            <wp:extent cx="5842114" cy="7513608"/>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EP_fate.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849479" cy="7523080"/>
                    </a:xfrm>
                    <a:prstGeom prst="rect">
                      <a:avLst/>
                    </a:prstGeom>
                  </pic:spPr>
                </pic:pic>
              </a:graphicData>
            </a:graphic>
          </wp:inline>
        </w:drawing>
      </w:r>
    </w:p>
    <w:p w14:paraId="41BA9C34" w14:textId="67E81A8B" w:rsidR="00E25D42" w:rsidRPr="00F62036" w:rsidRDefault="00E25D42" w:rsidP="00E25D42">
      <w:pPr>
        <w:pStyle w:val="Caption"/>
      </w:pPr>
      <w:r>
        <w:t>Figure S</w:t>
      </w:r>
      <w:r w:rsidR="00E90D29">
        <w:fldChar w:fldCharType="begin"/>
      </w:r>
      <w:r w:rsidR="00E90D29">
        <w:instrText xml:space="preserve"> SEQ Figure \* ARABIC </w:instrText>
      </w:r>
      <w:r w:rsidR="00E90D29">
        <w:fldChar w:fldCharType="separate"/>
      </w:r>
      <w:r w:rsidR="004E4C5D">
        <w:rPr>
          <w:noProof/>
        </w:rPr>
        <w:t>7</w:t>
      </w:r>
      <w:r w:rsidR="00E90D29">
        <w:rPr>
          <w:noProof/>
        </w:rPr>
        <w:fldChar w:fldCharType="end"/>
      </w:r>
      <w:r>
        <w:t xml:space="preserve">: TEP emissions and fate for each of the modeled cities using the 2018 annual average administrative area baseline model fate parameterization. Advective processes leaving the city’s modeled boundary are shown with one-way transport arrows at the right-hand side of the figure for the upper air, lower air, soil (to groundwater), water, and sediment (burial) compartments. Figures may not sum exactly to 100 </w:t>
      </w:r>
      <w:proofErr w:type="gramStart"/>
      <w:r>
        <w:t>due</w:t>
      </w:r>
      <w:proofErr w:type="gramEnd"/>
      <w:r>
        <w:t xml:space="preserve"> to rounding. </w:t>
      </w:r>
    </w:p>
    <w:p w14:paraId="3259FFE4" w14:textId="4B2B5DED" w:rsidR="00E25D42" w:rsidRDefault="00167F89" w:rsidP="000D2F3A">
      <w:r>
        <w:rPr>
          <w:noProof/>
        </w:rPr>
        <w:lastRenderedPageBreak/>
        <w:drawing>
          <wp:inline distT="0" distB="0" distL="0" distR="0" wp14:anchorId="59BF3D6A" wp14:editId="03E6B07C">
            <wp:extent cx="5869723" cy="754911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mCP_fate.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76797" cy="7558213"/>
                    </a:xfrm>
                    <a:prstGeom prst="rect">
                      <a:avLst/>
                    </a:prstGeom>
                  </pic:spPr>
                </pic:pic>
              </a:graphicData>
            </a:graphic>
          </wp:inline>
        </w:drawing>
      </w:r>
    </w:p>
    <w:p w14:paraId="79BF2C99" w14:textId="582F6B5D" w:rsidR="00167F89" w:rsidRDefault="00167F89" w:rsidP="00167F89">
      <w:pPr>
        <w:pStyle w:val="Caption"/>
      </w:pPr>
      <w:r>
        <w:t>Figure S</w:t>
      </w:r>
      <w:r w:rsidR="00E90D29">
        <w:fldChar w:fldCharType="begin"/>
      </w:r>
      <w:r w:rsidR="00E90D29">
        <w:instrText xml:space="preserve"> SEQ Figure \* ARABIC </w:instrText>
      </w:r>
      <w:r w:rsidR="00E90D29">
        <w:fldChar w:fldCharType="separate"/>
      </w:r>
      <w:r w:rsidR="004E4C5D">
        <w:rPr>
          <w:noProof/>
        </w:rPr>
        <w:t>8</w:t>
      </w:r>
      <w:r w:rsidR="00E90D29">
        <w:rPr>
          <w:noProof/>
        </w:rPr>
        <w:fldChar w:fldCharType="end"/>
      </w:r>
      <w:r>
        <w:t xml:space="preserve">: </w:t>
      </w:r>
      <w:proofErr w:type="spellStart"/>
      <w:r>
        <w:t>TmCP</w:t>
      </w:r>
      <w:proofErr w:type="spellEnd"/>
      <w:r>
        <w:t xml:space="preserve"> emissions and fate for each of the modeled cities using the 2018 annual average administrative area baseline model fate parameterization. Advective processes leaving the city’s modeled boundary are shown with one-way transport arrows at the right-hand side of the figure for the upper air, lower air, soil (to groundwater), water, and sediment (burial) compartments. Figures may not sum exactly to 100 </w:t>
      </w:r>
      <w:proofErr w:type="gramStart"/>
      <w:r>
        <w:t>due</w:t>
      </w:r>
      <w:proofErr w:type="gramEnd"/>
      <w:r>
        <w:t xml:space="preserve"> to rounding. </w:t>
      </w:r>
    </w:p>
    <w:p w14:paraId="04388AFE" w14:textId="084EB9E2" w:rsidR="00167F89" w:rsidRDefault="00167F89" w:rsidP="00167F89">
      <w:pPr>
        <w:pStyle w:val="Caption"/>
      </w:pPr>
      <w:r>
        <w:rPr>
          <w:noProof/>
        </w:rPr>
        <w:lastRenderedPageBreak/>
        <w:drawing>
          <wp:inline distT="0" distB="0" distL="0" distR="0" wp14:anchorId="4F3DD962" wp14:editId="032B464D">
            <wp:extent cx="5853189" cy="752785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nBP_fate.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858098" cy="7534164"/>
                    </a:xfrm>
                    <a:prstGeom prst="rect">
                      <a:avLst/>
                    </a:prstGeom>
                  </pic:spPr>
                </pic:pic>
              </a:graphicData>
            </a:graphic>
          </wp:inline>
        </w:drawing>
      </w:r>
    </w:p>
    <w:p w14:paraId="05BA4719" w14:textId="2ED1CAC9" w:rsidR="00167F89" w:rsidRDefault="00167F89" w:rsidP="00167F89">
      <w:pPr>
        <w:pStyle w:val="Caption"/>
      </w:pPr>
      <w:r>
        <w:t>Figure S</w:t>
      </w:r>
      <w:r w:rsidR="00E90D29">
        <w:fldChar w:fldCharType="begin"/>
      </w:r>
      <w:r w:rsidR="00E90D29">
        <w:instrText xml:space="preserve"> SEQ Figure \* ARABIC </w:instrText>
      </w:r>
      <w:r w:rsidR="00E90D29">
        <w:fldChar w:fldCharType="separate"/>
      </w:r>
      <w:r w:rsidR="004E4C5D">
        <w:rPr>
          <w:noProof/>
        </w:rPr>
        <w:t>9</w:t>
      </w:r>
      <w:r w:rsidR="00E90D29">
        <w:rPr>
          <w:noProof/>
        </w:rPr>
        <w:fldChar w:fldCharType="end"/>
      </w:r>
      <w:r>
        <w:t xml:space="preserve">: </w:t>
      </w:r>
      <w:proofErr w:type="spellStart"/>
      <w:r>
        <w:t>TnBP</w:t>
      </w:r>
      <w:proofErr w:type="spellEnd"/>
      <w:r>
        <w:t xml:space="preserve"> emissions and fate for each of the modeled cities using the 2018 annual average administrative area baseline model fate parameterization. Advective processes leaving the city’s modeled boundary are shown with one-way transport arrows at the right-hand side of the figure for the upper air, lower air, soil (to groundwater), water, and sediment (burial) compartments. Figures may not sum exactly to 100 </w:t>
      </w:r>
      <w:proofErr w:type="gramStart"/>
      <w:r>
        <w:t>due</w:t>
      </w:r>
      <w:proofErr w:type="gramEnd"/>
      <w:r>
        <w:t xml:space="preserve"> to rounding. </w:t>
      </w:r>
    </w:p>
    <w:p w14:paraId="0A481B67" w14:textId="169ABD5F" w:rsidR="00167F89" w:rsidRDefault="00167F89" w:rsidP="00167F89">
      <w:pPr>
        <w:pStyle w:val="Caption"/>
      </w:pPr>
      <w:r>
        <w:rPr>
          <w:noProof/>
        </w:rPr>
        <w:lastRenderedPageBreak/>
        <w:drawing>
          <wp:inline distT="0" distB="0" distL="0" distR="0" wp14:anchorId="495FB10A" wp14:editId="2ADEFD64">
            <wp:extent cx="5803586" cy="7464056"/>
            <wp:effectExtent l="0" t="0" r="6985"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PhP_fate.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804239" cy="7464896"/>
                    </a:xfrm>
                    <a:prstGeom prst="rect">
                      <a:avLst/>
                    </a:prstGeom>
                  </pic:spPr>
                </pic:pic>
              </a:graphicData>
            </a:graphic>
          </wp:inline>
        </w:drawing>
      </w:r>
    </w:p>
    <w:p w14:paraId="394A4614" w14:textId="0190E686" w:rsidR="00167F89" w:rsidRDefault="00167F89" w:rsidP="00167F89">
      <w:pPr>
        <w:pStyle w:val="Caption"/>
      </w:pPr>
      <w:r>
        <w:t>Figure S</w:t>
      </w:r>
      <w:r w:rsidR="00E90D29">
        <w:fldChar w:fldCharType="begin"/>
      </w:r>
      <w:r w:rsidR="00E90D29">
        <w:instrText xml:space="preserve"> SEQ Figure \* ARABIC </w:instrText>
      </w:r>
      <w:r w:rsidR="00E90D29">
        <w:fldChar w:fldCharType="separate"/>
      </w:r>
      <w:r w:rsidR="004E4C5D">
        <w:rPr>
          <w:noProof/>
        </w:rPr>
        <w:t>10</w:t>
      </w:r>
      <w:r w:rsidR="00E90D29">
        <w:rPr>
          <w:noProof/>
        </w:rPr>
        <w:fldChar w:fldCharType="end"/>
      </w:r>
      <w:r>
        <w:t xml:space="preserve">: </w:t>
      </w:r>
      <w:proofErr w:type="spellStart"/>
      <w:r>
        <w:t>TPhP</w:t>
      </w:r>
      <w:proofErr w:type="spellEnd"/>
      <w:r>
        <w:t xml:space="preserve"> emissions and fate for each of the modeled cities using the 2018 annual average administrative area baseline model fate parameterization. Advective processes leaving the city’s modeled boundary are shown with one-way transport arrows at the right-hand side of the figure for the upper air, lower air, soil (to groundwater), water, and sediment (burial) compartments. Figures may not sum exactly to 100 </w:t>
      </w:r>
      <w:proofErr w:type="gramStart"/>
      <w:r>
        <w:t>due</w:t>
      </w:r>
      <w:proofErr w:type="gramEnd"/>
      <w:r>
        <w:t xml:space="preserve"> to rounding. </w:t>
      </w:r>
    </w:p>
    <w:p w14:paraId="42AD710D" w14:textId="0931658B" w:rsidR="00167F89" w:rsidRDefault="00167F89" w:rsidP="00167F89">
      <w:pPr>
        <w:pStyle w:val="Caption"/>
      </w:pPr>
      <w:r>
        <w:rPr>
          <w:noProof/>
        </w:rPr>
        <w:lastRenderedPageBreak/>
        <w:drawing>
          <wp:inline distT="0" distB="0" distL="0" distR="0" wp14:anchorId="47112FFB" wp14:editId="0D27E4EC">
            <wp:extent cx="5861456" cy="7538484"/>
            <wp:effectExtent l="0" t="0" r="635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PrP_fate.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864712" cy="7542672"/>
                    </a:xfrm>
                    <a:prstGeom prst="rect">
                      <a:avLst/>
                    </a:prstGeom>
                  </pic:spPr>
                </pic:pic>
              </a:graphicData>
            </a:graphic>
          </wp:inline>
        </w:drawing>
      </w:r>
    </w:p>
    <w:p w14:paraId="2B912181" w14:textId="634A5315" w:rsidR="00167F89" w:rsidRPr="00B807E2" w:rsidRDefault="00167F89" w:rsidP="0094162A">
      <w:pPr>
        <w:pStyle w:val="Caption"/>
      </w:pPr>
      <w:r>
        <w:t>Figure S</w:t>
      </w:r>
      <w:r w:rsidR="00E90D29">
        <w:fldChar w:fldCharType="begin"/>
      </w:r>
      <w:r w:rsidR="00E90D29">
        <w:instrText xml:space="preserve"> SEQ Figure \* ARABIC </w:instrText>
      </w:r>
      <w:r w:rsidR="00E90D29">
        <w:fldChar w:fldCharType="separate"/>
      </w:r>
      <w:r w:rsidR="004E4C5D">
        <w:rPr>
          <w:noProof/>
        </w:rPr>
        <w:t>11</w:t>
      </w:r>
      <w:r w:rsidR="00E90D29">
        <w:rPr>
          <w:noProof/>
        </w:rPr>
        <w:fldChar w:fldCharType="end"/>
      </w:r>
      <w:r>
        <w:t xml:space="preserve">: </w:t>
      </w:r>
      <w:proofErr w:type="spellStart"/>
      <w:r>
        <w:t>T</w:t>
      </w:r>
      <w:r w:rsidR="002A41DE">
        <w:t>PrP</w:t>
      </w:r>
      <w:proofErr w:type="spellEnd"/>
      <w:r>
        <w:t xml:space="preserve"> emissions and fate for each of the modeled cities using the 2018 annual average administrative area baseline model fate parameterization. Advective processes leaving the city’s modeled boundary are shown with one-way transport arrows at the right-hand side of the figure for the upper air, lower air, soil (to groundwater), water, and sediment (burial) compartments. Figures may not sum exactly to 100 </w:t>
      </w:r>
      <w:proofErr w:type="gramStart"/>
      <w:r>
        <w:t>due</w:t>
      </w:r>
      <w:proofErr w:type="gramEnd"/>
      <w:r>
        <w:t xml:space="preserve"> to rounding. Blanks show cities where no TEHP was emitted.</w:t>
      </w:r>
    </w:p>
    <w:sectPr w:rsidR="00167F89" w:rsidRPr="00B807E2">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A4CE58" w16cex:dateUtc="2022-08-15T20:53:00Z"/>
  <w16cex:commentExtensible w16cex:durableId="26B101A9" w16cex:dateUtc="2022-08-25T02:59:00Z"/>
  <w16cex:commentExtensible w16cex:durableId="266C0C4D" w16cex:dateUtc="2022-07-03T19:3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38CD95" w14:textId="77777777" w:rsidR="00C9596D" w:rsidRDefault="00C9596D" w:rsidP="00924A43">
      <w:pPr>
        <w:spacing w:after="0" w:line="240" w:lineRule="auto"/>
      </w:pPr>
      <w:r>
        <w:separator/>
      </w:r>
    </w:p>
  </w:endnote>
  <w:endnote w:type="continuationSeparator" w:id="0">
    <w:p w14:paraId="59B60879" w14:textId="77777777" w:rsidR="00C9596D" w:rsidRDefault="00C9596D" w:rsidP="00924A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auto"/>
    <w:pitch w:val="variable"/>
    <w:sig w:usb0="E50002FF" w:usb1="500079DB" w:usb2="0000001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C01C16" w14:textId="77777777" w:rsidR="00C9596D" w:rsidRDefault="00C9596D" w:rsidP="00924A43">
      <w:pPr>
        <w:spacing w:after="0" w:line="240" w:lineRule="auto"/>
      </w:pPr>
      <w:r>
        <w:separator/>
      </w:r>
    </w:p>
  </w:footnote>
  <w:footnote w:type="continuationSeparator" w:id="0">
    <w:p w14:paraId="0532114D" w14:textId="77777777" w:rsidR="00C9596D" w:rsidRDefault="00C9596D" w:rsidP="00924A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2749A"/>
    <w:multiLevelType w:val="hybridMultilevel"/>
    <w:tmpl w:val="279AB64E"/>
    <w:lvl w:ilvl="0" w:tplc="51BE44CE">
      <w:start w:val="1"/>
      <w:numFmt w:val="decimal"/>
      <w:pStyle w:val="Heading1"/>
      <w:lvlText w:val="S%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57A019E"/>
    <w:multiLevelType w:val="hybridMultilevel"/>
    <w:tmpl w:val="692E9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A897354"/>
    <w:multiLevelType w:val="hybridMultilevel"/>
    <w:tmpl w:val="7C7E708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6258128F"/>
    <w:multiLevelType w:val="hybridMultilevel"/>
    <w:tmpl w:val="C878258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9CF457F"/>
    <w:multiLevelType w:val="multilevel"/>
    <w:tmpl w:val="CDBC19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num>
  <w:num w:numId="3">
    <w:abstractNumId w:val="2"/>
  </w:num>
  <w:num w:numId="4">
    <w:abstractNumId w:val="0"/>
    <w:lvlOverride w:ilvl="0">
      <w:startOverride w:val="1"/>
    </w:lvlOverride>
  </w:num>
  <w:num w:numId="5">
    <w:abstractNumId w:val="4"/>
  </w:num>
  <w:num w:numId="6">
    <w:abstractNumId w:val="1"/>
  </w:num>
  <w:num w:numId="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U0NjAzMrWwALIsLZR0lIJTi4sz8/NACoxrAdxV8h8sAAAA"/>
  </w:docVars>
  <w:rsids>
    <w:rsidRoot w:val="00B807E2"/>
    <w:rsid w:val="0002162A"/>
    <w:rsid w:val="000613A7"/>
    <w:rsid w:val="00062734"/>
    <w:rsid w:val="0006658A"/>
    <w:rsid w:val="00070EA4"/>
    <w:rsid w:val="000B46A2"/>
    <w:rsid w:val="000D2F3A"/>
    <w:rsid w:val="001147C4"/>
    <w:rsid w:val="00135428"/>
    <w:rsid w:val="001463F1"/>
    <w:rsid w:val="00167F89"/>
    <w:rsid w:val="00196C14"/>
    <w:rsid w:val="001B04AA"/>
    <w:rsid w:val="0022206A"/>
    <w:rsid w:val="002468BC"/>
    <w:rsid w:val="002545B5"/>
    <w:rsid w:val="0026369A"/>
    <w:rsid w:val="00293471"/>
    <w:rsid w:val="00294E53"/>
    <w:rsid w:val="002A41DE"/>
    <w:rsid w:val="002B7581"/>
    <w:rsid w:val="002F19E4"/>
    <w:rsid w:val="00322E93"/>
    <w:rsid w:val="003D4DA2"/>
    <w:rsid w:val="003F21CE"/>
    <w:rsid w:val="00416CCF"/>
    <w:rsid w:val="0041702D"/>
    <w:rsid w:val="004227B7"/>
    <w:rsid w:val="00450F88"/>
    <w:rsid w:val="0046253E"/>
    <w:rsid w:val="00473C22"/>
    <w:rsid w:val="004C4BB9"/>
    <w:rsid w:val="004D5EB6"/>
    <w:rsid w:val="004E4C5D"/>
    <w:rsid w:val="00540037"/>
    <w:rsid w:val="00570339"/>
    <w:rsid w:val="00581348"/>
    <w:rsid w:val="005A3349"/>
    <w:rsid w:val="005A370C"/>
    <w:rsid w:val="005C5F98"/>
    <w:rsid w:val="00630454"/>
    <w:rsid w:val="00654DA7"/>
    <w:rsid w:val="00662455"/>
    <w:rsid w:val="00666A5D"/>
    <w:rsid w:val="00727AB7"/>
    <w:rsid w:val="00731116"/>
    <w:rsid w:val="00733100"/>
    <w:rsid w:val="007D4BBB"/>
    <w:rsid w:val="007E646E"/>
    <w:rsid w:val="008464D9"/>
    <w:rsid w:val="008975BA"/>
    <w:rsid w:val="008A7A77"/>
    <w:rsid w:val="008C1064"/>
    <w:rsid w:val="008D7B15"/>
    <w:rsid w:val="008F522A"/>
    <w:rsid w:val="009153F1"/>
    <w:rsid w:val="00924A43"/>
    <w:rsid w:val="00933ACF"/>
    <w:rsid w:val="00936096"/>
    <w:rsid w:val="0094162A"/>
    <w:rsid w:val="009918B6"/>
    <w:rsid w:val="009A1B36"/>
    <w:rsid w:val="00A23174"/>
    <w:rsid w:val="00A2718A"/>
    <w:rsid w:val="00A5540D"/>
    <w:rsid w:val="00A66EF0"/>
    <w:rsid w:val="00A67309"/>
    <w:rsid w:val="00AF7AEC"/>
    <w:rsid w:val="00B37E33"/>
    <w:rsid w:val="00B47C27"/>
    <w:rsid w:val="00B61BCB"/>
    <w:rsid w:val="00B6336A"/>
    <w:rsid w:val="00B807E2"/>
    <w:rsid w:val="00B84E95"/>
    <w:rsid w:val="00BE548D"/>
    <w:rsid w:val="00C03BDF"/>
    <w:rsid w:val="00C47D51"/>
    <w:rsid w:val="00C57AE6"/>
    <w:rsid w:val="00C9596D"/>
    <w:rsid w:val="00C97333"/>
    <w:rsid w:val="00D22095"/>
    <w:rsid w:val="00D32028"/>
    <w:rsid w:val="00D41457"/>
    <w:rsid w:val="00D716FE"/>
    <w:rsid w:val="00D77858"/>
    <w:rsid w:val="00DA329B"/>
    <w:rsid w:val="00DE4A46"/>
    <w:rsid w:val="00E25D42"/>
    <w:rsid w:val="00E535BD"/>
    <w:rsid w:val="00E73DEE"/>
    <w:rsid w:val="00E90B6F"/>
    <w:rsid w:val="00E90D29"/>
    <w:rsid w:val="00EC0673"/>
    <w:rsid w:val="00EC5D1A"/>
    <w:rsid w:val="00ED4BF0"/>
    <w:rsid w:val="00F00E39"/>
    <w:rsid w:val="00F103F5"/>
    <w:rsid w:val="00F15317"/>
    <w:rsid w:val="00F17F43"/>
    <w:rsid w:val="00F342D9"/>
    <w:rsid w:val="00F50A91"/>
    <w:rsid w:val="00F54641"/>
    <w:rsid w:val="00F631EA"/>
    <w:rsid w:val="00F75556"/>
    <w:rsid w:val="00F91B42"/>
    <w:rsid w:val="00FC643E"/>
    <w:rsid w:val="00FC7AB9"/>
    <w:rsid w:val="00FF0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A954D9"/>
  <w15:chartTrackingRefBased/>
  <w15:docId w15:val="{80B68582-AB63-40B9-8B21-F787E1C94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6C14"/>
    <w:pPr>
      <w:keepNext/>
      <w:keepLines/>
      <w:numPr>
        <w:numId w:val="2"/>
      </w:numPr>
      <w:spacing w:before="240" w:after="0"/>
      <w:outlineLvl w:val="0"/>
    </w:pPr>
    <w:rPr>
      <w:rFonts w:asciiTheme="majorHAnsi" w:eastAsiaTheme="majorEastAsia" w:hAnsiTheme="majorHAnsi" w:cstheme="majorBidi"/>
      <w:sz w:val="32"/>
      <w:szCs w:val="32"/>
    </w:rPr>
  </w:style>
  <w:style w:type="paragraph" w:styleId="Heading2">
    <w:name w:val="heading 2"/>
    <w:basedOn w:val="Normal"/>
    <w:next w:val="Normal"/>
    <w:link w:val="Heading2Char"/>
    <w:uiPriority w:val="9"/>
    <w:unhideWhenUsed/>
    <w:qFormat/>
    <w:rsid w:val="00E90B6F"/>
    <w:pPr>
      <w:keepNext/>
      <w:keepLines/>
      <w:spacing w:before="40" w:after="0"/>
      <w:outlineLvl w:val="1"/>
    </w:pPr>
    <w:rPr>
      <w:rFonts w:asciiTheme="majorHAnsi" w:eastAsiaTheme="majorEastAsia" w:hAnsiTheme="majorHAnsi" w:cstheme="majorBidi"/>
      <w:sz w:val="26"/>
      <w:szCs w:val="26"/>
    </w:rPr>
  </w:style>
  <w:style w:type="paragraph" w:styleId="Heading3">
    <w:name w:val="heading 3"/>
    <w:basedOn w:val="Normal"/>
    <w:next w:val="Normal"/>
    <w:link w:val="Heading3Char"/>
    <w:autoRedefine/>
    <w:uiPriority w:val="9"/>
    <w:unhideWhenUsed/>
    <w:qFormat/>
    <w:rsid w:val="003D4DA2"/>
    <w:pPr>
      <w:keepNext/>
      <w:keepLines/>
      <w:spacing w:before="40" w:after="0"/>
      <w:outlineLvl w:val="2"/>
    </w:pPr>
    <w:rPr>
      <w:rFonts w:asciiTheme="majorHAnsi" w:eastAsiaTheme="majorEastAsia" w:hAnsiTheme="majorHAnsi" w:cstheme="maj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6C14"/>
    <w:rPr>
      <w:rFonts w:asciiTheme="majorHAnsi" w:eastAsiaTheme="majorEastAsia" w:hAnsiTheme="majorHAnsi" w:cstheme="majorBidi"/>
      <w:sz w:val="32"/>
      <w:szCs w:val="32"/>
    </w:rPr>
  </w:style>
  <w:style w:type="character" w:customStyle="1" w:styleId="Heading2Char">
    <w:name w:val="Heading 2 Char"/>
    <w:basedOn w:val="DefaultParagraphFont"/>
    <w:link w:val="Heading2"/>
    <w:uiPriority w:val="9"/>
    <w:rsid w:val="00E90B6F"/>
    <w:rPr>
      <w:rFonts w:asciiTheme="majorHAnsi" w:eastAsiaTheme="majorEastAsia" w:hAnsiTheme="majorHAnsi" w:cstheme="majorBidi"/>
      <w:sz w:val="26"/>
      <w:szCs w:val="26"/>
    </w:rPr>
  </w:style>
  <w:style w:type="paragraph" w:styleId="Caption">
    <w:name w:val="caption"/>
    <w:basedOn w:val="Normal"/>
    <w:next w:val="Normal"/>
    <w:uiPriority w:val="35"/>
    <w:unhideWhenUsed/>
    <w:qFormat/>
    <w:rsid w:val="00F342D9"/>
    <w:pPr>
      <w:spacing w:after="200" w:line="240" w:lineRule="auto"/>
    </w:pPr>
    <w:rPr>
      <w:iCs/>
      <w:sz w:val="18"/>
      <w:szCs w:val="18"/>
    </w:rPr>
  </w:style>
  <w:style w:type="character" w:customStyle="1" w:styleId="Heading3Char">
    <w:name w:val="Heading 3 Char"/>
    <w:basedOn w:val="DefaultParagraphFont"/>
    <w:link w:val="Heading3"/>
    <w:uiPriority w:val="9"/>
    <w:rsid w:val="003D4DA2"/>
    <w:rPr>
      <w:rFonts w:asciiTheme="majorHAnsi" w:eastAsiaTheme="majorEastAsia" w:hAnsiTheme="majorHAnsi" w:cstheme="majorBidi"/>
      <w:sz w:val="24"/>
      <w:szCs w:val="24"/>
    </w:rPr>
  </w:style>
  <w:style w:type="character" w:styleId="CommentReference">
    <w:name w:val="annotation reference"/>
    <w:basedOn w:val="DefaultParagraphFont"/>
    <w:uiPriority w:val="99"/>
    <w:semiHidden/>
    <w:unhideWhenUsed/>
    <w:rsid w:val="00B807E2"/>
    <w:rPr>
      <w:sz w:val="16"/>
      <w:szCs w:val="16"/>
    </w:rPr>
  </w:style>
  <w:style w:type="paragraph" w:styleId="CommentText">
    <w:name w:val="annotation text"/>
    <w:basedOn w:val="Normal"/>
    <w:link w:val="CommentTextChar"/>
    <w:uiPriority w:val="99"/>
    <w:unhideWhenUsed/>
    <w:rsid w:val="00B807E2"/>
    <w:pPr>
      <w:spacing w:line="240" w:lineRule="auto"/>
    </w:pPr>
    <w:rPr>
      <w:sz w:val="20"/>
      <w:szCs w:val="20"/>
    </w:rPr>
  </w:style>
  <w:style w:type="character" w:customStyle="1" w:styleId="CommentTextChar">
    <w:name w:val="Comment Text Char"/>
    <w:basedOn w:val="DefaultParagraphFont"/>
    <w:link w:val="CommentText"/>
    <w:uiPriority w:val="99"/>
    <w:rsid w:val="00B807E2"/>
    <w:rPr>
      <w:sz w:val="20"/>
      <w:szCs w:val="20"/>
    </w:rPr>
  </w:style>
  <w:style w:type="paragraph" w:styleId="BalloonText">
    <w:name w:val="Balloon Text"/>
    <w:basedOn w:val="Normal"/>
    <w:link w:val="BalloonTextChar"/>
    <w:uiPriority w:val="99"/>
    <w:semiHidden/>
    <w:unhideWhenUsed/>
    <w:rsid w:val="00B807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07E2"/>
    <w:rPr>
      <w:rFonts w:ascii="Segoe UI" w:hAnsi="Segoe UI" w:cs="Segoe UI"/>
      <w:sz w:val="18"/>
      <w:szCs w:val="18"/>
    </w:rPr>
  </w:style>
  <w:style w:type="paragraph" w:styleId="ListParagraph">
    <w:name w:val="List Paragraph"/>
    <w:basedOn w:val="Normal"/>
    <w:uiPriority w:val="34"/>
    <w:qFormat/>
    <w:rsid w:val="00F50A91"/>
    <w:pPr>
      <w:ind w:left="720"/>
      <w:contextualSpacing/>
    </w:pPr>
  </w:style>
  <w:style w:type="paragraph" w:styleId="CommentSubject">
    <w:name w:val="annotation subject"/>
    <w:basedOn w:val="CommentText"/>
    <w:next w:val="CommentText"/>
    <w:link w:val="CommentSubjectChar"/>
    <w:uiPriority w:val="99"/>
    <w:semiHidden/>
    <w:unhideWhenUsed/>
    <w:rsid w:val="000D2F3A"/>
    <w:rPr>
      <w:b/>
      <w:bCs/>
    </w:rPr>
  </w:style>
  <w:style w:type="character" w:customStyle="1" w:styleId="CommentSubjectChar">
    <w:name w:val="Comment Subject Char"/>
    <w:basedOn w:val="CommentTextChar"/>
    <w:link w:val="CommentSubject"/>
    <w:uiPriority w:val="99"/>
    <w:semiHidden/>
    <w:rsid w:val="000D2F3A"/>
    <w:rPr>
      <w:b/>
      <w:bCs/>
      <w:sz w:val="20"/>
      <w:szCs w:val="20"/>
    </w:rPr>
  </w:style>
  <w:style w:type="paragraph" w:customStyle="1" w:styleId="li1">
    <w:name w:val="li1"/>
    <w:basedOn w:val="Normal"/>
    <w:rsid w:val="00A2718A"/>
    <w:pPr>
      <w:spacing w:after="0" w:line="240" w:lineRule="auto"/>
    </w:pPr>
    <w:rPr>
      <w:rFonts w:ascii="Helvetica Neue" w:hAnsi="Helvetica Neue" w:cs="Calibri"/>
      <w:sz w:val="20"/>
      <w:szCs w:val="20"/>
    </w:rPr>
  </w:style>
  <w:style w:type="paragraph" w:styleId="Revision">
    <w:name w:val="Revision"/>
    <w:hidden/>
    <w:uiPriority w:val="99"/>
    <w:semiHidden/>
    <w:rsid w:val="004D5EB6"/>
    <w:pPr>
      <w:spacing w:after="0" w:line="240" w:lineRule="auto"/>
    </w:pPr>
  </w:style>
  <w:style w:type="character" w:customStyle="1" w:styleId="lrzxr">
    <w:name w:val="lrzxr"/>
    <w:basedOn w:val="DefaultParagraphFont"/>
    <w:rsid w:val="006624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096779">
      <w:bodyDiv w:val="1"/>
      <w:marLeft w:val="0"/>
      <w:marRight w:val="0"/>
      <w:marTop w:val="0"/>
      <w:marBottom w:val="0"/>
      <w:divBdr>
        <w:top w:val="none" w:sz="0" w:space="0" w:color="auto"/>
        <w:left w:val="none" w:sz="0" w:space="0" w:color="auto"/>
        <w:bottom w:val="none" w:sz="0" w:space="0" w:color="auto"/>
        <w:right w:val="none" w:sz="0" w:space="0" w:color="auto"/>
      </w:divBdr>
    </w:div>
    <w:div w:id="300960050">
      <w:bodyDiv w:val="1"/>
      <w:marLeft w:val="0"/>
      <w:marRight w:val="0"/>
      <w:marTop w:val="0"/>
      <w:marBottom w:val="0"/>
      <w:divBdr>
        <w:top w:val="none" w:sz="0" w:space="0" w:color="auto"/>
        <w:left w:val="none" w:sz="0" w:space="0" w:color="auto"/>
        <w:bottom w:val="none" w:sz="0" w:space="0" w:color="auto"/>
        <w:right w:val="none" w:sz="0" w:space="0" w:color="auto"/>
      </w:divBdr>
    </w:div>
    <w:div w:id="609092320">
      <w:bodyDiv w:val="1"/>
      <w:marLeft w:val="0"/>
      <w:marRight w:val="0"/>
      <w:marTop w:val="0"/>
      <w:marBottom w:val="0"/>
      <w:divBdr>
        <w:top w:val="none" w:sz="0" w:space="0" w:color="auto"/>
        <w:left w:val="none" w:sz="0" w:space="0" w:color="auto"/>
        <w:bottom w:val="none" w:sz="0" w:space="0" w:color="auto"/>
        <w:right w:val="none" w:sz="0" w:space="0" w:color="auto"/>
      </w:divBdr>
    </w:div>
    <w:div w:id="988170861">
      <w:bodyDiv w:val="1"/>
      <w:marLeft w:val="0"/>
      <w:marRight w:val="0"/>
      <w:marTop w:val="0"/>
      <w:marBottom w:val="0"/>
      <w:divBdr>
        <w:top w:val="none" w:sz="0" w:space="0" w:color="auto"/>
        <w:left w:val="none" w:sz="0" w:space="0" w:color="auto"/>
        <w:bottom w:val="none" w:sz="0" w:space="0" w:color="auto"/>
        <w:right w:val="none" w:sz="0" w:space="0" w:color="auto"/>
      </w:divBdr>
    </w:div>
    <w:div w:id="1009142842">
      <w:bodyDiv w:val="1"/>
      <w:marLeft w:val="0"/>
      <w:marRight w:val="0"/>
      <w:marTop w:val="0"/>
      <w:marBottom w:val="0"/>
      <w:divBdr>
        <w:top w:val="none" w:sz="0" w:space="0" w:color="auto"/>
        <w:left w:val="none" w:sz="0" w:space="0" w:color="auto"/>
        <w:bottom w:val="none" w:sz="0" w:space="0" w:color="auto"/>
        <w:right w:val="none" w:sz="0" w:space="0" w:color="auto"/>
      </w:divBdr>
    </w:div>
    <w:div w:id="1247496963">
      <w:bodyDiv w:val="1"/>
      <w:marLeft w:val="0"/>
      <w:marRight w:val="0"/>
      <w:marTop w:val="0"/>
      <w:marBottom w:val="0"/>
      <w:divBdr>
        <w:top w:val="none" w:sz="0" w:space="0" w:color="auto"/>
        <w:left w:val="none" w:sz="0" w:space="0" w:color="auto"/>
        <w:bottom w:val="none" w:sz="0" w:space="0" w:color="auto"/>
        <w:right w:val="none" w:sz="0" w:space="0" w:color="auto"/>
      </w:divBdr>
    </w:div>
    <w:div w:id="1254900247">
      <w:bodyDiv w:val="1"/>
      <w:marLeft w:val="0"/>
      <w:marRight w:val="0"/>
      <w:marTop w:val="0"/>
      <w:marBottom w:val="0"/>
      <w:divBdr>
        <w:top w:val="none" w:sz="0" w:space="0" w:color="auto"/>
        <w:left w:val="none" w:sz="0" w:space="0" w:color="auto"/>
        <w:bottom w:val="none" w:sz="0" w:space="0" w:color="auto"/>
        <w:right w:val="none" w:sz="0" w:space="0" w:color="auto"/>
      </w:divBdr>
    </w:div>
    <w:div w:id="1852991642">
      <w:bodyDiv w:val="1"/>
      <w:marLeft w:val="0"/>
      <w:marRight w:val="0"/>
      <w:marTop w:val="0"/>
      <w:marBottom w:val="0"/>
      <w:divBdr>
        <w:top w:val="none" w:sz="0" w:space="0" w:color="auto"/>
        <w:left w:val="none" w:sz="0" w:space="0" w:color="auto"/>
        <w:bottom w:val="none" w:sz="0" w:space="0" w:color="auto"/>
        <w:right w:val="none" w:sz="0" w:space="0" w:color="auto"/>
      </w:divBdr>
    </w:div>
    <w:div w:id="198292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tiff"/><Relationship Id="rId18" Type="http://schemas.openxmlformats.org/officeDocument/2006/relationships/image" Target="media/image7.tiff"/><Relationship Id="rId3" Type="http://schemas.openxmlformats.org/officeDocument/2006/relationships/customXml" Target="../customXml/item3.xml"/><Relationship Id="rId21" Type="http://schemas.openxmlformats.org/officeDocument/2006/relationships/image" Target="media/image10.tiff"/><Relationship Id="rId7" Type="http://schemas.openxmlformats.org/officeDocument/2006/relationships/settings" Target="settings.xml"/><Relationship Id="rId12" Type="http://schemas.openxmlformats.org/officeDocument/2006/relationships/image" Target="media/image1.tiff"/><Relationship Id="rId17" Type="http://schemas.openxmlformats.org/officeDocument/2006/relationships/image" Target="media/image6.tiff"/><Relationship Id="rId2" Type="http://schemas.openxmlformats.org/officeDocument/2006/relationships/customXml" Target="../customXml/item2.xml"/><Relationship Id="rId16" Type="http://schemas.openxmlformats.org/officeDocument/2006/relationships/image" Target="media/image5.tiff"/><Relationship Id="rId20"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5" Type="http://schemas.openxmlformats.org/officeDocument/2006/relationships/numbering" Target="numbering.xml"/><Relationship Id="rId15" Type="http://schemas.openxmlformats.org/officeDocument/2006/relationships/image" Target="media/image4.tiff"/><Relationship Id="rId23" Type="http://schemas.openxmlformats.org/officeDocument/2006/relationships/theme" Target="theme/theme1.xml"/><Relationship Id="rId28"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image" Target="media/image8.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tiff"/><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https://ubcca-my.sharepoint.com/personal/tim_rodgers_ubc_ca/Documents/Postdoc/Active%20Projects/OPE%20Emissions%20and%20Fate%20Modeling/Data/GIS/BuildingDataSummary.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Summary!$L$4</c:f>
              <c:strCache>
                <c:ptCount val="1"/>
                <c:pt idx="0">
                  <c:v>Built-up Area Density</c:v>
                </c:pt>
              </c:strCache>
            </c:strRef>
          </c:tx>
          <c:spPr>
            <a:ln w="25400" cap="rnd">
              <a:noFill/>
              <a:round/>
            </a:ln>
            <a:effectLst/>
          </c:spPr>
          <c:marker>
            <c:symbol val="circle"/>
            <c:size val="5"/>
            <c:spPr>
              <a:solidFill>
                <a:schemeClr val="tx1"/>
              </a:solidFill>
              <a:ln w="9525">
                <a:noFill/>
              </a:ln>
              <a:effectLst/>
            </c:spPr>
          </c:marker>
          <c:dLbls>
            <c:dLbl>
              <c:idx val="0"/>
              <c:layout>
                <c:manualLayout>
                  <c:x val="8.4652735715727762E-2"/>
                  <c:y val="-3.5506990931752538E-2"/>
                </c:manualLayout>
              </c:layout>
              <c:tx>
                <c:rich>
                  <a:bodyPr/>
                  <a:lstStyle/>
                  <a:p>
                    <a:fld id="{83D784E9-DD35-4E11-A692-7304EEBFACA2}"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0-2031-4CB4-A76B-62930E12F383}"/>
                </c:ext>
              </c:extLst>
            </c:dLbl>
            <c:dLbl>
              <c:idx val="1"/>
              <c:tx>
                <c:rich>
                  <a:bodyPr/>
                  <a:lstStyle/>
                  <a:p>
                    <a:fld id="{062E8B3B-3BAF-45B0-8695-1DC8EDEC32B3}" type="CELLRANGE">
                      <a:rPr lang="en-US"/>
                      <a:pPr/>
                      <a:t>[CELLRANGE]</a:t>
                    </a:fld>
                    <a:endParaRPr lang="en-US"/>
                  </a:p>
                </c:rich>
              </c:tx>
              <c:dLblPos val="t"/>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1-2031-4CB4-A76B-62930E12F383}"/>
                </c:ext>
              </c:extLst>
            </c:dLbl>
            <c:dLbl>
              <c:idx val="2"/>
              <c:layout>
                <c:manualLayout>
                  <c:x val="-1.4065213002220876E-2"/>
                  <c:y val="5.5858929579896618E-2"/>
                </c:manualLayout>
              </c:layout>
              <c:tx>
                <c:rich>
                  <a:bodyPr/>
                  <a:lstStyle/>
                  <a:p>
                    <a:fld id="{E7BB4136-28FB-40F2-AC5F-4AA55C99A922}"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2-2031-4CB4-A76B-62930E12F383}"/>
                </c:ext>
              </c:extLst>
            </c:dLbl>
            <c:dLbl>
              <c:idx val="3"/>
              <c:layout>
                <c:manualLayout>
                  <c:x val="-0.1478740157480315"/>
                  <c:y val="-8.0972147782577882E-3"/>
                </c:manualLayout>
              </c:layout>
              <c:tx>
                <c:rich>
                  <a:bodyPr/>
                  <a:lstStyle/>
                  <a:p>
                    <a:fld id="{1C871FC6-1CE9-4631-8B2F-CA13CB2CF880}"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3-2031-4CB4-A76B-62930E12F383}"/>
                </c:ext>
              </c:extLst>
            </c:dLbl>
            <c:dLbl>
              <c:idx val="4"/>
              <c:layout>
                <c:manualLayout>
                  <c:x val="-6.9230769230769233E-3"/>
                  <c:y val="9.2405297784556195E-2"/>
                </c:manualLayout>
              </c:layout>
              <c:tx>
                <c:rich>
                  <a:bodyPr/>
                  <a:lstStyle/>
                  <a:p>
                    <a:fld id="{F99CD9E3-C409-451E-A819-9FEB69E2F60D}"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4-2031-4CB4-A76B-62930E12F383}"/>
                </c:ext>
              </c:extLst>
            </c:dLbl>
            <c:dLbl>
              <c:idx val="5"/>
              <c:layout>
                <c:manualLayout>
                  <c:x val="-5.1228716602732351E-2"/>
                  <c:y val="-4.2359434970126224E-2"/>
                </c:manualLayout>
              </c:layout>
              <c:tx>
                <c:rich>
                  <a:bodyPr/>
                  <a:lstStyle/>
                  <a:p>
                    <a:fld id="{A6D8C2F4-FBE7-4ED3-9B6E-3051F913882D}"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5-2031-4CB4-A76B-62930E12F383}"/>
                </c:ext>
              </c:extLst>
            </c:dLbl>
            <c:dLbl>
              <c:idx val="6"/>
              <c:layout>
                <c:manualLayout>
                  <c:x val="4.6709401709401709E-2"/>
                  <c:y val="4.4438189515940474E-2"/>
                </c:manualLayout>
              </c:layout>
              <c:tx>
                <c:rich>
                  <a:bodyPr/>
                  <a:lstStyle/>
                  <a:p>
                    <a:fld id="{95A15EBB-9267-4E39-BD60-10B6DA0533C5}"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6-2031-4CB4-A76B-62930E12F383}"/>
                </c:ext>
              </c:extLst>
            </c:dLbl>
            <c:dLbl>
              <c:idx val="7"/>
              <c:layout>
                <c:manualLayout>
                  <c:x val="0.10286324786324787"/>
                  <c:y val="0.19519195836016159"/>
                </c:manualLayout>
              </c:layout>
              <c:tx>
                <c:rich>
                  <a:bodyPr/>
                  <a:lstStyle/>
                  <a:p>
                    <a:fld id="{C1829B39-F87E-4456-991E-E7563B4CB507}"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7-2031-4CB4-A76B-62930E12F383}"/>
                </c:ext>
              </c:extLst>
            </c:dLbl>
            <c:dLbl>
              <c:idx val="8"/>
              <c:layout>
                <c:manualLayout>
                  <c:x val="-5.9599485160508781E-2"/>
                  <c:y val="-0.17151667428049339"/>
                </c:manualLayout>
              </c:layout>
              <c:tx>
                <c:rich>
                  <a:bodyPr/>
                  <a:lstStyle/>
                  <a:p>
                    <a:fld id="{73A6F8A3-7559-4767-939E-77B8EB1C0DAB}"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layout>
                    <c:manualLayout>
                      <c:w val="0.15979692442290866"/>
                      <c:h val="8.4924623115577885E-2"/>
                    </c:manualLayout>
                  </c15:layout>
                  <c15:dlblFieldTable/>
                  <c15:showDataLabelsRange val="1"/>
                </c:ext>
                <c:ext xmlns:c16="http://schemas.microsoft.com/office/drawing/2014/chart" uri="{C3380CC4-5D6E-409C-BE32-E72D297353CC}">
                  <c16:uniqueId val="{00000008-2031-4CB4-A76B-62930E12F383}"/>
                </c:ext>
              </c:extLst>
            </c:dLbl>
            <c:dLbl>
              <c:idx val="9"/>
              <c:layout>
                <c:manualLayout>
                  <c:x val="0.14115906184803823"/>
                  <c:y val="0.2522956586799423"/>
                </c:manualLayout>
              </c:layout>
              <c:tx>
                <c:rich>
                  <a:bodyPr/>
                  <a:lstStyle/>
                  <a:p>
                    <a:fld id="{DB246E8D-F0F5-4110-B2C5-3F766F397276}"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9-2031-4CB4-A76B-62930E12F383}"/>
                </c:ext>
              </c:extLst>
            </c:dLbl>
            <c:dLbl>
              <c:idx val="10"/>
              <c:layout>
                <c:manualLayout>
                  <c:x val="3.8520257083249208E-2"/>
                  <c:y val="1.4744265349654416E-2"/>
                </c:manualLayout>
              </c:layout>
              <c:tx>
                <c:rich>
                  <a:bodyPr/>
                  <a:lstStyle/>
                  <a:p>
                    <a:fld id="{4E0EC584-BDC2-4A67-B06E-367A2D516E74}"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A-2031-4CB4-A76B-62930E12F383}"/>
                </c:ext>
              </c:extLst>
            </c:dLbl>
            <c:dLbl>
              <c:idx val="11"/>
              <c:layout>
                <c:manualLayout>
                  <c:x val="-0.15238247863247864"/>
                  <c:y val="-0.17027181361352214"/>
                </c:manualLayout>
              </c:layout>
              <c:tx>
                <c:rich>
                  <a:bodyPr rot="0" spcFirstLastPara="1" vertOverflow="ellipsis" vert="horz" wrap="square" lIns="38100" tIns="19050" rIns="38100" bIns="19050" anchor="ctr" anchorCtr="1">
                    <a:noAutofit/>
                  </a:bodyPr>
                  <a:lstStyle/>
                  <a:p>
                    <a:pPr>
                      <a:defRPr sz="1400" b="0" i="0" u="none" strike="noStrike" kern="1200" baseline="0">
                        <a:solidFill>
                          <a:schemeClr val="tx1"/>
                        </a:solidFill>
                        <a:latin typeface="+mn-lt"/>
                        <a:ea typeface="+mn-ea"/>
                        <a:cs typeface="+mn-cs"/>
                      </a:defRPr>
                    </a:pPr>
                    <a:fld id="{ED5EE9CE-BA23-4EC5-9BC9-27ECE808FF53}" type="CELLRANGE">
                      <a:rPr lang="en-US"/>
                      <a:pPr>
                        <a:defRPr/>
                      </a:pPr>
                      <a:t>[CELLRANGE]</a:t>
                    </a:fld>
                    <a:endParaRPr lang="en-US"/>
                  </a:p>
                </c:rich>
              </c:tx>
              <c:spPr>
                <a:noFill/>
                <a:ln>
                  <a:noFill/>
                </a:ln>
                <a:effectLst/>
              </c:spPr>
              <c:txPr>
                <a:bodyPr rot="0" spcFirstLastPara="1" vertOverflow="ellipsis" vert="horz" wrap="square" lIns="38100" tIns="19050" rIns="38100" bIns="19050" anchor="ctr" anchorCtr="1">
                  <a:noAutofit/>
                </a:bodyPr>
                <a:lstStyle/>
                <a:p>
                  <a:pPr>
                    <a:defRPr sz="1400" b="0" i="0" u="none" strike="noStrike" kern="1200" baseline="0">
                      <a:solidFill>
                        <a:schemeClr val="tx1"/>
                      </a:solidFill>
                      <a:latin typeface="+mn-lt"/>
                      <a:ea typeface="+mn-ea"/>
                      <a:cs typeface="+mn-cs"/>
                    </a:defRPr>
                  </a:pPr>
                  <a:endParaRPr lang="en-US"/>
                </a:p>
              </c:txPr>
              <c:dLblPos val="r"/>
              <c:showLegendKey val="0"/>
              <c:showVal val="0"/>
              <c:showCatName val="0"/>
              <c:showSerName val="0"/>
              <c:showPercent val="0"/>
              <c:showBubbleSize val="0"/>
              <c:extLst>
                <c:ext xmlns:c15="http://schemas.microsoft.com/office/drawing/2012/chart" uri="{CE6537A1-D6FC-4f65-9D91-7224C49458BB}">
                  <c15:layout>
                    <c:manualLayout>
                      <c:w val="0.12741452991452989"/>
                      <c:h val="0.13725445408862491"/>
                    </c:manualLayout>
                  </c15:layout>
                  <c15:dlblFieldTable/>
                  <c15:showDataLabelsRange val="1"/>
                </c:ext>
                <c:ext xmlns:c16="http://schemas.microsoft.com/office/drawing/2014/chart" uri="{C3380CC4-5D6E-409C-BE32-E72D297353CC}">
                  <c16:uniqueId val="{0000000B-2031-4CB4-A76B-62930E12F383}"/>
                </c:ext>
              </c:extLst>
            </c:dLbl>
            <c:dLbl>
              <c:idx val="12"/>
              <c:layout>
                <c:manualLayout>
                  <c:x val="-6.3231963792987456E-2"/>
                  <c:y val="-0.17484001971201749"/>
                </c:manualLayout>
              </c:layout>
              <c:tx>
                <c:rich>
                  <a:bodyPr rot="0" spcFirstLastPara="1" vertOverflow="ellipsis" vert="horz" wrap="square" lIns="38100" tIns="19050" rIns="38100" bIns="19050" anchor="ctr" anchorCtr="1">
                    <a:noAutofit/>
                  </a:bodyPr>
                  <a:lstStyle/>
                  <a:p>
                    <a:pPr>
                      <a:defRPr sz="1400" b="0" i="0" u="none" strike="noStrike" kern="1200" baseline="0">
                        <a:solidFill>
                          <a:schemeClr val="tx1"/>
                        </a:solidFill>
                        <a:latin typeface="+mn-lt"/>
                        <a:ea typeface="+mn-ea"/>
                        <a:cs typeface="+mn-cs"/>
                      </a:defRPr>
                    </a:pPr>
                    <a:fld id="{26BCDBC9-6C63-4A69-87C3-545393A5F7B3}" type="CELLRANGE">
                      <a:rPr lang="en-US"/>
                      <a:pPr>
                        <a:defRPr/>
                      </a:pPr>
                      <a:t>[CELLRANGE]</a:t>
                    </a:fld>
                    <a:endParaRPr lang="en-US"/>
                  </a:p>
                </c:rich>
              </c:tx>
              <c:spPr>
                <a:noFill/>
                <a:ln>
                  <a:noFill/>
                </a:ln>
                <a:effectLst/>
              </c:spPr>
              <c:txPr>
                <a:bodyPr rot="0" spcFirstLastPara="1" vertOverflow="ellipsis" vert="horz" wrap="square" lIns="38100" tIns="19050" rIns="38100" bIns="19050" anchor="ctr" anchorCtr="1">
                  <a:noAutofit/>
                </a:bodyPr>
                <a:lstStyle/>
                <a:p>
                  <a:pPr>
                    <a:defRPr sz="1400" b="0" i="0" u="none" strike="noStrike" kern="1200" baseline="0">
                      <a:solidFill>
                        <a:schemeClr val="tx1"/>
                      </a:solidFill>
                      <a:latin typeface="+mn-lt"/>
                      <a:ea typeface="+mn-ea"/>
                      <a:cs typeface="+mn-cs"/>
                    </a:defRPr>
                  </a:pPr>
                  <a:endParaRPr lang="en-US"/>
                </a:p>
              </c:txPr>
              <c:dLblPos val="r"/>
              <c:showLegendKey val="0"/>
              <c:showVal val="0"/>
              <c:showCatName val="0"/>
              <c:showSerName val="0"/>
              <c:showPercent val="0"/>
              <c:showBubbleSize val="0"/>
              <c:extLst>
                <c:ext xmlns:c15="http://schemas.microsoft.com/office/drawing/2012/chart" uri="{CE6537A1-D6FC-4f65-9D91-7224C49458BB}">
                  <c15:layout>
                    <c:manualLayout>
                      <c:w val="0.10723282185880609"/>
                      <c:h val="0.10070808588396528"/>
                    </c:manualLayout>
                  </c15:layout>
                  <c15:dlblFieldTable/>
                  <c15:showDataLabelsRange val="1"/>
                </c:ext>
                <c:ext xmlns:c16="http://schemas.microsoft.com/office/drawing/2014/chart" uri="{C3380CC4-5D6E-409C-BE32-E72D297353CC}">
                  <c16:uniqueId val="{0000000C-2031-4CB4-A76B-62930E12F383}"/>
                </c:ext>
              </c:extLst>
            </c:dLbl>
            <c:dLbl>
              <c:idx val="13"/>
              <c:layout>
                <c:manualLayout>
                  <c:x val="0.18448734773537923"/>
                  <c:y val="0.16882137962539973"/>
                </c:manualLayout>
              </c:layout>
              <c:tx>
                <c:rich>
                  <a:bodyPr/>
                  <a:lstStyle/>
                  <a:p>
                    <a:fld id="{A2152DF9-9422-4656-B1A3-82A4B5CC79ED}"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layout>
                    <c:manualLayout>
                      <c:w val="0.13316239316239317"/>
                      <c:h val="8.4924623115577885E-2"/>
                    </c:manualLayout>
                  </c15:layout>
                  <c15:dlblFieldTable/>
                  <c15:showDataLabelsRange val="1"/>
                </c:ext>
                <c:ext xmlns:c16="http://schemas.microsoft.com/office/drawing/2014/chart" uri="{C3380CC4-5D6E-409C-BE32-E72D297353CC}">
                  <c16:uniqueId val="{0000000D-2031-4CB4-A76B-62930E12F383}"/>
                </c:ext>
              </c:extLst>
            </c:dLbl>
            <c:dLbl>
              <c:idx val="14"/>
              <c:layout>
                <c:manualLayout>
                  <c:x val="-6.919341813042601E-2"/>
                  <c:y val="-0.1486751941525811"/>
                </c:manualLayout>
              </c:layout>
              <c:tx>
                <c:rich>
                  <a:bodyPr/>
                  <a:lstStyle/>
                  <a:p>
                    <a:fld id="{F84EF8E4-E72F-42D9-9CFB-95D5DA7DB8FA}"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layout>
                    <c:manualLayout>
                      <c:w val="0.11488239450837875"/>
                      <c:h val="8.4924623115577885E-2"/>
                    </c:manualLayout>
                  </c15:layout>
                  <c15:dlblFieldTable/>
                  <c15:showDataLabelsRange val="1"/>
                </c:ext>
                <c:ext xmlns:c16="http://schemas.microsoft.com/office/drawing/2014/chart" uri="{C3380CC4-5D6E-409C-BE32-E72D297353CC}">
                  <c16:uniqueId val="{0000000E-2031-4CB4-A76B-62930E12F383}"/>
                </c:ext>
              </c:extLst>
            </c:dLbl>
            <c:spPr>
              <a:noFill/>
              <a:ln>
                <a:noFill/>
              </a:ln>
              <a:effectLst/>
            </c:spPr>
            <c:txPr>
              <a:bodyPr rot="0" spcFirstLastPara="1" vertOverflow="ellipsis" vert="horz" wrap="square" lIns="38100" tIns="19050" rIns="38100" bIns="19050" anchor="ctr" anchorCtr="1">
                <a:spAutoFit/>
              </a:bodyPr>
              <a:lstStyle/>
              <a:p>
                <a:pPr>
                  <a:defRPr sz="1400" b="0" i="0" u="none" strike="noStrike" kern="1200" baseline="0">
                    <a:solidFill>
                      <a:schemeClr val="tx1"/>
                    </a:solidFill>
                    <a:latin typeface="+mn-lt"/>
                    <a:ea typeface="+mn-ea"/>
                    <a:cs typeface="+mn-cs"/>
                  </a:defRPr>
                </a:pPr>
                <a:endParaRPr lang="en-US"/>
              </a:p>
            </c:txPr>
            <c:dLblPos val="t"/>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tx1">
                    <a:lumMod val="50000"/>
                    <a:lumOff val="50000"/>
                  </a:schemeClr>
                </a:solidFill>
                <a:prstDash val="solid"/>
              </a:ln>
              <a:effectLst/>
            </c:spPr>
            <c:trendlineType val="linear"/>
            <c:forward val="2000"/>
            <c:dispRSqr val="1"/>
            <c:dispEq val="0"/>
            <c:trendlineLbl>
              <c:layout>
                <c:manualLayout>
                  <c:x val="-0.39251242179633206"/>
                  <c:y val="-0.12433923211705107"/>
                </c:manualLayout>
              </c:layout>
              <c:numFmt formatCode="General" sourceLinked="0"/>
              <c:spPr>
                <a:noFill/>
                <a:ln>
                  <a:noFill/>
                </a:ln>
                <a:effectLst/>
              </c:spPr>
              <c:txPr>
                <a:bodyPr rot="0" spcFirstLastPara="1" vertOverflow="ellipsis" vert="horz" wrap="square" anchor="ctr" anchorCtr="1"/>
                <a:lstStyle/>
                <a:p>
                  <a:pPr>
                    <a:defRPr sz="1400" b="0" i="0" u="none" strike="noStrike" kern="1200" baseline="0">
                      <a:solidFill>
                        <a:schemeClr val="tx1"/>
                      </a:solidFill>
                      <a:latin typeface="+mn-lt"/>
                      <a:ea typeface="+mn-ea"/>
                      <a:cs typeface="+mn-cs"/>
                    </a:defRPr>
                  </a:pPr>
                  <a:endParaRPr lang="en-US"/>
                </a:p>
              </c:txPr>
            </c:trendlineLbl>
          </c:trendline>
          <c:xVal>
            <c:numRef>
              <c:f>Summary!$E$34:$E$48</c:f>
              <c:numCache>
                <c:formatCode>General</c:formatCode>
                <c:ptCount val="15"/>
                <c:pt idx="0">
                  <c:v>16303.437862957879</c:v>
                </c:pt>
                <c:pt idx="1">
                  <c:v>2857.8218418379747</c:v>
                </c:pt>
                <c:pt idx="2">
                  <c:v>5528.8032772125935</c:v>
                </c:pt>
                <c:pt idx="3">
                  <c:v>6180.251274519369</c:v>
                </c:pt>
                <c:pt idx="4">
                  <c:v>14272.491895417887</c:v>
                </c:pt>
                <c:pt idx="5">
                  <c:v>33405.474375898812</c:v>
                </c:pt>
                <c:pt idx="6">
                  <c:v>14191.533482175619</c:v>
                </c:pt>
                <c:pt idx="7">
                  <c:v>8436.8971772879704</c:v>
                </c:pt>
                <c:pt idx="8">
                  <c:v>15527.583357339556</c:v>
                </c:pt>
                <c:pt idx="9">
                  <c:v>7812.2707519927508</c:v>
                </c:pt>
                <c:pt idx="10">
                  <c:v>17237.614518619779</c:v>
                </c:pt>
                <c:pt idx="11">
                  <c:v>9520.2746521384943</c:v>
                </c:pt>
                <c:pt idx="12">
                  <c:v>11263.915708633642</c:v>
                </c:pt>
                <c:pt idx="13">
                  <c:v>9532.9354738186557</c:v>
                </c:pt>
                <c:pt idx="14">
                  <c:v>5881.624288627303</c:v>
                </c:pt>
              </c:numCache>
            </c:numRef>
          </c:xVal>
          <c:yVal>
            <c:numRef>
              <c:f>Summary!$F$34:$F$48</c:f>
              <c:numCache>
                <c:formatCode>0.00</c:formatCode>
                <c:ptCount val="15"/>
                <c:pt idx="0">
                  <c:v>1.68</c:v>
                </c:pt>
                <c:pt idx="1">
                  <c:v>1.49</c:v>
                </c:pt>
                <c:pt idx="2">
                  <c:v>1.0186124109498265</c:v>
                </c:pt>
                <c:pt idx="3">
                  <c:v>1.3222373465220323</c:v>
                </c:pt>
                <c:pt idx="4">
                  <c:v>1.3959182823889864</c:v>
                </c:pt>
                <c:pt idx="5">
                  <c:v>2.913283657959016</c:v>
                </c:pt>
                <c:pt idx="6">
                  <c:v>1.5120145850874767</c:v>
                </c:pt>
                <c:pt idx="7">
                  <c:v>1.3726851029428184</c:v>
                </c:pt>
                <c:pt idx="8">
                  <c:v>1.6801242007081709</c:v>
                </c:pt>
                <c:pt idx="9">
                  <c:v>1.3778127445362789</c:v>
                </c:pt>
                <c:pt idx="10">
                  <c:v>1.6301982019652452</c:v>
                </c:pt>
                <c:pt idx="11">
                  <c:v>1.7099705960645899</c:v>
                </c:pt>
                <c:pt idx="12">
                  <c:v>1.6264902230891971</c:v>
                </c:pt>
                <c:pt idx="13">
                  <c:v>1.3754864978784436</c:v>
                </c:pt>
                <c:pt idx="14">
                  <c:v>1.3841170517962298</c:v>
                </c:pt>
              </c:numCache>
            </c:numRef>
          </c:yVal>
          <c:smooth val="0"/>
          <c:extLst>
            <c:ext xmlns:c15="http://schemas.microsoft.com/office/drawing/2012/chart" uri="{02D57815-91ED-43cb-92C2-25804820EDAC}">
              <c15:datalabelsRange>
                <c15:f>Summary!$C$34:$C$48</c15:f>
                <c15:dlblRangeCache>
                  <c:ptCount val="15"/>
                  <c:pt idx="0">
                    <c:v>Buenos Aires</c:v>
                  </c:pt>
                  <c:pt idx="1">
                    <c:v>Sydney</c:v>
                  </c:pt>
                  <c:pt idx="2">
                    <c:v>Toronto</c:v>
                  </c:pt>
                  <c:pt idx="3">
                    <c:v>Warsaw</c:v>
                  </c:pt>
                  <c:pt idx="4">
                    <c:v>Madrid</c:v>
                  </c:pt>
                  <c:pt idx="5">
                    <c:v>New York</c:v>
                  </c:pt>
                  <c:pt idx="6">
                    <c:v>São Paulo</c:v>
                  </c:pt>
                  <c:pt idx="7">
                    <c:v>London</c:v>
                  </c:pt>
                  <c:pt idx="8">
                    <c:v>São Paulo (5 km)</c:v>
                  </c:pt>
                  <c:pt idx="9">
                    <c:v>Warsaw (5 km)</c:v>
                  </c:pt>
                  <c:pt idx="10">
                    <c:v>Madrid (5 km)</c:v>
                  </c:pt>
                  <c:pt idx="11">
                    <c:v>Toronto (5 km)</c:v>
                  </c:pt>
                  <c:pt idx="12">
                    <c:v>London (5 km)</c:v>
                  </c:pt>
                  <c:pt idx="13">
                    <c:v>London (15 km)</c:v>
                  </c:pt>
                  <c:pt idx="14">
                    <c:v>Toronto (15 km)</c:v>
                  </c:pt>
                </c15:dlblRangeCache>
              </c15:datalabelsRange>
            </c:ext>
            <c:ext xmlns:c16="http://schemas.microsoft.com/office/drawing/2014/chart" uri="{C3380CC4-5D6E-409C-BE32-E72D297353CC}">
              <c16:uniqueId val="{00000010-2031-4CB4-A76B-62930E12F383}"/>
            </c:ext>
          </c:extLst>
        </c:ser>
        <c:dLbls>
          <c:showLegendKey val="0"/>
          <c:showVal val="0"/>
          <c:showCatName val="0"/>
          <c:showSerName val="0"/>
          <c:showPercent val="0"/>
          <c:showBubbleSize val="0"/>
        </c:dLbls>
        <c:axId val="174365215"/>
        <c:axId val="1186446256"/>
      </c:scatterChart>
      <c:valAx>
        <c:axId val="174365215"/>
        <c:scaling>
          <c:orientation val="minMax"/>
          <c:max val="35000"/>
        </c:scaling>
        <c:delete val="0"/>
        <c:axPos val="b"/>
        <c:title>
          <c:tx>
            <c:rich>
              <a:bodyPr rot="0" spcFirstLastPara="1" vertOverflow="ellipsis" vert="horz" wrap="square" anchor="ctr" anchorCtr="1"/>
              <a:lstStyle/>
              <a:p>
                <a:pPr>
                  <a:defRPr sz="1400" b="0" i="0" u="none" strike="noStrike" kern="1200" baseline="0">
                    <a:solidFill>
                      <a:schemeClr val="tx1"/>
                    </a:solidFill>
                    <a:latin typeface="+mn-lt"/>
                    <a:ea typeface="+mn-ea"/>
                    <a:cs typeface="+mn-cs"/>
                  </a:defRPr>
                </a:pPr>
                <a:r>
                  <a:rPr lang="en-US"/>
                  <a:t>Population Density (people km-²)</a:t>
                </a:r>
              </a:p>
            </c:rich>
          </c:tx>
          <c:overlay val="0"/>
          <c:spPr>
            <a:noFill/>
            <a:ln>
              <a:noFill/>
            </a:ln>
            <a:effectLst/>
          </c:spPr>
          <c:txPr>
            <a:bodyPr rot="0" spcFirstLastPara="1" vertOverflow="ellipsis" vert="horz" wrap="square" anchor="ctr" anchorCtr="1"/>
            <a:lstStyle/>
            <a:p>
              <a:pPr>
                <a:defRPr sz="1400" b="0" i="0" u="none" strike="noStrike" kern="1200" baseline="0">
                  <a:solidFill>
                    <a:schemeClr val="tx1"/>
                  </a:solidFill>
                  <a:latin typeface="+mn-lt"/>
                  <a:ea typeface="+mn-ea"/>
                  <a:cs typeface="+mn-cs"/>
                </a:defRPr>
              </a:pPr>
              <a:endParaRPr lang="en-US"/>
            </a:p>
          </c:txPr>
        </c:title>
        <c:numFmt formatCode="#,##0" sourceLinked="0"/>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400" b="0" i="0" u="none" strike="noStrike" kern="1200" baseline="0">
                <a:solidFill>
                  <a:schemeClr val="tx1"/>
                </a:solidFill>
                <a:latin typeface="+mn-lt"/>
                <a:ea typeface="+mn-ea"/>
                <a:cs typeface="+mn-cs"/>
              </a:defRPr>
            </a:pPr>
            <a:endParaRPr lang="en-US"/>
          </a:p>
        </c:txPr>
        <c:crossAx val="1186446256"/>
        <c:crosses val="autoZero"/>
        <c:crossBetween val="midCat"/>
      </c:valAx>
      <c:valAx>
        <c:axId val="1186446256"/>
        <c:scaling>
          <c:orientation val="minMax"/>
        </c:scaling>
        <c:delete val="0"/>
        <c:axPos val="l"/>
        <c:title>
          <c:tx>
            <c:rich>
              <a:bodyPr rot="-5400000" spcFirstLastPara="1" vertOverflow="ellipsis" vert="horz" wrap="square" anchor="ctr" anchorCtr="1"/>
              <a:lstStyle/>
              <a:p>
                <a:pPr>
                  <a:defRPr sz="1400" b="0" i="0" u="none" strike="noStrike" kern="1200" baseline="0">
                    <a:solidFill>
                      <a:schemeClr val="tx1"/>
                    </a:solidFill>
                    <a:latin typeface="+mn-lt"/>
                    <a:ea typeface="+mn-ea"/>
                    <a:cs typeface="+mn-cs"/>
                  </a:defRPr>
                </a:pPr>
                <a:r>
                  <a:rPr lang="en-US"/>
                  <a:t>Impervious Surface Index (m² m-²)</a:t>
                </a:r>
              </a:p>
            </c:rich>
          </c:tx>
          <c:overlay val="0"/>
          <c:spPr>
            <a:noFill/>
            <a:ln>
              <a:noFill/>
            </a:ln>
            <a:effectLst/>
          </c:spPr>
          <c:txPr>
            <a:bodyPr rot="-5400000" spcFirstLastPara="1" vertOverflow="ellipsis" vert="horz" wrap="square" anchor="ctr" anchorCtr="1"/>
            <a:lstStyle/>
            <a:p>
              <a:pPr>
                <a:defRPr sz="1400" b="0" i="0" u="none" strike="noStrike" kern="1200" baseline="0">
                  <a:solidFill>
                    <a:schemeClr val="tx1"/>
                  </a:solidFill>
                  <a:latin typeface="+mn-lt"/>
                  <a:ea typeface="+mn-ea"/>
                  <a:cs typeface="+mn-cs"/>
                </a:defRPr>
              </a:pPr>
              <a:endParaRPr lang="en-US"/>
            </a:p>
          </c:txPr>
        </c:title>
        <c:numFmt formatCode="0.00"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400" b="0" i="0" u="none" strike="noStrike" kern="1200" baseline="0">
                <a:solidFill>
                  <a:schemeClr val="tx1"/>
                </a:solidFill>
                <a:latin typeface="+mn-lt"/>
                <a:ea typeface="+mn-ea"/>
                <a:cs typeface="+mn-cs"/>
              </a:defRPr>
            </a:pPr>
            <a:endParaRPr lang="en-US"/>
          </a:p>
        </c:txPr>
        <c:crossAx val="174365215"/>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400">
          <a:solidFill>
            <a:schemeClr val="tx1"/>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78EF9BE987E574D9CCAA78A5B04BEF5" ma:contentTypeVersion="14" ma:contentTypeDescription="Create a new document." ma:contentTypeScope="" ma:versionID="bb0810209dd11440852860618d3acb2c">
  <xsd:schema xmlns:xsd="http://www.w3.org/2001/XMLSchema" xmlns:xs="http://www.w3.org/2001/XMLSchema" xmlns:p="http://schemas.microsoft.com/office/2006/metadata/properties" xmlns:ns3="003652a5-0d35-49c7-a76b-0b2abd7a1b7b" xmlns:ns4="d2eb8d10-22f3-414f-a62a-018c35753216" targetNamespace="http://schemas.microsoft.com/office/2006/metadata/properties" ma:root="true" ma:fieldsID="627d22c00becab680cb0ec0570fe49d3" ns3:_="" ns4:_="">
    <xsd:import namespace="003652a5-0d35-49c7-a76b-0b2abd7a1b7b"/>
    <xsd:import namespace="d2eb8d10-22f3-414f-a62a-018c3575321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3652a5-0d35-49c7-a76b-0b2abd7a1b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eb8d10-22f3-414f-a62a-018c3575321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51EEC8-C3F5-40CD-B1A9-62592EAAF11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37CACF0-13C1-437C-B42C-0FF229B649DA}">
  <ds:schemaRefs>
    <ds:schemaRef ds:uri="http://schemas.microsoft.com/sharepoint/v3/contenttype/forms"/>
  </ds:schemaRefs>
</ds:datastoreItem>
</file>

<file path=customXml/itemProps3.xml><?xml version="1.0" encoding="utf-8"?>
<ds:datastoreItem xmlns:ds="http://schemas.openxmlformats.org/officeDocument/2006/customXml" ds:itemID="{547C961D-8E52-4B29-9FED-7F1A0DA08A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3652a5-0d35-49c7-a76b-0b2abd7a1b7b"/>
    <ds:schemaRef ds:uri="d2eb8d10-22f3-414f-a62a-018c357532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73FCD45-B8C8-48B7-9791-237E141DD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16</Pages>
  <Words>7359</Words>
  <Characters>41952</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Rodgers, Timothy</dc:creator>
  <cp:keywords/>
  <dc:description/>
  <cp:lastModifiedBy>Rodgers, Timothy</cp:lastModifiedBy>
  <cp:revision>4</cp:revision>
  <dcterms:created xsi:type="dcterms:W3CDTF">2022-11-14T19:02:00Z</dcterms:created>
  <dcterms:modified xsi:type="dcterms:W3CDTF">2022-11-14T20:11:00Z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0x010100878EF9BE987E574D9CCAA78A5B04BEF5</vt:lpwstr>
  </property>
  <property fmtid="{D5CDD505-2E9C-101B-9397-08002B2CF9AE}" pid="3" name="ZOTERO_PREF_1">
    <vt:lpwstr>&lt;data data-version="3" zotero-version="6.0.16"&gt;&lt;session id="eozjjPuS"/&gt;&lt;style id="http://www.zotero.org/styles/nature" hasBibliography="1" bibliographyStyleHasBeenSet="0"/&gt;&lt;prefs&gt;&lt;pref name="fieldType" value="Field"/&gt;&lt;/prefs&gt;&lt;/data&gt;</vt:lpwstr>
  </property>
</Properties>
</file>