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DB3443B" w14:textId="77777777" w:rsidR="00696DDB" w:rsidRPr="00B06F97" w:rsidRDefault="00696DDB" w:rsidP="00696DDB">
      <w:pPr>
        <w:spacing w:line="480" w:lineRule="auto"/>
        <w:jc w:val="both"/>
        <w:rPr>
          <w:sz w:val="20"/>
          <w:szCs w:val="20"/>
        </w:rPr>
      </w:pPr>
      <w:commentRangeStart w:id="0"/>
      <w:r w:rsidRPr="61EF249A">
        <w:rPr>
          <w:sz w:val="20"/>
          <w:szCs w:val="20"/>
        </w:rPr>
        <w:t>Table 1</w:t>
      </w:r>
      <w:commentRangeEnd w:id="0"/>
      <w:r>
        <w:rPr>
          <w:rStyle w:val="CommentReference"/>
        </w:rPr>
        <w:commentReference w:id="0"/>
      </w:r>
      <w:r w:rsidRPr="61EF249A">
        <w:rPr>
          <w:sz w:val="20"/>
          <w:szCs w:val="20"/>
        </w:rPr>
        <w:t>. Information relating to the inclusion of each predictor variable in the NB GLM, with individual hypotheses.</w:t>
      </w:r>
    </w:p>
    <w:tbl>
      <w:tblPr>
        <w:tblStyle w:val="TableGrid"/>
        <w:tblW w:w="14209" w:type="dxa"/>
        <w:tblLook w:val="04A0" w:firstRow="1" w:lastRow="0" w:firstColumn="1" w:lastColumn="0" w:noHBand="0" w:noVBand="1"/>
      </w:tblPr>
      <w:tblGrid>
        <w:gridCol w:w="2124"/>
        <w:gridCol w:w="5323"/>
        <w:gridCol w:w="6762"/>
      </w:tblGrid>
      <w:tr w:rsidR="00696DDB" w:rsidRPr="00B06F97" w14:paraId="0E910F64" w14:textId="77777777" w:rsidTr="0078296A">
        <w:trPr>
          <w:trHeight w:val="703"/>
        </w:trPr>
        <w:tc>
          <w:tcPr>
            <w:tcW w:w="2124" w:type="dxa"/>
          </w:tcPr>
          <w:p w14:paraId="314D56F6" w14:textId="77777777" w:rsidR="00696DDB" w:rsidRPr="00B06F97" w:rsidRDefault="00696DDB" w:rsidP="0078296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61EF249A">
              <w:rPr>
                <w:sz w:val="20"/>
                <w:szCs w:val="20"/>
              </w:rPr>
              <w:t>Covariate</w:t>
            </w:r>
          </w:p>
        </w:tc>
        <w:tc>
          <w:tcPr>
            <w:tcW w:w="5323" w:type="dxa"/>
          </w:tcPr>
          <w:p w14:paraId="7F0DF8CD" w14:textId="77777777" w:rsidR="00696DDB" w:rsidRPr="00B06F97" w:rsidRDefault="00696DDB" w:rsidP="0078296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B06F97">
              <w:rPr>
                <w:sz w:val="20"/>
                <w:szCs w:val="20"/>
              </w:rPr>
              <w:t>Reason for inclusion in the model</w:t>
            </w:r>
          </w:p>
        </w:tc>
        <w:tc>
          <w:tcPr>
            <w:tcW w:w="6762" w:type="dxa"/>
          </w:tcPr>
          <w:p w14:paraId="560EBDB8" w14:textId="77777777" w:rsidR="00696DDB" w:rsidRPr="00B06F97" w:rsidRDefault="00696DDB" w:rsidP="0078296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B06F97">
              <w:rPr>
                <w:sz w:val="20"/>
                <w:szCs w:val="20"/>
              </w:rPr>
              <w:t>Hypothesis</w:t>
            </w:r>
          </w:p>
        </w:tc>
      </w:tr>
      <w:tr w:rsidR="00696DDB" w:rsidRPr="00B06F97" w14:paraId="2D1CA072" w14:textId="77777777" w:rsidTr="0078296A">
        <w:trPr>
          <w:trHeight w:val="1130"/>
        </w:trPr>
        <w:tc>
          <w:tcPr>
            <w:tcW w:w="2124" w:type="dxa"/>
          </w:tcPr>
          <w:p w14:paraId="6E08371B" w14:textId="77777777" w:rsidR="00696DDB" w:rsidRPr="00B06F97" w:rsidRDefault="00696DDB" w:rsidP="0078296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B06F97">
              <w:rPr>
                <w:sz w:val="20"/>
                <w:szCs w:val="20"/>
              </w:rPr>
              <w:t>Blink rate</w:t>
            </w:r>
          </w:p>
        </w:tc>
        <w:tc>
          <w:tcPr>
            <w:tcW w:w="5323" w:type="dxa"/>
          </w:tcPr>
          <w:p w14:paraId="4C370776" w14:textId="77777777" w:rsidR="00696DDB" w:rsidRPr="00B06F97" w:rsidRDefault="00696DDB" w:rsidP="0078296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38427FDA">
              <w:rPr>
                <w:sz w:val="20"/>
                <w:szCs w:val="20"/>
              </w:rPr>
              <w:t>This study was interested in whether phasic blink rate may be a useful predictor of adaptive learning.</w:t>
            </w:r>
          </w:p>
        </w:tc>
        <w:tc>
          <w:tcPr>
            <w:tcW w:w="6762" w:type="dxa"/>
          </w:tcPr>
          <w:p w14:paraId="76260F0F" w14:textId="77777777" w:rsidR="00696DDB" w:rsidRPr="00B06F97" w:rsidRDefault="00696DDB" w:rsidP="0078296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38427FDA">
              <w:rPr>
                <w:sz w:val="20"/>
                <w:szCs w:val="20"/>
              </w:rPr>
              <w:t>Higher blink rate, indicating increased phasic dopamine firing, would be associated with better performance (Schultz, 2013; 2016).</w:t>
            </w:r>
          </w:p>
        </w:tc>
      </w:tr>
      <w:tr w:rsidR="00696DDB" w:rsidRPr="00B06F97" w14:paraId="0656EB60" w14:textId="77777777" w:rsidTr="0078296A">
        <w:trPr>
          <w:trHeight w:val="1273"/>
        </w:trPr>
        <w:tc>
          <w:tcPr>
            <w:tcW w:w="2124" w:type="dxa"/>
          </w:tcPr>
          <w:p w14:paraId="3E4401C4" w14:textId="77777777" w:rsidR="00696DDB" w:rsidRPr="00B06F97" w:rsidRDefault="00696DDB" w:rsidP="0078296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B06F97">
              <w:rPr>
                <w:sz w:val="20"/>
                <w:szCs w:val="20"/>
              </w:rPr>
              <w:t>Baseline blink rate</w:t>
            </w:r>
          </w:p>
        </w:tc>
        <w:tc>
          <w:tcPr>
            <w:tcW w:w="5323" w:type="dxa"/>
          </w:tcPr>
          <w:p w14:paraId="52049990" w14:textId="77777777" w:rsidR="00696DDB" w:rsidRPr="00B06F97" w:rsidRDefault="00696DDB" w:rsidP="0078296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38427FDA">
              <w:rPr>
                <w:sz w:val="20"/>
                <w:szCs w:val="20"/>
              </w:rPr>
              <w:t>Baseline blink rate is reflective of tonic striatal dopamine (</w:t>
            </w:r>
            <w:proofErr w:type="spellStart"/>
            <w:r w:rsidRPr="38427FDA">
              <w:rPr>
                <w:sz w:val="20"/>
                <w:szCs w:val="20"/>
              </w:rPr>
              <w:t>Jongkees</w:t>
            </w:r>
            <w:proofErr w:type="spellEnd"/>
            <w:r w:rsidRPr="38427FDA">
              <w:rPr>
                <w:sz w:val="20"/>
                <w:szCs w:val="20"/>
              </w:rPr>
              <w:t xml:space="preserve"> and </w:t>
            </w:r>
            <w:proofErr w:type="spellStart"/>
            <w:r w:rsidRPr="38427FDA">
              <w:rPr>
                <w:sz w:val="20"/>
                <w:szCs w:val="20"/>
              </w:rPr>
              <w:t>Colzato</w:t>
            </w:r>
            <w:proofErr w:type="spellEnd"/>
            <w:r w:rsidRPr="38427FDA">
              <w:rPr>
                <w:sz w:val="20"/>
                <w:szCs w:val="20"/>
              </w:rPr>
              <w:t xml:space="preserve">, 2016), which may predict individual sensitivity to reward learning. </w:t>
            </w:r>
          </w:p>
        </w:tc>
        <w:tc>
          <w:tcPr>
            <w:tcW w:w="6762" w:type="dxa"/>
          </w:tcPr>
          <w:p w14:paraId="15840F98" w14:textId="77777777" w:rsidR="00696DDB" w:rsidRPr="00B06F97" w:rsidRDefault="00696DDB" w:rsidP="0078296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38427FDA">
              <w:rPr>
                <w:sz w:val="20"/>
                <w:szCs w:val="20"/>
              </w:rPr>
              <w:t>Higher baseline blink rate, as an indicator of higher tonic dopamine, would predict better learning performance (</w:t>
            </w:r>
            <w:proofErr w:type="spellStart"/>
            <w:r w:rsidRPr="38427FDA">
              <w:rPr>
                <w:sz w:val="20"/>
                <w:szCs w:val="20"/>
              </w:rPr>
              <w:t>Jongkees</w:t>
            </w:r>
            <w:proofErr w:type="spellEnd"/>
            <w:r w:rsidRPr="38427FDA">
              <w:rPr>
                <w:sz w:val="20"/>
                <w:szCs w:val="20"/>
              </w:rPr>
              <w:t xml:space="preserve"> and </w:t>
            </w:r>
            <w:proofErr w:type="spellStart"/>
            <w:r w:rsidRPr="38427FDA">
              <w:rPr>
                <w:sz w:val="20"/>
                <w:szCs w:val="20"/>
              </w:rPr>
              <w:t>Colzato</w:t>
            </w:r>
            <w:proofErr w:type="spellEnd"/>
            <w:r w:rsidRPr="38427FDA">
              <w:rPr>
                <w:sz w:val="20"/>
                <w:szCs w:val="20"/>
              </w:rPr>
              <w:t>, 2016).</w:t>
            </w:r>
          </w:p>
        </w:tc>
      </w:tr>
      <w:tr w:rsidR="00696DDB" w:rsidRPr="00B06F97" w14:paraId="38B4E6A8" w14:textId="77777777" w:rsidTr="0078296A">
        <w:trPr>
          <w:trHeight w:val="1414"/>
        </w:trPr>
        <w:tc>
          <w:tcPr>
            <w:tcW w:w="2124" w:type="dxa"/>
          </w:tcPr>
          <w:p w14:paraId="4F907B58" w14:textId="77777777" w:rsidR="00696DDB" w:rsidRPr="00B06F97" w:rsidRDefault="00696DDB" w:rsidP="0078296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B06F97">
              <w:rPr>
                <w:sz w:val="20"/>
                <w:szCs w:val="20"/>
              </w:rPr>
              <w:t>Heart rate variability (RMSSD)</w:t>
            </w:r>
          </w:p>
        </w:tc>
        <w:tc>
          <w:tcPr>
            <w:tcW w:w="5323" w:type="dxa"/>
          </w:tcPr>
          <w:p w14:paraId="74D8C505" w14:textId="77777777" w:rsidR="00696DDB" w:rsidRPr="00B06F97" w:rsidRDefault="00696DDB" w:rsidP="0078296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38427FDA">
              <w:rPr>
                <w:sz w:val="20"/>
                <w:szCs w:val="20"/>
              </w:rPr>
              <w:t>As a measure of physiological arousal during learning. Arousal may predict learning performance according to the Yerkes-Dodson Law.</w:t>
            </w:r>
          </w:p>
        </w:tc>
        <w:tc>
          <w:tcPr>
            <w:tcW w:w="6762" w:type="dxa"/>
          </w:tcPr>
          <w:p w14:paraId="3B0B39CB" w14:textId="77777777" w:rsidR="00696DDB" w:rsidRPr="00B06F97" w:rsidRDefault="00696DDB" w:rsidP="0078296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61EF249A">
              <w:rPr>
                <w:sz w:val="20"/>
                <w:szCs w:val="20"/>
              </w:rPr>
              <w:t>Moderate arousal, as indicated by a moderate RMSSD would be associated with better performance (Yerkes – Dodson, 1908)</w:t>
            </w:r>
          </w:p>
        </w:tc>
      </w:tr>
      <w:tr w:rsidR="00696DDB" w:rsidRPr="00B06F97" w14:paraId="07877502" w14:textId="77777777" w:rsidTr="0078296A">
        <w:trPr>
          <w:trHeight w:val="972"/>
        </w:trPr>
        <w:tc>
          <w:tcPr>
            <w:tcW w:w="2124" w:type="dxa"/>
          </w:tcPr>
          <w:p w14:paraId="0F018091" w14:textId="77777777" w:rsidR="00696DDB" w:rsidRPr="00B06F97" w:rsidRDefault="00696DDB" w:rsidP="0078296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B06F97">
              <w:rPr>
                <w:sz w:val="20"/>
                <w:szCs w:val="20"/>
              </w:rPr>
              <w:t>Baseline RMSSD</w:t>
            </w:r>
          </w:p>
        </w:tc>
        <w:tc>
          <w:tcPr>
            <w:tcW w:w="5323" w:type="dxa"/>
          </w:tcPr>
          <w:p w14:paraId="47AE03BB" w14:textId="77777777" w:rsidR="00696DDB" w:rsidRPr="00B06F97" w:rsidRDefault="00696DDB" w:rsidP="0078296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B06F97">
              <w:rPr>
                <w:sz w:val="20"/>
                <w:szCs w:val="20"/>
              </w:rPr>
              <w:t>As a measure of baseline stress sensitivity, which may predict learning performance/ trainability.</w:t>
            </w:r>
          </w:p>
        </w:tc>
        <w:tc>
          <w:tcPr>
            <w:tcW w:w="6762" w:type="dxa"/>
          </w:tcPr>
          <w:p w14:paraId="79D1FA97" w14:textId="77777777" w:rsidR="00696DDB" w:rsidRPr="00B06F97" w:rsidRDefault="00696DDB" w:rsidP="0078296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61EF249A">
              <w:rPr>
                <w:sz w:val="20"/>
                <w:szCs w:val="20"/>
              </w:rPr>
              <w:t>Moderate arousal, as indicated by a moderate baseline RMSSD would be associated with better performance (Yerkes – Dodson, 1908)</w:t>
            </w:r>
          </w:p>
        </w:tc>
      </w:tr>
      <w:tr w:rsidR="00696DDB" w:rsidRPr="00B06F97" w14:paraId="463676BE" w14:textId="77777777" w:rsidTr="0078296A">
        <w:trPr>
          <w:trHeight w:val="1046"/>
        </w:trPr>
        <w:tc>
          <w:tcPr>
            <w:tcW w:w="2124" w:type="dxa"/>
          </w:tcPr>
          <w:p w14:paraId="72A094D5" w14:textId="77777777" w:rsidR="00696DDB" w:rsidRPr="00B06F97" w:rsidRDefault="00696DDB" w:rsidP="0078296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B06F97">
              <w:rPr>
                <w:sz w:val="20"/>
                <w:szCs w:val="20"/>
              </w:rPr>
              <w:t>Left eye temperature change</w:t>
            </w:r>
          </w:p>
        </w:tc>
        <w:tc>
          <w:tcPr>
            <w:tcW w:w="5323" w:type="dxa"/>
          </w:tcPr>
          <w:p w14:paraId="157A97AF" w14:textId="77777777" w:rsidR="00696DDB" w:rsidRPr="00B06F97" w:rsidRDefault="00696DDB" w:rsidP="0078296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38427FDA">
              <w:rPr>
                <w:sz w:val="20"/>
                <w:szCs w:val="20"/>
              </w:rPr>
              <w:t>As a marker of arousal in response to learning. May predict learning performance.</w:t>
            </w:r>
          </w:p>
        </w:tc>
        <w:tc>
          <w:tcPr>
            <w:tcW w:w="6762" w:type="dxa"/>
          </w:tcPr>
          <w:p w14:paraId="1B19C20F" w14:textId="77777777" w:rsidR="00696DDB" w:rsidRPr="00B06F97" w:rsidRDefault="00696DDB" w:rsidP="0078296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61EF249A">
              <w:rPr>
                <w:sz w:val="20"/>
                <w:szCs w:val="20"/>
              </w:rPr>
              <w:t>Moderate arousal, as indicated by a moderate change in eye temperature would be associated with better performance (Yerkes – Dodson, 1908)</w:t>
            </w:r>
          </w:p>
        </w:tc>
      </w:tr>
      <w:tr w:rsidR="00696DDB" w:rsidRPr="00B06F97" w14:paraId="0904CC9A" w14:textId="77777777" w:rsidTr="0078296A">
        <w:trPr>
          <w:trHeight w:val="1044"/>
        </w:trPr>
        <w:tc>
          <w:tcPr>
            <w:tcW w:w="2124" w:type="dxa"/>
          </w:tcPr>
          <w:p w14:paraId="327620D4" w14:textId="77777777" w:rsidR="00696DDB" w:rsidRPr="00B06F97" w:rsidRDefault="00696DDB" w:rsidP="0078296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00B06F97">
              <w:rPr>
                <w:sz w:val="20"/>
                <w:szCs w:val="20"/>
              </w:rPr>
              <w:t>Right eye temperature change</w:t>
            </w:r>
          </w:p>
        </w:tc>
        <w:tc>
          <w:tcPr>
            <w:tcW w:w="5323" w:type="dxa"/>
          </w:tcPr>
          <w:p w14:paraId="78D63BA1" w14:textId="77777777" w:rsidR="00696DDB" w:rsidRPr="00B06F97" w:rsidRDefault="00696DDB" w:rsidP="0078296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38427FDA">
              <w:rPr>
                <w:sz w:val="20"/>
                <w:szCs w:val="20"/>
              </w:rPr>
              <w:t>As a marker of arousal in response to learning. May predict learning performance.</w:t>
            </w:r>
          </w:p>
        </w:tc>
        <w:tc>
          <w:tcPr>
            <w:tcW w:w="6762" w:type="dxa"/>
          </w:tcPr>
          <w:p w14:paraId="4DBA8ECA" w14:textId="77777777" w:rsidR="00696DDB" w:rsidRPr="00B06F97" w:rsidRDefault="00696DDB" w:rsidP="0078296A">
            <w:pPr>
              <w:spacing w:line="480" w:lineRule="auto"/>
              <w:jc w:val="both"/>
              <w:rPr>
                <w:sz w:val="20"/>
                <w:szCs w:val="20"/>
              </w:rPr>
            </w:pPr>
            <w:r w:rsidRPr="61EF249A">
              <w:rPr>
                <w:sz w:val="20"/>
                <w:szCs w:val="20"/>
              </w:rPr>
              <w:t>Moderate arousal, as indicated by a moderate change in eye temperature would be associated with better performance (Yerkes – Dodson, 1908)</w:t>
            </w:r>
          </w:p>
        </w:tc>
      </w:tr>
    </w:tbl>
    <w:p w14:paraId="1829F508" w14:textId="77777777" w:rsidR="00696DDB" w:rsidRDefault="00696DDB" w:rsidP="00696DDB">
      <w:r>
        <w:br w:type="page"/>
      </w:r>
    </w:p>
    <w:p w14:paraId="3BE20127" w14:textId="77777777" w:rsidR="00E04DD2" w:rsidRDefault="00E04DD2"/>
    <w:sectPr w:rsidR="00E04DD2" w:rsidSect="00696DD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Ijichi, Carrie" w:date="2022-09-13T10:37:00Z" w:initials="IC">
    <w:p w14:paraId="1CA9F984" w14:textId="77777777" w:rsidR="00696DDB" w:rsidRDefault="00696DDB" w:rsidP="00696DDB">
      <w:pPr>
        <w:pStyle w:val="CommentText"/>
      </w:pPr>
      <w:r>
        <w:rPr>
          <w:rStyle w:val="CommentReference"/>
        </w:rPr>
        <w:annotationRef/>
      </w:r>
      <w:r>
        <w:t>This is great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CA9F984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6CADBE8" w16cex:dateUtc="2022-09-13T09:37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CA9F984" w16cid:durableId="26CADBE8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Ijichi, Carrie">
    <w15:presenceInfo w15:providerId="AD" w15:userId="S::carrie.ijichi@ntu.ac.uk::7c6817d9-2b6a-4f0b-829b-c5bdf73655de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6DDB"/>
    <w:rsid w:val="00696DDB"/>
    <w:rsid w:val="00E04D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3A6B01"/>
  <w15:chartTrackingRefBased/>
  <w15:docId w15:val="{FC20DD34-9A25-4AA8-9737-5AEC8ED86C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6DDB"/>
    <w:rPr>
      <w:rFonts w:eastAsiaTheme="minorHAnsi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696DD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96DD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96DDB"/>
    <w:rPr>
      <w:rFonts w:eastAsiaTheme="minorHAnsi"/>
      <w:sz w:val="20"/>
      <w:szCs w:val="20"/>
      <w:lang w:eastAsia="en-US"/>
    </w:rPr>
  </w:style>
  <w:style w:type="table" w:styleId="TableGrid">
    <w:name w:val="Table Grid"/>
    <w:basedOn w:val="TableNormal"/>
    <w:uiPriority w:val="39"/>
    <w:rsid w:val="00696DDB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microsoft.com/office/2018/08/relationships/commentsExtensible" Target="commentsExtensi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6/09/relationships/commentsIds" Target="commentsIds.xml"/><Relationship Id="rId5" Type="http://schemas.microsoft.com/office/2011/relationships/commentsExtended" Target="commentsExtended.xml"/><Relationship Id="rId10" Type="http://schemas.openxmlformats.org/officeDocument/2006/relationships/theme" Target="theme/theme1.xml"/><Relationship Id="rId4" Type="http://schemas.openxmlformats.org/officeDocument/2006/relationships/comments" Target="comments.xml"/><Relationship Id="rId9" Type="http://schemas.microsoft.com/office/2011/relationships/people" Target="peop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263</Words>
  <Characters>1503</Characters>
  <Application>Microsoft Office Word</Application>
  <DocSecurity>0</DocSecurity>
  <Lines>12</Lines>
  <Paragraphs>3</Paragraphs>
  <ScaleCrop>false</ScaleCrop>
  <Company/>
  <LinksUpToDate>false</LinksUpToDate>
  <CharactersWithSpaces>1763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Ijichi, Carrie</dc:creator>
  <cp:keywords/>
  <dc:description/>
  <cp:lastModifiedBy>Ijichi, Carrie</cp:lastModifiedBy>
  <cp:revision>1</cp:revision>
  <dcterms:created xsi:type="dcterms:W3CDTF">2022-10-11T12:47:00Z</dcterms:created>
  <dcterms:modified xsi:type="dcterms:W3CDTF">2022-10-11T12:48:00Z</dcterms:modified>
</cp:coreProperties>
</file>