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847F" w14:textId="77777777" w:rsidR="00820D5D" w:rsidRPr="00820D5D" w:rsidRDefault="00820D5D" w:rsidP="00820D5D">
      <w:pPr>
        <w:spacing w:after="0" w:line="48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20D5D">
        <w:rPr>
          <w:rFonts w:ascii="Arial" w:eastAsia="Times New Roman" w:hAnsi="Arial" w:cs="Arial"/>
          <w:b/>
          <w:bCs/>
          <w:color w:val="000000"/>
          <w:lang w:eastAsia="en-GB"/>
        </w:rPr>
        <w:t>Supplementary material</w:t>
      </w:r>
    </w:p>
    <w:p w14:paraId="2371AF96" w14:textId="73BA0718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42AF0CD8" w14:textId="1392B611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/>
          <w:color w:val="000000"/>
          <w:lang w:val="en-GB" w:eastAsia="en-GB"/>
        </w:rPr>
        <w:t>Contents</w:t>
      </w:r>
    </w:p>
    <w:p w14:paraId="7E5F619F" w14:textId="7D7F1941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List of collaborators</w:t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  <w:r>
        <w:rPr>
          <w:rFonts w:ascii="Arial" w:eastAsia="Times New Roman" w:hAnsi="Arial" w:cs="Arial"/>
          <w:bCs/>
          <w:color w:val="000000"/>
          <w:lang w:val="en-GB" w:eastAsia="en-GB"/>
        </w:rPr>
        <w:tab/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2</w:t>
      </w:r>
    </w:p>
    <w:p w14:paraId="150F42ED" w14:textId="77777777" w:rsidR="00820D5D" w:rsidRPr="00820D5D" w:rsidRDefault="00820D5D" w:rsidP="00820D5D">
      <w:pPr>
        <w:rPr>
          <w:rFonts w:ascii="Arial" w:eastAsia="Times New Roman" w:hAnsi="Arial" w:cs="Arial"/>
          <w:color w:val="000000"/>
          <w:lang w:eastAsia="en-GB"/>
        </w:rPr>
      </w:pPr>
    </w:p>
    <w:p w14:paraId="67787B26" w14:textId="1DE2DA0E" w:rsidR="00820D5D" w:rsidRPr="00820D5D" w:rsidRDefault="00820D5D" w:rsidP="00820D5D">
      <w:pPr>
        <w:rPr>
          <w:rFonts w:ascii="Arial" w:eastAsia="Times New Roman" w:hAnsi="Arial" w:cs="Arial"/>
          <w:color w:val="000000"/>
          <w:lang w:eastAsia="en-GB"/>
        </w:rPr>
      </w:pPr>
      <w:r w:rsidRPr="00820D5D">
        <w:rPr>
          <w:rFonts w:ascii="Arial" w:eastAsia="Times New Roman" w:hAnsi="Arial" w:cs="Arial"/>
          <w:color w:val="000000"/>
          <w:lang w:eastAsia="en-GB"/>
        </w:rPr>
        <w:t xml:space="preserve">Supplementary table 1: Detailed ISP treatments and </w:t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>3</w:t>
      </w:r>
    </w:p>
    <w:p w14:paraId="51F555CF" w14:textId="3748EC51" w:rsidR="00820D5D" w:rsidRPr="00820D5D" w:rsidRDefault="00820D5D" w:rsidP="00820D5D">
      <w:pPr>
        <w:rPr>
          <w:rFonts w:ascii="Arial" w:eastAsia="Times New Roman" w:hAnsi="Arial" w:cs="Arial"/>
          <w:color w:val="000000"/>
          <w:lang w:eastAsia="en-GB"/>
        </w:rPr>
      </w:pPr>
      <w:r w:rsidRPr="00820D5D">
        <w:rPr>
          <w:rFonts w:ascii="Arial" w:eastAsia="Times New Roman" w:hAnsi="Arial" w:cs="Arial"/>
          <w:color w:val="000000"/>
          <w:lang w:eastAsia="en-GB"/>
        </w:rPr>
        <w:t>seropositivity within specific ISP groups</w:t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  <w:r w:rsidRPr="00820D5D">
        <w:rPr>
          <w:rFonts w:ascii="Arial" w:eastAsia="Times New Roman" w:hAnsi="Arial" w:cs="Arial"/>
          <w:color w:val="000000"/>
          <w:lang w:eastAsia="en-GB"/>
        </w:rPr>
        <w:tab/>
      </w:r>
    </w:p>
    <w:p w14:paraId="315A057C" w14:textId="65913CBD" w:rsidR="00820D5D" w:rsidRPr="00820D5D" w:rsidRDefault="00820D5D" w:rsidP="00820D5D">
      <w:pPr>
        <w:rPr>
          <w:rFonts w:ascii="Arial" w:eastAsia="Times New Roman" w:hAnsi="Arial" w:cs="Arial"/>
          <w:color w:val="000000"/>
          <w:lang w:eastAsia="en-GB"/>
        </w:rPr>
      </w:pPr>
    </w:p>
    <w:p w14:paraId="7E722EEC" w14:textId="5AF3D249" w:rsidR="00820D5D" w:rsidRPr="00820D5D" w:rsidRDefault="00820D5D" w:rsidP="00820D5D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820D5D">
        <w:rPr>
          <w:rFonts w:ascii="Arial" w:eastAsia="Times New Roman" w:hAnsi="Arial" w:cs="Arial"/>
          <w:color w:val="000000"/>
          <w:lang w:eastAsia="en-GB"/>
        </w:rPr>
        <w:t xml:space="preserve">Supplementary figure 1 Effect of time since </w:t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  <w:t>5</w:t>
      </w:r>
    </w:p>
    <w:p w14:paraId="1C1A7687" w14:textId="01ACA494" w:rsidR="00820D5D" w:rsidRPr="00820D5D" w:rsidRDefault="00820D5D" w:rsidP="00820D5D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820D5D">
        <w:rPr>
          <w:rFonts w:ascii="Arial" w:eastAsia="Times New Roman" w:hAnsi="Arial" w:cs="Arial"/>
          <w:color w:val="000000"/>
          <w:lang w:eastAsia="en-GB"/>
        </w:rPr>
        <w:t>infection on seropositivity rate</w:t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  <w:r>
        <w:rPr>
          <w:rFonts w:ascii="Arial" w:eastAsia="Times New Roman" w:hAnsi="Arial" w:cs="Arial"/>
          <w:color w:val="000000"/>
          <w:lang w:eastAsia="en-GB"/>
        </w:rPr>
        <w:tab/>
      </w:r>
    </w:p>
    <w:p w14:paraId="0FD3FE92" w14:textId="77777777" w:rsidR="00820D5D" w:rsidRPr="00820D5D" w:rsidRDefault="00820D5D" w:rsidP="00820D5D">
      <w:pPr>
        <w:rPr>
          <w:rFonts w:ascii="Arial" w:eastAsia="Times New Roman" w:hAnsi="Arial" w:cs="Arial"/>
          <w:color w:val="000000"/>
          <w:lang w:eastAsia="en-GB"/>
        </w:rPr>
      </w:pPr>
    </w:p>
    <w:p w14:paraId="1A1102A7" w14:textId="77777777" w:rsidR="00820D5D" w:rsidRPr="00820D5D" w:rsidRDefault="00820D5D" w:rsidP="00820D5D">
      <w:pPr>
        <w:rPr>
          <w:rFonts w:ascii="Arial" w:eastAsia="Times New Roman" w:hAnsi="Arial" w:cs="Arial"/>
          <w:color w:val="000000"/>
          <w:lang w:val="en-GB" w:eastAsia="en-GB"/>
        </w:rPr>
      </w:pPr>
    </w:p>
    <w:p w14:paraId="086F3E78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05B4408F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55E19C40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2B2FB74D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3CF5671D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61B5AF94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16FA2460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105160C7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4FBFA9FA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27B36FE6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7248007D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0BB661A7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46354F01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4901634E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4B59FC05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131491F6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325F4685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6E644E04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5CC57893" w14:textId="7777777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18FD6801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</w:p>
    <w:p w14:paraId="50CFC890" w14:textId="56D73447" w:rsidR="00820D5D" w:rsidRPr="00820D5D" w:rsidRDefault="00820D5D" w:rsidP="00820D5D">
      <w:pPr>
        <w:rPr>
          <w:rFonts w:ascii="Arial" w:eastAsia="Times New Roman" w:hAnsi="Arial" w:cs="Arial"/>
          <w:b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/>
          <w:color w:val="000000"/>
          <w:lang w:val="en-GB" w:eastAsia="en-GB"/>
        </w:rPr>
        <w:lastRenderedPageBreak/>
        <w:t>List of collaborators </w:t>
      </w:r>
    </w:p>
    <w:p w14:paraId="4E4E20A4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Rivka de Jongh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, Amsterdam, The Netherlands </w:t>
      </w:r>
    </w:p>
    <w:p w14:paraId="264715BC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nl-NL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Carolien van de Sandt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, Amsterdam, The Netherlands </w:t>
      </w:r>
    </w:p>
    <w:p w14:paraId="1019A531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nl-NL" w:eastAsia="en-GB"/>
        </w:rPr>
      </w:pP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Lisan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 Kuijper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, Amsterdam, The Netherlands </w:t>
      </w:r>
    </w:p>
    <w:p w14:paraId="42E2FEC0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nl-NL" w:eastAsia="en-GB"/>
        </w:rPr>
      </w:pP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Mariel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 Duurland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, Amsterdam, The Netherlands </w:t>
      </w:r>
    </w:p>
    <w:p w14:paraId="1953DD33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nl-NL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Ruth Hagen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, Amsterdam, The Netherlands </w:t>
      </w:r>
    </w:p>
    <w:p w14:paraId="4159B203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nl-NL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Jet van den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Dijssel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 xml:space="preserve">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nl-NL" w:eastAsia="en-GB"/>
        </w:rPr>
        <w:t>, Amsterdam, The Netherlands </w:t>
      </w:r>
    </w:p>
    <w:p w14:paraId="290EF7AE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Christine Kreher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, Amsterdam, The Netherlands </w:t>
      </w:r>
    </w:p>
    <w:p w14:paraId="3E4098D7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Amelie Bos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, Amsterdam, The Netherlands </w:t>
      </w:r>
    </w:p>
    <w:p w14:paraId="4F3446A6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Veronique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Konijn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, Amsterdam, The Netherlands </w:t>
      </w:r>
    </w:p>
    <w:p w14:paraId="23872047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Viriginia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Palomares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 Cabeza -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Sanquin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, Amsterdam, The Netherlands </w:t>
      </w: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ab/>
      </w:r>
    </w:p>
    <w:p w14:paraId="11EE12B2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​​Sergey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Nejentsev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 - Amsterdam UMC, Amsterdam, The Netherlands</w:t>
      </w:r>
    </w:p>
    <w:p w14:paraId="754FF467" w14:textId="77777777" w:rsidR="00820D5D" w:rsidRPr="00820D5D" w:rsidRDefault="00820D5D" w:rsidP="00820D5D">
      <w:pPr>
        <w:rPr>
          <w:rFonts w:ascii="Arial" w:eastAsia="Times New Roman" w:hAnsi="Arial" w:cs="Arial"/>
          <w:bCs/>
          <w:color w:val="000000"/>
          <w:lang w:val="en-GB" w:eastAsia="en-GB"/>
        </w:rPr>
      </w:pPr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Elham </w:t>
      </w:r>
      <w:proofErr w:type="spellStart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>Mirfazeli</w:t>
      </w:r>
      <w:proofErr w:type="spellEnd"/>
      <w:r w:rsidRPr="00820D5D">
        <w:rPr>
          <w:rFonts w:ascii="Arial" w:eastAsia="Times New Roman" w:hAnsi="Arial" w:cs="Arial"/>
          <w:bCs/>
          <w:color w:val="000000"/>
          <w:lang w:val="en-GB" w:eastAsia="en-GB"/>
        </w:rPr>
        <w:t xml:space="preserve"> - Amsterdam UMC, Amsterdam, The Netherlands</w:t>
      </w:r>
    </w:p>
    <w:p w14:paraId="17600709" w14:textId="77777777" w:rsidR="00820D5D" w:rsidRPr="003A2914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E603B64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434D2F0C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00A267D7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6503EDDD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993E86A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6F5A659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67CC91E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02C26EE3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33C9F5DD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835BE44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265944A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55DA3B70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6930D32C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69BC67A9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A32351B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E4C9191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6831145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7E1E1968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528B58F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3EC38CF7" w14:textId="77777777" w:rsidR="00820D5D" w:rsidRDefault="00820D5D" w:rsidP="00820D5D">
      <w:pP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8222"/>
      </w:tblGrid>
      <w:tr w:rsidR="00820D5D" w:rsidRPr="003A2914" w14:paraId="6D776FB9" w14:textId="77777777" w:rsidTr="00974F7E">
        <w:trPr>
          <w:trHeight w:val="255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FB59F" w14:textId="77777777" w:rsidR="00820D5D" w:rsidRPr="003A2914" w:rsidRDefault="00820D5D" w:rsidP="00974F7E">
            <w:pPr>
              <w:spacing w:after="0" w:line="240" w:lineRule="auto"/>
              <w:rPr>
                <w:rFonts w:ascii="Arial" w:hAnsi="Arial" w:cs="Arial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Supplementary table 1: Detailed ISP treatments and seropositivity within specific ISP groups </w:t>
            </w:r>
          </w:p>
        </w:tc>
      </w:tr>
      <w:tr w:rsidR="00820D5D" w:rsidRPr="003A2914" w14:paraId="72484A38" w14:textId="77777777" w:rsidTr="00974F7E">
        <w:trPr>
          <w:trHeight w:val="255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5F9AE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Table showing detailed ISP treatment and seropositivity for participants in the specific ISP groups. </w:t>
            </w:r>
          </w:p>
        </w:tc>
      </w:tr>
    </w:tbl>
    <w:p w14:paraId="5A544785" w14:textId="77777777" w:rsidR="00820D5D" w:rsidRPr="003A2914" w:rsidRDefault="00820D5D" w:rsidP="00820D5D">
      <w:pPr>
        <w:rPr>
          <w:rFonts w:ascii="Arial" w:hAnsi="Arial" w:cs="Arial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622"/>
        <w:gridCol w:w="2622"/>
      </w:tblGrid>
      <w:tr w:rsidR="00820D5D" w:rsidRPr="003A2914" w14:paraId="5534EA9B" w14:textId="77777777" w:rsidTr="00974F7E">
        <w:trPr>
          <w:tblHeader/>
        </w:trPr>
        <w:tc>
          <w:tcPr>
            <w:tcW w:w="382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E4898D9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2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1CAD5F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Number (% of specific ISP group)</w:t>
            </w:r>
          </w:p>
        </w:tc>
        <w:tc>
          <w:tcPr>
            <w:tcW w:w="262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1340F1F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Seropositivity (n/N, %) </w:t>
            </w:r>
          </w:p>
        </w:tc>
      </w:tr>
      <w:tr w:rsidR="00820D5D" w:rsidRPr="003A2914" w14:paraId="27624B07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A192E0C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Anti-CD20 (N=14)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087838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8F1D5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820D5D" w:rsidRPr="003A2914" w14:paraId="7D5D3E87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0E50C6F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Anti-CD20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E1ABD5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 (64.3)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E833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3/6 (50.0)</w:t>
            </w:r>
          </w:p>
        </w:tc>
      </w:tr>
      <w:tr w:rsidR="00820D5D" w:rsidRPr="003A2914" w14:paraId="5FA5FBD2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D34C7E9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Anti-CD20, corticosteroids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CE6340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(14.3)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79AA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1/2 (50.0)</w:t>
            </w:r>
          </w:p>
        </w:tc>
      </w:tr>
      <w:tr w:rsidR="00820D5D" w:rsidRPr="003A2914" w14:paraId="04E390F4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DBA95BB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Anti-CD20, corticosteroids, immunoglobulin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A0F1D1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(7.1)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C0CCB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0/0 (0)</w:t>
            </w:r>
          </w:p>
        </w:tc>
      </w:tr>
      <w:tr w:rsidR="00820D5D" w:rsidRPr="003A2914" w14:paraId="0273D03F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93CA5E0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Anti-CD20, corticosteroids, methotrexate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6B455E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(7.1)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10685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0/1 (0)</w:t>
            </w:r>
          </w:p>
        </w:tc>
      </w:tr>
      <w:tr w:rsidR="00820D5D" w:rsidRPr="003A2914" w14:paraId="4B9324F0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008AFA5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Anti-CD20, methotrexate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8470D9B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(7.1)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1DAC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0/1 (0)</w:t>
            </w:r>
          </w:p>
        </w:tc>
      </w:tr>
      <w:tr w:rsidR="00820D5D" w:rsidRPr="003A2914" w14:paraId="67965A28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6FCF5CF" w14:textId="77777777" w:rsidR="00820D5D" w:rsidRPr="003A2914" w:rsidRDefault="00820D5D" w:rsidP="00974F7E">
            <w:pPr>
              <w:spacing w:after="0" w:line="240" w:lineRule="auto"/>
              <w:ind w:left="-15" w:hanging="142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Anti-TNF (N=49)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116EF240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5031E0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20D5D" w:rsidRPr="003A2914" w14:paraId="27936EC2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E0D8D12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TNF-alpha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38E9AB87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 (57.1)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6388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12/22 (54.5)</w:t>
            </w:r>
          </w:p>
        </w:tc>
      </w:tr>
      <w:tr w:rsidR="00820D5D" w:rsidRPr="003A2914" w14:paraId="2374296F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E0CC88A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TNF-alpha, corticosteroids, 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2B763B9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(2.0)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8C115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0/1 (0)</w:t>
            </w:r>
          </w:p>
        </w:tc>
      </w:tr>
      <w:tr w:rsidR="00820D5D" w:rsidRPr="003A2914" w14:paraId="4F455F81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A6642E5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TNF-alpha, DHODH inhibitor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00210E2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(2.0)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9BD07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0/1 (0)</w:t>
            </w:r>
          </w:p>
        </w:tc>
      </w:tr>
      <w:tr w:rsidR="00820D5D" w:rsidRPr="003A2914" w14:paraId="0A8FE446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36DB548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TNF-alpha, methotrexate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12D059E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 (20.4)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15EF73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5/7 (71.4)</w:t>
            </w:r>
          </w:p>
        </w:tc>
      </w:tr>
      <w:tr w:rsidR="00820D5D" w:rsidRPr="003A2914" w14:paraId="58B7FE49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D350E92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TNF-alpha, purine antagonist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077CD94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 (18.4)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80AED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6/7 (85.7)</w:t>
            </w:r>
          </w:p>
        </w:tc>
      </w:tr>
      <w:tr w:rsidR="00820D5D" w:rsidRPr="003A2914" w14:paraId="7AB34F84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25A32EB5" w14:textId="77777777" w:rsidR="00820D5D" w:rsidRPr="003A2914" w:rsidRDefault="00820D5D" w:rsidP="00974F7E">
            <w:pPr>
              <w:spacing w:after="0" w:line="240" w:lineRule="auto"/>
              <w:ind w:left="-1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Other ISP (N=130)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004396B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9D6D4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20D5D" w:rsidRPr="003A2914" w14:paraId="6565A1E3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BFE74A3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Belimumab, corticosteroids, mycophenolate mofetil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BCD6A73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9CAC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0/0 (0)</w:t>
            </w:r>
          </w:p>
        </w:tc>
      </w:tr>
      <w:tr w:rsidR="00820D5D" w:rsidRPr="003A2914" w14:paraId="24BF8A1E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0080FF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Calcineurin inhibitors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9616FF5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0E21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29F18120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32265FB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Calcineurin inhibitors, corticosteroids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9AF3A2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6E08F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0/0 (0)</w:t>
            </w:r>
          </w:p>
        </w:tc>
      </w:tr>
      <w:tr w:rsidR="00820D5D" w:rsidRPr="003A2914" w14:paraId="0B2E7637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0F384CA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Calcineurin inhibitors, dupilumab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939FCE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A7A9E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64928AC8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079C74B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ADF3B4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 (11.5)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1BAA7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5/5 (100)</w:t>
            </w:r>
          </w:p>
        </w:tc>
      </w:tr>
      <w:tr w:rsidR="00820D5D" w:rsidRPr="003A2914" w14:paraId="4CC6AC63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4E30CFF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immunoglobulin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5767384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A89D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218A2E8D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CD01D0A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immunoglobulin, methotrexate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6F708FC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08B3B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0/0 (0)</w:t>
            </w:r>
          </w:p>
        </w:tc>
      </w:tr>
      <w:tr w:rsidR="00820D5D" w:rsidRPr="003A2914" w14:paraId="3EDE885C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D28A213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methotrexate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ADE9E5A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DA84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30B14AD7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A220AF5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methotrexate, tocilizumab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70B5B8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33411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0/0 (0)</w:t>
            </w:r>
          </w:p>
        </w:tc>
      </w:tr>
      <w:tr w:rsidR="00820D5D" w:rsidRPr="003A2914" w14:paraId="21429919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C90EBB4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mycophenolate mofetil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EAF2ACF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(1.5)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A3FE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6E006815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2F82A8D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Corticosteroids, purine antagonist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5852E3A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(6.2)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B3A17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2/3 (66.6)</w:t>
            </w:r>
          </w:p>
        </w:tc>
      </w:tr>
      <w:tr w:rsidR="00820D5D" w:rsidRPr="003A2914" w14:paraId="00491A53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A5E4D8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DHODH inhibitor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748E5A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(1.5)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EC71A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0/1 (0)</w:t>
            </w:r>
          </w:p>
        </w:tc>
      </w:tr>
      <w:tr w:rsidR="00820D5D" w:rsidRPr="003A2914" w14:paraId="11544B7C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838885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Dimethylfumarate</w:t>
            </w:r>
            <w:proofErr w:type="spellEnd"/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41909CB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(6.2)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990CA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5/5 (100)</w:t>
            </w:r>
          </w:p>
        </w:tc>
      </w:tr>
      <w:tr w:rsidR="00820D5D" w:rsidRPr="003A2914" w14:paraId="40F1C039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9E08D11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Dupilumab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690A7C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 (8.5)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17EF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6/7 (85.7)</w:t>
            </w:r>
          </w:p>
        </w:tc>
      </w:tr>
      <w:tr w:rsidR="00820D5D" w:rsidRPr="003A2914" w14:paraId="3EB5A1B5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5681E68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Hydroxychloroquine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6632B23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 (6.9)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AAFC3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5/5 (100)</w:t>
            </w:r>
          </w:p>
        </w:tc>
      </w:tr>
      <w:tr w:rsidR="00820D5D" w:rsidRPr="003A2914" w14:paraId="65BCFD32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9097CBC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IL-17A antagonist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C032C4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6CD42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2A6A7CD8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E4A450E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Immunoglobulin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247D985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(4.6)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075F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2/2 (100)</w:t>
            </w:r>
          </w:p>
        </w:tc>
      </w:tr>
      <w:tr w:rsidR="00820D5D" w:rsidRPr="003A2914" w14:paraId="4E4C22F8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2442476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JAK inhibitor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B37B356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(2.3)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7B65F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2/2 (100)</w:t>
            </w:r>
          </w:p>
        </w:tc>
      </w:tr>
      <w:tr w:rsidR="00820D5D" w:rsidRPr="003A2914" w14:paraId="5C181491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9E6505F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Methotrexate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3A622E7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 (13.1)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5E251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12/12 (100)</w:t>
            </w:r>
          </w:p>
        </w:tc>
      </w:tr>
      <w:tr w:rsidR="00820D5D" w:rsidRPr="003A2914" w14:paraId="7D3D5FED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2D9E208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Methotrexate, vedolizumab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BC12134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388A1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6EF3493F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6960654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Mycophenolate mofetil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47D887A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(2.3)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9807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3/3 (100)</w:t>
            </w:r>
          </w:p>
        </w:tc>
      </w:tr>
      <w:tr w:rsidR="00820D5D" w:rsidRPr="003A2914" w14:paraId="425D422E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64DF02C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Natalizumab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7038C3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(6.2)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81292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3/4 (75)</w:t>
            </w:r>
          </w:p>
        </w:tc>
      </w:tr>
      <w:tr w:rsidR="00820D5D" w:rsidRPr="003A2914" w14:paraId="0B31C81C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EC0C212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Purine antagonist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3E1DA7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 (13.1)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714B2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8/9 (88.9)</w:t>
            </w:r>
          </w:p>
        </w:tc>
      </w:tr>
      <w:tr w:rsidR="00820D5D" w:rsidRPr="003A2914" w14:paraId="20F99D35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D68CAD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S1P-receptor modulator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4DF8CA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(2.3)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3F1A1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78C08E39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310CD80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Ustekinumab monotherapy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6A879C5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(3.1)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46558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2/2 (100)</w:t>
            </w:r>
          </w:p>
        </w:tc>
      </w:tr>
      <w:tr w:rsidR="00820D5D" w:rsidRPr="003A2914" w14:paraId="70A7F408" w14:textId="77777777" w:rsidTr="00974F7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E1D15D3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Ustekinumab, vedolizumab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CDAEF89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410D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  <w:tr w:rsidR="00820D5D" w:rsidRPr="003A2914" w14:paraId="5B036EEC" w14:textId="77777777" w:rsidTr="00974F7E">
        <w:tc>
          <w:tcPr>
            <w:tcW w:w="382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649B982" w14:textId="77777777" w:rsidR="00820D5D" w:rsidRPr="003A2914" w:rsidRDefault="00820D5D" w:rsidP="00974F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Vedolizumab monotherapy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55EB1EE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(2.3)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1CDCBB20" w14:textId="77777777" w:rsidR="00820D5D" w:rsidRPr="003A2914" w:rsidRDefault="00820D5D" w:rsidP="00974F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A29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1/1 (100)</w:t>
            </w:r>
          </w:p>
        </w:tc>
      </w:tr>
    </w:tbl>
    <w:p w14:paraId="2DC34BB2" w14:textId="77777777" w:rsidR="00820D5D" w:rsidRPr="003A2914" w:rsidRDefault="00820D5D" w:rsidP="00820D5D">
      <w:pPr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3A291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DHODH: dihydroorotate dehydrogenase; IL: interleukin; IMID: immune-mediated inflammatory disease; ISP: immunosuppressant; JAK: </w:t>
      </w:r>
      <w:proofErr w:type="spellStart"/>
      <w:r w:rsidRPr="003A291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janus</w:t>
      </w:r>
      <w:proofErr w:type="spellEnd"/>
      <w:r w:rsidRPr="003A291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kinase; S1P: sphingosine 1-phosphate; TNF: tumor necrosis factor.</w:t>
      </w:r>
    </w:p>
    <w:p w14:paraId="383BBE16" w14:textId="77777777" w:rsidR="00820D5D" w:rsidRPr="003A2914" w:rsidRDefault="00820D5D" w:rsidP="00820D5D">
      <w:pPr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6F82456" w14:textId="77777777" w:rsidR="00820D5D" w:rsidRPr="003A2914" w:rsidRDefault="00820D5D" w:rsidP="00820D5D">
      <w:pPr>
        <w:spacing w:after="0" w:line="480" w:lineRule="auto"/>
        <w:rPr>
          <w:rFonts w:ascii="Arial" w:eastAsia="Times New Roman" w:hAnsi="Arial" w:cs="Arial"/>
          <w:color w:val="000000"/>
          <w:u w:val="single"/>
          <w:lang w:eastAsia="en-GB"/>
        </w:rPr>
      </w:pPr>
    </w:p>
    <w:p w14:paraId="5896E8FB" w14:textId="77777777" w:rsidR="00820D5D" w:rsidRPr="003A2914" w:rsidRDefault="00820D5D" w:rsidP="00820D5D">
      <w:pPr>
        <w:rPr>
          <w:rFonts w:ascii="Arial" w:hAnsi="Arial" w:cs="Arial"/>
          <w:b/>
        </w:rPr>
      </w:pPr>
    </w:p>
    <w:p w14:paraId="3074DB0C" w14:textId="77777777" w:rsidR="00820D5D" w:rsidRPr="003A2914" w:rsidRDefault="00820D5D" w:rsidP="00820D5D">
      <w:pPr>
        <w:spacing w:line="480" w:lineRule="auto"/>
        <w:rPr>
          <w:rFonts w:ascii="Arial" w:hAnsi="Arial" w:cs="Arial"/>
        </w:rPr>
      </w:pPr>
    </w:p>
    <w:p w14:paraId="69768FCC" w14:textId="5A919FA8" w:rsidR="00820D5D" w:rsidRDefault="00820D5D"/>
    <w:p w14:paraId="1FA6E48C" w14:textId="609A93A4" w:rsidR="00820D5D" w:rsidRDefault="00820D5D"/>
    <w:p w14:paraId="251EF10B" w14:textId="2F11ED24" w:rsidR="00820D5D" w:rsidRDefault="00820D5D"/>
    <w:p w14:paraId="5DC3561E" w14:textId="29CBA726" w:rsidR="00820D5D" w:rsidRDefault="00820D5D"/>
    <w:p w14:paraId="04D82603" w14:textId="73370652" w:rsidR="00820D5D" w:rsidRDefault="00820D5D"/>
    <w:p w14:paraId="20FA71B3" w14:textId="42E8A7E2" w:rsidR="00820D5D" w:rsidRDefault="00820D5D"/>
    <w:p w14:paraId="727D6A5B" w14:textId="50661C6B" w:rsidR="00820D5D" w:rsidRDefault="00820D5D"/>
    <w:p w14:paraId="785D1C58" w14:textId="27155641" w:rsidR="00820D5D" w:rsidRDefault="00820D5D"/>
    <w:p w14:paraId="789ABFDF" w14:textId="63BFBA0E" w:rsidR="00820D5D" w:rsidRDefault="00820D5D"/>
    <w:p w14:paraId="4D51A897" w14:textId="50BD8C36" w:rsidR="00820D5D" w:rsidRDefault="00820D5D"/>
    <w:p w14:paraId="12B8C7EA" w14:textId="55DA1CBF" w:rsidR="00820D5D" w:rsidRDefault="00820D5D"/>
    <w:p w14:paraId="2B8DA2D4" w14:textId="73AC77E1" w:rsidR="00820D5D" w:rsidRDefault="00820D5D"/>
    <w:p w14:paraId="3A7FDCEA" w14:textId="564ABF51" w:rsidR="00820D5D" w:rsidRDefault="00820D5D"/>
    <w:p w14:paraId="0C9A7D1E" w14:textId="1DBE9096" w:rsidR="00820D5D" w:rsidRDefault="00820D5D"/>
    <w:p w14:paraId="2519F7C7" w14:textId="77777777" w:rsidR="00820D5D" w:rsidRDefault="00820D5D" w:rsidP="00820D5D">
      <w:pPr>
        <w:spacing w:after="0" w:line="480" w:lineRule="auto"/>
      </w:pPr>
    </w:p>
    <w:p w14:paraId="7AFBA2EF" w14:textId="4C8BAA88" w:rsidR="00820D5D" w:rsidRPr="00820D5D" w:rsidRDefault="00820D5D" w:rsidP="00820D5D">
      <w:pPr>
        <w:spacing w:after="0" w:line="48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20D5D"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>Supplementary figure 1 Effect of time since infection on seropositivity rate</w:t>
      </w:r>
    </w:p>
    <w:p w14:paraId="2AD6182B" w14:textId="6DB0EFAA" w:rsidR="00820D5D" w:rsidRDefault="00820D5D" w:rsidP="00820D5D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 w:rsidRPr="003A2914">
        <w:rPr>
          <w:rFonts w:ascii="Arial" w:eastAsia="Times New Roman" w:hAnsi="Arial" w:cs="Arial"/>
          <w:color w:val="000000"/>
          <w:lang w:eastAsia="en-GB"/>
        </w:rPr>
        <w:t>Seropositivity percentages of analyzed samples with corresponding 95% CI’s for (PCR and/or antigen proven) SARS-CoV-2 infection occurring 0-6 or &gt;6 months prior to sampling for patients with anti-TNF, other ISP, no ISP and healthy controls.</w:t>
      </w:r>
    </w:p>
    <w:p w14:paraId="6220B452" w14:textId="1FB118E0" w:rsidR="00820D5D" w:rsidRDefault="00817731" w:rsidP="00820D5D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noProof/>
          <w:color w:val="000000"/>
          <w:lang w:eastAsia="en-GB"/>
        </w:rPr>
        <w:drawing>
          <wp:inline distT="0" distB="0" distL="0" distR="0" wp14:anchorId="68140D7C" wp14:editId="51AE853A">
            <wp:extent cx="5452653" cy="4421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5" t="3677" b="42078"/>
                    <a:stretch/>
                  </pic:blipFill>
                  <pic:spPr bwMode="auto">
                    <a:xfrm>
                      <a:off x="0" y="0"/>
                      <a:ext cx="5453381" cy="442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C1110" w14:textId="751F5C86" w:rsidR="00EC7A71" w:rsidRPr="003A2914" w:rsidRDefault="00EC7A71" w:rsidP="00820D5D">
      <w:pPr>
        <w:spacing w:after="0" w:line="48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CI: confidence interval; ISP: immunosuppressants; PCR: polymerase chain reaction; TNF: tumor necrosis factor</w:t>
      </w:r>
    </w:p>
    <w:p w14:paraId="6EE21E87" w14:textId="77777777" w:rsidR="00820D5D" w:rsidRPr="003A2914" w:rsidRDefault="00820D5D" w:rsidP="00820D5D">
      <w:pPr>
        <w:spacing w:after="0" w:line="480" w:lineRule="auto"/>
        <w:rPr>
          <w:rFonts w:ascii="Arial" w:eastAsia="Times New Roman" w:hAnsi="Arial" w:cs="Arial"/>
          <w:lang w:eastAsia="en-GB"/>
        </w:rPr>
      </w:pPr>
    </w:p>
    <w:p w14:paraId="097C2748" w14:textId="77777777" w:rsidR="00820D5D" w:rsidRDefault="00820D5D"/>
    <w:sectPr w:rsidR="00820D5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3F57" w14:textId="77777777" w:rsidR="00D9004B" w:rsidRDefault="00D9004B">
      <w:pPr>
        <w:spacing w:after="0" w:line="240" w:lineRule="auto"/>
      </w:pPr>
      <w:r>
        <w:separator/>
      </w:r>
    </w:p>
  </w:endnote>
  <w:endnote w:type="continuationSeparator" w:id="0">
    <w:p w14:paraId="2D6905C5" w14:textId="77777777" w:rsidR="00D9004B" w:rsidRDefault="00D9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9202482"/>
      <w:docPartObj>
        <w:docPartGallery w:val="Page Numbers (Bottom of Page)"/>
        <w:docPartUnique/>
      </w:docPartObj>
    </w:sdtPr>
    <w:sdtContent>
      <w:p w14:paraId="0E042A7D" w14:textId="77777777" w:rsidR="002F18D1" w:rsidRDefault="00000000" w:rsidP="001D4A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DEA9B1" w14:textId="77777777" w:rsidR="002F18D1" w:rsidRDefault="00000000" w:rsidP="002F18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7005419"/>
      <w:docPartObj>
        <w:docPartGallery w:val="Page Numbers (Bottom of Page)"/>
        <w:docPartUnique/>
      </w:docPartObj>
    </w:sdtPr>
    <w:sdtContent>
      <w:p w14:paraId="4B3A509A" w14:textId="77777777" w:rsidR="002F18D1" w:rsidRDefault="00000000" w:rsidP="001D4A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32F492" w14:textId="77777777" w:rsidR="002F18D1" w:rsidRDefault="00000000" w:rsidP="002F18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6AC1A" w14:textId="77777777" w:rsidR="00D9004B" w:rsidRDefault="00D9004B">
      <w:pPr>
        <w:spacing w:after="0" w:line="240" w:lineRule="auto"/>
      </w:pPr>
      <w:r>
        <w:separator/>
      </w:r>
    </w:p>
  </w:footnote>
  <w:footnote w:type="continuationSeparator" w:id="0">
    <w:p w14:paraId="334F6C41" w14:textId="77777777" w:rsidR="00D9004B" w:rsidRDefault="00D90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5D"/>
    <w:rsid w:val="004671F4"/>
    <w:rsid w:val="00596653"/>
    <w:rsid w:val="00763710"/>
    <w:rsid w:val="00817731"/>
    <w:rsid w:val="00820D5D"/>
    <w:rsid w:val="008508F2"/>
    <w:rsid w:val="00AF766B"/>
    <w:rsid w:val="00D9004B"/>
    <w:rsid w:val="00EC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C0F110"/>
  <w15:chartTrackingRefBased/>
  <w15:docId w15:val="{DA520AEE-7D09-0D48-B4E6-0A865515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D5D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0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D5D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20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Dam, P.J. van (Koos)</dc:creator>
  <cp:keywords/>
  <dc:description/>
  <cp:lastModifiedBy>Dam, P.J. van (Koos)</cp:lastModifiedBy>
  <cp:revision>5</cp:revision>
  <dcterms:created xsi:type="dcterms:W3CDTF">2022-10-14T11:59:00Z</dcterms:created>
  <dcterms:modified xsi:type="dcterms:W3CDTF">2022-10-18T11:31:00Z</dcterms:modified>
</cp:coreProperties>
</file>