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84EA1" w14:textId="77777777" w:rsidR="00392487" w:rsidRPr="00852D1F" w:rsidRDefault="00392487" w:rsidP="00E44BA0">
      <w:pPr>
        <w:spacing w:line="480" w:lineRule="auto"/>
        <w:jc w:val="both"/>
        <w:rPr>
          <w:b/>
          <w:sz w:val="28"/>
          <w:lang w:val="en-US"/>
        </w:rPr>
      </w:pPr>
      <w:bookmarkStart w:id="0" w:name="_GoBack"/>
      <w:bookmarkEnd w:id="0"/>
      <w:r w:rsidRPr="00852D1F">
        <w:rPr>
          <w:b/>
          <w:sz w:val="28"/>
          <w:lang w:val="en-US"/>
        </w:rPr>
        <w:t>Supplemental data:</w:t>
      </w:r>
    </w:p>
    <w:p w14:paraId="57DD46D0" w14:textId="77777777" w:rsidR="00392487" w:rsidRDefault="00392487" w:rsidP="00E44BA0">
      <w:pPr>
        <w:spacing w:line="480" w:lineRule="auto"/>
        <w:rPr>
          <w:sz w:val="24"/>
          <w:lang w:val="en-US"/>
        </w:rPr>
      </w:pPr>
      <w:r w:rsidRPr="00305A45">
        <w:rPr>
          <w:sz w:val="24"/>
          <w:lang w:val="en-US"/>
        </w:rPr>
        <w:t xml:space="preserve">Supplemental </w:t>
      </w:r>
      <w:r>
        <w:rPr>
          <w:sz w:val="24"/>
          <w:lang w:val="en-US"/>
        </w:rPr>
        <w:t xml:space="preserve">material &amp; </w:t>
      </w:r>
      <w:r w:rsidRPr="00305A45">
        <w:rPr>
          <w:sz w:val="24"/>
          <w:lang w:val="en-US"/>
        </w:rPr>
        <w:t>methods:</w:t>
      </w:r>
    </w:p>
    <w:p w14:paraId="5EF276FF" w14:textId="77777777" w:rsidR="00392487" w:rsidRDefault="00392487" w:rsidP="00E44BA0">
      <w:pPr>
        <w:spacing w:line="480" w:lineRule="auto"/>
        <w:rPr>
          <w:sz w:val="24"/>
          <w:lang w:val="en-US"/>
        </w:rPr>
      </w:pPr>
      <w:r>
        <w:rPr>
          <w:sz w:val="24"/>
          <w:lang w:val="en-US"/>
        </w:rPr>
        <w:t>Samples &amp; ethics:</w:t>
      </w:r>
    </w:p>
    <w:p w14:paraId="16CC01E3" w14:textId="445C9FD9" w:rsidR="00392487" w:rsidRPr="007A0950" w:rsidRDefault="00392487" w:rsidP="00E44BA0">
      <w:pPr>
        <w:spacing w:line="480" w:lineRule="auto"/>
        <w:jc w:val="both"/>
        <w:rPr>
          <w:lang w:val="en-US"/>
        </w:rPr>
      </w:pPr>
      <w:r w:rsidRPr="007A0950">
        <w:rPr>
          <w:lang w:val="en-US"/>
        </w:rPr>
        <w:t>Blood samples were collected on EDTA tubes for leucocytes DNA analysis and on</w:t>
      </w:r>
      <w:r>
        <w:rPr>
          <w:lang w:val="en-US"/>
        </w:rPr>
        <w:t xml:space="preserve"> PAXgene-Blood RNA Tubes for RNA</w:t>
      </w:r>
      <w:r w:rsidRPr="007A0950">
        <w:rPr>
          <w:lang w:val="en-US"/>
        </w:rPr>
        <w:t xml:space="preserve">seq. DNA extractions were performed using QIAsymphony SPTM device </w:t>
      </w:r>
      <w:r w:rsidR="00E44BA0">
        <w:rPr>
          <w:lang w:val="en-US"/>
        </w:rPr>
        <w:t>(</w:t>
      </w:r>
      <w:r w:rsidR="00E44BA0" w:rsidRPr="00E44BA0">
        <w:rPr>
          <w:lang w:val="en-US"/>
        </w:rPr>
        <w:t>Qiagen, Hilden, Germany</w:t>
      </w:r>
      <w:r w:rsidR="00E44BA0">
        <w:rPr>
          <w:lang w:val="en-US"/>
        </w:rPr>
        <w:t>)</w:t>
      </w:r>
      <w:r w:rsidR="00E44BA0" w:rsidRPr="00E44BA0">
        <w:rPr>
          <w:lang w:val="en-US"/>
        </w:rPr>
        <w:t xml:space="preserve"> </w:t>
      </w:r>
      <w:r w:rsidRPr="007A0950">
        <w:rPr>
          <w:lang w:val="en-US"/>
        </w:rPr>
        <w:t>according to the manufacturer’s instructions. RNA was extracted from PAXgene blood samples with the Maxwell device from Promega</w:t>
      </w:r>
      <w:r w:rsidR="006437CF">
        <w:rPr>
          <w:lang w:val="en-US"/>
        </w:rPr>
        <w:t xml:space="preserve"> (</w:t>
      </w:r>
      <w:r w:rsidR="006437CF" w:rsidRPr="006437CF">
        <w:rPr>
          <w:lang w:val="en-US"/>
        </w:rPr>
        <w:t>Promega Corporation</w:t>
      </w:r>
      <w:r w:rsidR="006437CF">
        <w:rPr>
          <w:lang w:val="en-US"/>
        </w:rPr>
        <w:t>,</w:t>
      </w:r>
      <w:r w:rsidR="006437CF" w:rsidRPr="006437CF">
        <w:rPr>
          <w:lang w:val="en-US"/>
        </w:rPr>
        <w:t xml:space="preserve"> Madison, Wisconsin, United States</w:t>
      </w:r>
      <w:r w:rsidR="006437CF">
        <w:rPr>
          <w:lang w:val="en-US"/>
        </w:rPr>
        <w:t>)</w:t>
      </w:r>
      <w:r w:rsidRPr="007A0950">
        <w:rPr>
          <w:lang w:val="en-US"/>
        </w:rPr>
        <w:t xml:space="preserve">, according to </w:t>
      </w:r>
      <w:r>
        <w:rPr>
          <w:lang w:val="en-US"/>
        </w:rPr>
        <w:t>the manufacturer’s instructions.</w:t>
      </w:r>
      <w:r>
        <w:rPr>
          <w:lang w:val="en-US"/>
        </w:rPr>
        <w:tab/>
      </w:r>
      <w:r>
        <w:rPr>
          <w:lang w:val="en-US"/>
        </w:rPr>
        <w:br/>
      </w:r>
      <w:r w:rsidRPr="007A0950">
        <w:rPr>
          <w:lang w:val="en-US"/>
        </w:rPr>
        <w:t>Written informed consent for genetic analysis was obtained from the parents for clinical testing and research use.</w:t>
      </w:r>
    </w:p>
    <w:p w14:paraId="2B710E80" w14:textId="77777777" w:rsidR="00392487" w:rsidRPr="001662BE" w:rsidRDefault="00392487" w:rsidP="00E44BA0">
      <w:pPr>
        <w:spacing w:line="480" w:lineRule="auto"/>
        <w:rPr>
          <w:lang w:val="en-US"/>
        </w:rPr>
      </w:pPr>
      <w:r w:rsidRPr="001662BE">
        <w:rPr>
          <w:lang w:val="en-US"/>
        </w:rPr>
        <w:t>Sanger sequencing</w:t>
      </w:r>
      <w:r>
        <w:rPr>
          <w:lang w:val="en-US"/>
        </w:rPr>
        <w:t>:</w:t>
      </w:r>
    </w:p>
    <w:p w14:paraId="098CB969" w14:textId="6C83C571" w:rsidR="00E44BA0" w:rsidRDefault="00392487" w:rsidP="00970716">
      <w:pPr>
        <w:spacing w:line="480" w:lineRule="auto"/>
        <w:ind w:firstLine="708"/>
        <w:jc w:val="both"/>
        <w:rPr>
          <w:lang w:val="en-US"/>
        </w:rPr>
      </w:pPr>
      <w:r w:rsidRPr="001662BE">
        <w:rPr>
          <w:lang w:val="en-US"/>
        </w:rPr>
        <w:t>PCR duplex was performed</w:t>
      </w:r>
      <w:r>
        <w:rPr>
          <w:lang w:val="en-US"/>
        </w:rPr>
        <w:t xml:space="preserve"> on the proband and her healthy parents</w:t>
      </w:r>
      <w:r w:rsidRPr="001662BE">
        <w:rPr>
          <w:lang w:val="en-US"/>
        </w:rPr>
        <w:t xml:space="preserve">. </w:t>
      </w:r>
      <w:r w:rsidR="00FB529F">
        <w:rPr>
          <w:lang w:val="en-US"/>
        </w:rPr>
        <w:t xml:space="preserve">The mane select transcript </w:t>
      </w:r>
      <w:r w:rsidR="00FB529F" w:rsidRPr="00FB529F">
        <w:rPr>
          <w:rFonts w:cstheme="minorHAnsi"/>
          <w:color w:val="000000"/>
          <w:lang w:val="en-US"/>
        </w:rPr>
        <w:t>NM_001282531.3</w:t>
      </w:r>
      <w:r w:rsidR="00FB529F">
        <w:rPr>
          <w:rFonts w:cstheme="minorHAnsi"/>
          <w:color w:val="000000"/>
          <w:shd w:val="clear" w:color="auto" w:fill="FFFFFF"/>
          <w:lang w:val="en-US"/>
        </w:rPr>
        <w:t xml:space="preserve"> was consider as reference. </w:t>
      </w:r>
      <w:r w:rsidRPr="001662BE">
        <w:rPr>
          <w:lang w:val="en-US"/>
        </w:rPr>
        <w:t>Template sequences were obtained using the Alamut software</w:t>
      </w:r>
      <w:r>
        <w:rPr>
          <w:lang w:val="en-US"/>
        </w:rPr>
        <w:t xml:space="preserve"> (</w:t>
      </w:r>
      <w:r w:rsidRPr="00770E36">
        <w:rPr>
          <w:lang w:val="en-US"/>
        </w:rPr>
        <w:t>Interactive Biosoftware, Rouen, France</w:t>
      </w:r>
      <w:r>
        <w:rPr>
          <w:lang w:val="en-US"/>
        </w:rPr>
        <w:t>)</w:t>
      </w:r>
      <w:r w:rsidRPr="001662BE">
        <w:rPr>
          <w:lang w:val="en-US"/>
        </w:rPr>
        <w:t xml:space="preserve"> and primers were designated u</w:t>
      </w:r>
      <w:r>
        <w:rPr>
          <w:lang w:val="en-US"/>
        </w:rPr>
        <w:t xml:space="preserve">sing NCBI tool Primer-BLAST </w:t>
      </w:r>
      <w:r w:rsidRPr="001662BE">
        <w:rPr>
          <w:lang w:val="en-US"/>
        </w:rPr>
        <w:t>(</w:t>
      </w:r>
      <w:r w:rsidRPr="00EC3C1B">
        <w:rPr>
          <w:lang w:val="en-US"/>
        </w:rPr>
        <w:t>https://www.ncbi.nlm.nih.gov/tools/primer-blast/</w:t>
      </w:r>
      <w:r w:rsidRPr="001662BE">
        <w:rPr>
          <w:lang w:val="en-US"/>
        </w:rPr>
        <w:t xml:space="preserve">). </w:t>
      </w:r>
      <w:r w:rsidRPr="00B433D6">
        <w:rPr>
          <w:lang w:val="en-US"/>
        </w:rPr>
        <w:t>The primers were designated on the area of the breakpoint g.49525309</w:t>
      </w:r>
      <w:r>
        <w:rPr>
          <w:lang w:val="en-US"/>
        </w:rPr>
        <w:t xml:space="preserve"> (hg19)</w:t>
      </w:r>
      <w:r w:rsidRPr="00B433D6">
        <w:rPr>
          <w:lang w:val="en-US"/>
        </w:rPr>
        <w:t xml:space="preserve"> with one primer common to the WT</w:t>
      </w:r>
      <w:r>
        <w:rPr>
          <w:lang w:val="en-US"/>
        </w:rPr>
        <w:t xml:space="preserve"> and post-</w:t>
      </w:r>
      <w:r w:rsidRPr="00B433D6">
        <w:rPr>
          <w:lang w:val="en-US"/>
        </w:rPr>
        <w:t xml:space="preserve">inversion sequence </w:t>
      </w:r>
      <w:r>
        <w:rPr>
          <w:lang w:val="en-US"/>
        </w:rPr>
        <w:t xml:space="preserve">(primer F), </w:t>
      </w:r>
      <w:r w:rsidRPr="00B433D6">
        <w:rPr>
          <w:lang w:val="en-US"/>
        </w:rPr>
        <w:t xml:space="preserve">another one specific of the wildtype </w:t>
      </w:r>
      <w:r>
        <w:rPr>
          <w:lang w:val="en-US"/>
        </w:rPr>
        <w:t>sequence (primer R1</w:t>
      </w:r>
      <w:r w:rsidRPr="00BC0214">
        <w:rPr>
          <w:lang w:val="en-US"/>
        </w:rPr>
        <w:t>) and</w:t>
      </w:r>
      <w:r w:rsidRPr="00B433D6">
        <w:rPr>
          <w:lang w:val="en-US"/>
        </w:rPr>
        <w:t xml:space="preserve"> a last one specific</w:t>
      </w:r>
      <w:r>
        <w:rPr>
          <w:lang w:val="en-US"/>
        </w:rPr>
        <w:t xml:space="preserve"> </w:t>
      </w:r>
      <w:r w:rsidRPr="00B433D6">
        <w:rPr>
          <w:lang w:val="en-US"/>
        </w:rPr>
        <w:t>of the inverted sequence</w:t>
      </w:r>
      <w:r>
        <w:rPr>
          <w:lang w:val="en-US"/>
        </w:rPr>
        <w:t xml:space="preserve"> (primer R2</w:t>
      </w:r>
      <w:r w:rsidRPr="004450C8">
        <w:rPr>
          <w:lang w:val="en-US"/>
        </w:rPr>
        <w:t>).</w:t>
      </w:r>
      <w:r>
        <w:rPr>
          <w:lang w:val="en-US"/>
        </w:rPr>
        <w:t xml:space="preserve"> The expected size of the product post-inversion is 441 bp and 596 bp for the WT product. </w:t>
      </w:r>
      <w:r>
        <w:rPr>
          <w:lang w:val="en-US"/>
        </w:rPr>
        <w:tab/>
      </w:r>
      <w:r>
        <w:rPr>
          <w:lang w:val="en-US"/>
        </w:rPr>
        <w:br/>
      </w:r>
      <w:r w:rsidRPr="001662BE">
        <w:rPr>
          <w:lang w:val="en-US"/>
        </w:rPr>
        <w:t xml:space="preserve">Amplification products were visualized using </w:t>
      </w:r>
      <w:r>
        <w:rPr>
          <w:lang w:val="en-US"/>
        </w:rPr>
        <w:t>the Agilent</w:t>
      </w:r>
      <w:r w:rsidR="009540DA">
        <w:rPr>
          <w:lang w:val="en-US"/>
        </w:rPr>
        <w:t xml:space="preserve"> (</w:t>
      </w:r>
      <w:r w:rsidR="009540DA" w:rsidRPr="009540DA">
        <w:rPr>
          <w:lang w:val="en-US"/>
        </w:rPr>
        <w:t>Agilent Technologies Inc., Santa Clara, C</w:t>
      </w:r>
      <w:r w:rsidR="009540DA">
        <w:rPr>
          <w:lang w:val="en-US"/>
        </w:rPr>
        <w:t>alifornia, United States)</w:t>
      </w:r>
      <w:r>
        <w:rPr>
          <w:lang w:val="en-US"/>
        </w:rPr>
        <w:t xml:space="preserve"> </w:t>
      </w:r>
      <w:r w:rsidRPr="001662BE">
        <w:rPr>
          <w:lang w:val="en-US"/>
        </w:rPr>
        <w:t xml:space="preserve">TapeStation </w:t>
      </w:r>
      <w:r>
        <w:rPr>
          <w:lang w:val="en-US"/>
        </w:rPr>
        <w:t>4200 system (figure S1)</w:t>
      </w:r>
      <w:r w:rsidRPr="001662BE">
        <w:rPr>
          <w:lang w:val="en-US"/>
        </w:rPr>
        <w:t>.</w:t>
      </w:r>
      <w:r w:rsidR="009540DA">
        <w:rPr>
          <w:lang w:val="en-US"/>
        </w:rPr>
        <w:t xml:space="preserve"> </w:t>
      </w:r>
      <w:r>
        <w:rPr>
          <w:lang w:val="en-US"/>
        </w:rPr>
        <w:t>PCR products</w:t>
      </w:r>
      <w:r w:rsidRPr="001662BE">
        <w:rPr>
          <w:lang w:val="en-US"/>
        </w:rPr>
        <w:t xml:space="preserve"> were sequenced by Sanger sequencing using Big Dye Terminator chemistry </w:t>
      </w:r>
      <w:r>
        <w:rPr>
          <w:lang w:val="en-US"/>
        </w:rPr>
        <w:t>and an ABI35</w:t>
      </w:r>
      <w:r w:rsidRPr="00726D53">
        <w:rPr>
          <w:lang w:val="en-US"/>
        </w:rPr>
        <w:t>00</w:t>
      </w:r>
      <w:r>
        <w:rPr>
          <w:lang w:val="en-US"/>
        </w:rPr>
        <w:t>XL</w:t>
      </w:r>
      <w:r w:rsidRPr="00726D53">
        <w:rPr>
          <w:lang w:val="en-US"/>
        </w:rPr>
        <w:t xml:space="preserve"> Capillary Array Sequencer (Applied Biosystems</w:t>
      </w:r>
      <w:r w:rsidR="00970716">
        <w:rPr>
          <w:lang w:val="en-US"/>
        </w:rPr>
        <w:t xml:space="preserve">, </w:t>
      </w:r>
      <w:r w:rsidR="00970716" w:rsidRPr="00970716">
        <w:rPr>
          <w:lang w:val="en-US"/>
        </w:rPr>
        <w:t>Waltham</w:t>
      </w:r>
      <w:r w:rsidR="00970716">
        <w:rPr>
          <w:lang w:val="en-US"/>
        </w:rPr>
        <w:t xml:space="preserve">, </w:t>
      </w:r>
      <w:r w:rsidR="00970716" w:rsidRPr="00970716">
        <w:rPr>
          <w:lang w:val="en-US"/>
        </w:rPr>
        <w:t>Massachusetts</w:t>
      </w:r>
      <w:r w:rsidR="00970716">
        <w:rPr>
          <w:lang w:val="en-US"/>
        </w:rPr>
        <w:t>,</w:t>
      </w:r>
      <w:r w:rsidR="00970716" w:rsidRPr="00970716">
        <w:rPr>
          <w:lang w:val="en-US"/>
        </w:rPr>
        <w:t xml:space="preserve"> </w:t>
      </w:r>
      <w:r w:rsidR="00970716">
        <w:rPr>
          <w:lang w:val="en-US"/>
        </w:rPr>
        <w:t>United States</w:t>
      </w:r>
      <w:r w:rsidRPr="00726D53">
        <w:rPr>
          <w:lang w:val="en-US"/>
        </w:rPr>
        <w:t xml:space="preserve">). </w:t>
      </w:r>
      <w:r>
        <w:rPr>
          <w:lang w:val="en-US"/>
        </w:rPr>
        <w:t xml:space="preserve">Primers specific to the inverted (Primer </w:t>
      </w:r>
      <w:r>
        <w:rPr>
          <w:lang w:val="en-US"/>
        </w:rPr>
        <w:lastRenderedPageBreak/>
        <w:t>R2) and WT sequence (Primer R1) were used and s</w:t>
      </w:r>
      <w:r w:rsidRPr="00726D53">
        <w:rPr>
          <w:lang w:val="en-US"/>
        </w:rPr>
        <w:t xml:space="preserve">equences </w:t>
      </w:r>
      <w:r>
        <w:rPr>
          <w:lang w:val="en-US"/>
        </w:rPr>
        <w:t>were analyzed with the</w:t>
      </w:r>
      <w:r w:rsidRPr="00C8221C">
        <w:rPr>
          <w:lang w:val="en-US"/>
        </w:rPr>
        <w:t xml:space="preserve"> SnapGene</w:t>
      </w:r>
      <w:r>
        <w:rPr>
          <w:lang w:val="en-US"/>
        </w:rPr>
        <w:t xml:space="preserve"> </w:t>
      </w:r>
      <w:r w:rsidRPr="00E56F6B">
        <w:rPr>
          <w:lang w:val="en-US"/>
        </w:rPr>
        <w:t>Viewer</w:t>
      </w:r>
      <w:r w:rsidRPr="00C8221C">
        <w:rPr>
          <w:lang w:val="en-US"/>
        </w:rPr>
        <w:t xml:space="preserve"> software</w:t>
      </w:r>
      <w:r>
        <w:rPr>
          <w:lang w:val="en-US"/>
        </w:rPr>
        <w:t xml:space="preserve"> (figure S2). </w:t>
      </w:r>
    </w:p>
    <w:p w14:paraId="373B5880" w14:textId="599D7B36" w:rsidR="00392487" w:rsidRDefault="00392487" w:rsidP="00E44BA0">
      <w:pPr>
        <w:spacing w:line="480" w:lineRule="auto"/>
        <w:rPr>
          <w:lang w:val="en-US"/>
        </w:rPr>
      </w:pPr>
      <w:r>
        <w:rPr>
          <w:lang w:val="en-US"/>
        </w:rPr>
        <w:t>RNAseq:</w:t>
      </w:r>
    </w:p>
    <w:p w14:paraId="7ABEFADE" w14:textId="1BD0E5A0" w:rsidR="00392487" w:rsidRDefault="00392487" w:rsidP="00E44BA0">
      <w:pPr>
        <w:spacing w:line="480" w:lineRule="auto"/>
        <w:ind w:firstLine="708"/>
        <w:jc w:val="both"/>
        <w:rPr>
          <w:lang w:val="en-US"/>
        </w:rPr>
      </w:pPr>
      <w:r>
        <w:rPr>
          <w:lang w:val="en-US"/>
        </w:rPr>
        <w:t xml:space="preserve">The study was performed on the proband and five controls </w:t>
      </w:r>
      <w:r w:rsidRPr="00D62F71">
        <w:rPr>
          <w:rFonts w:cstheme="minorHAnsi"/>
          <w:lang w:val="en-US"/>
        </w:rPr>
        <w:t>to research splicing abnormalities and to realize a quantification analysis</w:t>
      </w:r>
      <w:r>
        <w:rPr>
          <w:rFonts w:cstheme="minorHAnsi"/>
          <w:lang w:val="en-US"/>
        </w:rPr>
        <w:t xml:space="preserve"> of </w:t>
      </w:r>
      <w:r w:rsidRPr="00730DFB">
        <w:rPr>
          <w:rFonts w:cstheme="minorHAnsi"/>
          <w:i/>
          <w:lang w:val="en-US"/>
        </w:rPr>
        <w:t>ADNP</w:t>
      </w:r>
      <w:r>
        <w:rPr>
          <w:rFonts w:cstheme="minorHAnsi"/>
          <w:lang w:val="en-US"/>
        </w:rPr>
        <w:t xml:space="preserve"> blood expression</w:t>
      </w:r>
      <w:r w:rsidRPr="00D62F71">
        <w:rPr>
          <w:rFonts w:cstheme="minorHAnsi"/>
          <w:lang w:val="en-US"/>
        </w:rPr>
        <w:t>.</w:t>
      </w:r>
      <w:r>
        <w:rPr>
          <w:lang w:val="en-US"/>
        </w:rPr>
        <w:t xml:space="preserve"> After extraction RNA integrity (RIN) is evaluated with the TapeStation 4200 device. If RNA achieved RIN score &gt; 6, it was considered utilizable. RNA is diluted to obtain 25</w:t>
      </w:r>
      <w:r>
        <w:rPr>
          <w:rFonts w:cstheme="minorHAnsi"/>
          <w:lang w:val="en-US"/>
        </w:rPr>
        <w:t>µ</w:t>
      </w:r>
      <w:r>
        <w:rPr>
          <w:lang w:val="en-US"/>
        </w:rPr>
        <w:t>l à 12</w:t>
      </w:r>
      <w:r>
        <w:rPr>
          <w:rFonts w:cstheme="minorHAnsi"/>
          <w:lang w:val="en-US"/>
        </w:rPr>
        <w:t xml:space="preserve">µM. Then the </w:t>
      </w:r>
      <w:r w:rsidRPr="005D5A88">
        <w:rPr>
          <w:lang w:val="en-US"/>
        </w:rPr>
        <w:t>Illumina Stranded mRNA Prep</w:t>
      </w:r>
      <w:r>
        <w:rPr>
          <w:lang w:val="en-US"/>
        </w:rPr>
        <w:t xml:space="preserve"> protocol</w:t>
      </w:r>
      <w:r w:rsidR="00D3334C">
        <w:rPr>
          <w:lang w:val="en-US"/>
        </w:rPr>
        <w:t xml:space="preserve"> (Illumina, San Diego, CA)</w:t>
      </w:r>
      <w:r>
        <w:rPr>
          <w:lang w:val="en-US"/>
        </w:rPr>
        <w:t xml:space="preserve">, which </w:t>
      </w:r>
      <w:r w:rsidRPr="005D5A88">
        <w:rPr>
          <w:lang w:val="en-US"/>
        </w:rPr>
        <w:t>converts</w:t>
      </w:r>
      <w:r>
        <w:rPr>
          <w:lang w:val="en-US"/>
        </w:rPr>
        <w:t xml:space="preserve"> mRNA </w:t>
      </w:r>
      <w:r w:rsidRPr="005D5A88">
        <w:rPr>
          <w:lang w:val="en-US"/>
        </w:rPr>
        <w:t>in</w:t>
      </w:r>
      <w:r>
        <w:rPr>
          <w:lang w:val="en-US"/>
        </w:rPr>
        <w:t xml:space="preserve"> </w:t>
      </w:r>
      <w:r w:rsidRPr="005D5A88">
        <w:rPr>
          <w:lang w:val="en-US"/>
        </w:rPr>
        <w:t>dual-indexed</w:t>
      </w:r>
      <w:r>
        <w:rPr>
          <w:lang w:val="en-US"/>
        </w:rPr>
        <w:t xml:space="preserve"> </w:t>
      </w:r>
      <w:r w:rsidRPr="005D5A88">
        <w:rPr>
          <w:lang w:val="en-US"/>
        </w:rPr>
        <w:t>libraries</w:t>
      </w:r>
      <w:r>
        <w:rPr>
          <w:lang w:val="en-US"/>
        </w:rPr>
        <w:t xml:space="preserve">, is followed. Briefly, </w:t>
      </w:r>
      <w:r w:rsidRPr="000B3B4A">
        <w:rPr>
          <w:lang w:val="en-US"/>
        </w:rPr>
        <w:t>Oligo(dT)</w:t>
      </w:r>
      <w:r>
        <w:rPr>
          <w:lang w:val="en-US"/>
        </w:rPr>
        <w:t xml:space="preserve"> </w:t>
      </w:r>
      <w:r w:rsidRPr="000B3B4A">
        <w:rPr>
          <w:lang w:val="en-US"/>
        </w:rPr>
        <w:t>magnetic</w:t>
      </w:r>
      <w:r>
        <w:rPr>
          <w:lang w:val="en-US"/>
        </w:rPr>
        <w:t xml:space="preserve"> </w:t>
      </w:r>
      <w:r w:rsidRPr="000B3B4A">
        <w:rPr>
          <w:lang w:val="en-US"/>
        </w:rPr>
        <w:t>beads</w:t>
      </w:r>
      <w:r>
        <w:rPr>
          <w:lang w:val="en-US"/>
        </w:rPr>
        <w:t xml:space="preserve"> </w:t>
      </w:r>
      <w:r w:rsidRPr="000B3B4A">
        <w:rPr>
          <w:lang w:val="en-US"/>
        </w:rPr>
        <w:t>purify</w:t>
      </w:r>
      <w:r>
        <w:rPr>
          <w:lang w:val="en-US"/>
        </w:rPr>
        <w:t xml:space="preserve"> </w:t>
      </w:r>
      <w:r w:rsidRPr="000B3B4A">
        <w:rPr>
          <w:lang w:val="en-US"/>
        </w:rPr>
        <w:t>and</w:t>
      </w:r>
      <w:r>
        <w:rPr>
          <w:lang w:val="en-US"/>
        </w:rPr>
        <w:t xml:space="preserve"> </w:t>
      </w:r>
      <w:r w:rsidRPr="000B3B4A">
        <w:rPr>
          <w:lang w:val="en-US"/>
        </w:rPr>
        <w:t>capture</w:t>
      </w:r>
      <w:r>
        <w:rPr>
          <w:lang w:val="en-US"/>
        </w:rPr>
        <w:t xml:space="preserve"> </w:t>
      </w:r>
      <w:r w:rsidRPr="000B3B4A">
        <w:rPr>
          <w:lang w:val="en-US"/>
        </w:rPr>
        <w:t>RNA </w:t>
      </w:r>
      <w:r>
        <w:rPr>
          <w:lang w:val="en-US"/>
        </w:rPr>
        <w:t xml:space="preserve">with </w:t>
      </w:r>
      <w:r w:rsidRPr="000B3B4A">
        <w:rPr>
          <w:lang w:val="en-US"/>
        </w:rPr>
        <w:t>poly</w:t>
      </w:r>
      <w:r>
        <w:rPr>
          <w:lang w:val="en-US"/>
        </w:rPr>
        <w:t>-</w:t>
      </w:r>
      <w:r w:rsidRPr="000B3B4A">
        <w:rPr>
          <w:lang w:val="en-US"/>
        </w:rPr>
        <w:t>A</w:t>
      </w:r>
      <w:r>
        <w:rPr>
          <w:lang w:val="en-US"/>
        </w:rPr>
        <w:t xml:space="preserve"> </w:t>
      </w:r>
      <w:r w:rsidRPr="000B3B4A">
        <w:rPr>
          <w:lang w:val="en-US"/>
        </w:rPr>
        <w:t>tails.</w:t>
      </w:r>
      <w:r>
        <w:rPr>
          <w:lang w:val="en-US"/>
        </w:rPr>
        <w:t xml:space="preserve"> </w:t>
      </w:r>
      <w:r w:rsidRPr="000B3B4A">
        <w:rPr>
          <w:lang w:val="en-US"/>
        </w:rPr>
        <w:t>The</w:t>
      </w:r>
      <w:r>
        <w:rPr>
          <w:lang w:val="en-US"/>
        </w:rPr>
        <w:t xml:space="preserve">n the </w:t>
      </w:r>
      <w:r w:rsidRPr="000B3B4A">
        <w:rPr>
          <w:lang w:val="en-US"/>
        </w:rPr>
        <w:t>purified mRNA is</w:t>
      </w:r>
      <w:r>
        <w:rPr>
          <w:lang w:val="en-US"/>
        </w:rPr>
        <w:t xml:space="preserve"> </w:t>
      </w:r>
      <w:r w:rsidRPr="000B3B4A">
        <w:rPr>
          <w:lang w:val="en-US"/>
        </w:rPr>
        <w:t>fragmented</w:t>
      </w:r>
      <w:r>
        <w:rPr>
          <w:lang w:val="en-US"/>
        </w:rPr>
        <w:t xml:space="preserve"> </w:t>
      </w:r>
      <w:r w:rsidRPr="000B3B4A">
        <w:rPr>
          <w:lang w:val="en-US"/>
        </w:rPr>
        <w:t>and</w:t>
      </w:r>
      <w:r>
        <w:rPr>
          <w:lang w:val="en-US"/>
        </w:rPr>
        <w:t xml:space="preserve"> a </w:t>
      </w:r>
      <w:r w:rsidRPr="000B3B4A">
        <w:rPr>
          <w:lang w:val="en-US"/>
        </w:rPr>
        <w:t>first</w:t>
      </w:r>
      <w:r>
        <w:rPr>
          <w:lang w:val="en-US"/>
        </w:rPr>
        <w:t xml:space="preserve"> </w:t>
      </w:r>
      <w:r w:rsidRPr="000B3B4A">
        <w:rPr>
          <w:lang w:val="en-US"/>
        </w:rPr>
        <w:t>strand</w:t>
      </w:r>
      <w:r>
        <w:rPr>
          <w:lang w:val="en-US"/>
        </w:rPr>
        <w:t xml:space="preserve"> comple</w:t>
      </w:r>
      <w:r w:rsidRPr="000B3B4A">
        <w:rPr>
          <w:lang w:val="en-US"/>
        </w:rPr>
        <w:t>mentary</w:t>
      </w:r>
      <w:r>
        <w:rPr>
          <w:lang w:val="en-US"/>
        </w:rPr>
        <w:t xml:space="preserve"> </w:t>
      </w:r>
      <w:r w:rsidRPr="000B3B4A">
        <w:rPr>
          <w:lang w:val="en-US"/>
        </w:rPr>
        <w:t>DNA (cDNA)</w:t>
      </w:r>
      <w:r>
        <w:rPr>
          <w:lang w:val="en-US"/>
        </w:rPr>
        <w:t xml:space="preserve"> is synthetized. During second-strand </w:t>
      </w:r>
      <w:r w:rsidRPr="000B3B4A">
        <w:rPr>
          <w:lang w:val="en-US"/>
        </w:rPr>
        <w:t>cDNA synthesis</w:t>
      </w:r>
      <w:r>
        <w:rPr>
          <w:lang w:val="en-US"/>
        </w:rPr>
        <w:t xml:space="preserve"> </w:t>
      </w:r>
      <w:r w:rsidRPr="000B3B4A">
        <w:rPr>
          <w:lang w:val="en-US"/>
        </w:rPr>
        <w:t>dUTP</w:t>
      </w:r>
      <w:r>
        <w:rPr>
          <w:lang w:val="en-US"/>
        </w:rPr>
        <w:t xml:space="preserve"> </w:t>
      </w:r>
      <w:r w:rsidRPr="000B3B4A">
        <w:rPr>
          <w:lang w:val="en-US"/>
        </w:rPr>
        <w:t>replaces</w:t>
      </w:r>
      <w:r>
        <w:rPr>
          <w:lang w:val="en-US"/>
        </w:rPr>
        <w:t xml:space="preserve"> d</w:t>
      </w:r>
      <w:r w:rsidRPr="000B3B4A">
        <w:rPr>
          <w:lang w:val="en-US"/>
        </w:rPr>
        <w:t>TTP</w:t>
      </w:r>
      <w:r>
        <w:rPr>
          <w:lang w:val="en-US"/>
        </w:rPr>
        <w:t xml:space="preserve">. </w:t>
      </w:r>
      <w:r w:rsidRPr="000B3B4A">
        <w:rPr>
          <w:lang w:val="en-US"/>
        </w:rPr>
        <w:t>The</w:t>
      </w:r>
      <w:r>
        <w:rPr>
          <w:lang w:val="en-US"/>
        </w:rPr>
        <w:t xml:space="preserve"> </w:t>
      </w:r>
      <w:r w:rsidRPr="000B3B4A">
        <w:rPr>
          <w:lang w:val="en-US"/>
        </w:rPr>
        <w:t>final</w:t>
      </w:r>
      <w:r>
        <w:rPr>
          <w:lang w:val="en-US"/>
        </w:rPr>
        <w:t xml:space="preserve"> step </w:t>
      </w:r>
      <w:r w:rsidRPr="000B3B4A">
        <w:rPr>
          <w:lang w:val="en-US"/>
        </w:rPr>
        <w:t>ligate</w:t>
      </w:r>
      <w:r>
        <w:rPr>
          <w:lang w:val="en-US"/>
        </w:rPr>
        <w:t xml:space="preserve"> </w:t>
      </w:r>
      <w:r w:rsidRPr="000B3B4A">
        <w:rPr>
          <w:lang w:val="en-US"/>
        </w:rPr>
        <w:t>adapters</w:t>
      </w:r>
      <w:r>
        <w:rPr>
          <w:lang w:val="en-US"/>
        </w:rPr>
        <w:t xml:space="preserve"> </w:t>
      </w:r>
      <w:r w:rsidRPr="000B3B4A">
        <w:rPr>
          <w:lang w:val="en-US"/>
        </w:rPr>
        <w:t>to</w:t>
      </w:r>
      <w:r>
        <w:rPr>
          <w:lang w:val="en-US"/>
        </w:rPr>
        <w:t xml:space="preserve"> </w:t>
      </w:r>
      <w:r w:rsidRPr="000B3B4A">
        <w:rPr>
          <w:lang w:val="en-US"/>
        </w:rPr>
        <w:t>fragment</w:t>
      </w:r>
      <w:r>
        <w:rPr>
          <w:lang w:val="en-US"/>
        </w:rPr>
        <w:t xml:space="preserve"> </w:t>
      </w:r>
      <w:r w:rsidRPr="000B3B4A">
        <w:rPr>
          <w:lang w:val="en-US"/>
        </w:rPr>
        <w:t>ends.</w:t>
      </w:r>
      <w:r>
        <w:rPr>
          <w:lang w:val="en-US"/>
        </w:rPr>
        <w:t xml:space="preserve"> </w:t>
      </w:r>
      <w:r w:rsidRPr="000B3B4A">
        <w:rPr>
          <w:lang w:val="en-US"/>
        </w:rPr>
        <w:t>The</w:t>
      </w:r>
      <w:r>
        <w:rPr>
          <w:lang w:val="en-US"/>
        </w:rPr>
        <w:t xml:space="preserve"> </w:t>
      </w:r>
      <w:r w:rsidRPr="000B3B4A">
        <w:rPr>
          <w:lang w:val="en-US"/>
        </w:rPr>
        <w:t>resulting</w:t>
      </w:r>
      <w:r>
        <w:rPr>
          <w:lang w:val="en-US"/>
        </w:rPr>
        <w:t xml:space="preserve"> </w:t>
      </w:r>
      <w:r w:rsidRPr="000B3B4A">
        <w:rPr>
          <w:lang w:val="en-US"/>
        </w:rPr>
        <w:t>products</w:t>
      </w:r>
      <w:r>
        <w:rPr>
          <w:lang w:val="en-US"/>
        </w:rPr>
        <w:t xml:space="preserve"> </w:t>
      </w:r>
      <w:r w:rsidRPr="000B3B4A">
        <w:rPr>
          <w:lang w:val="en-US"/>
        </w:rPr>
        <w:t>are</w:t>
      </w:r>
      <w:r>
        <w:rPr>
          <w:lang w:val="en-US"/>
        </w:rPr>
        <w:t xml:space="preserve"> </w:t>
      </w:r>
      <w:r w:rsidRPr="000B3B4A">
        <w:rPr>
          <w:lang w:val="en-US"/>
        </w:rPr>
        <w:t>purified</w:t>
      </w:r>
      <w:r>
        <w:rPr>
          <w:lang w:val="en-US"/>
        </w:rPr>
        <w:t xml:space="preserve"> </w:t>
      </w:r>
      <w:r w:rsidRPr="000B3B4A">
        <w:rPr>
          <w:lang w:val="en-US"/>
        </w:rPr>
        <w:t>and</w:t>
      </w:r>
      <w:r>
        <w:rPr>
          <w:lang w:val="en-US"/>
        </w:rPr>
        <w:t xml:space="preserve"> </w:t>
      </w:r>
      <w:r w:rsidRPr="000B3B4A">
        <w:rPr>
          <w:lang w:val="en-US"/>
        </w:rPr>
        <w:t>selectively</w:t>
      </w:r>
      <w:r>
        <w:rPr>
          <w:lang w:val="en-US"/>
        </w:rPr>
        <w:t xml:space="preserve"> </w:t>
      </w:r>
      <w:r w:rsidRPr="000B3B4A">
        <w:rPr>
          <w:lang w:val="en-US"/>
        </w:rPr>
        <w:t>amplified</w:t>
      </w:r>
      <w:r>
        <w:rPr>
          <w:lang w:val="en-US"/>
        </w:rPr>
        <w:t xml:space="preserve"> </w:t>
      </w:r>
      <w:r w:rsidRPr="000B3B4A">
        <w:rPr>
          <w:lang w:val="en-US"/>
        </w:rPr>
        <w:t>for</w:t>
      </w:r>
      <w:r>
        <w:rPr>
          <w:lang w:val="en-US"/>
        </w:rPr>
        <w:t xml:space="preserve"> the </w:t>
      </w:r>
      <w:r w:rsidRPr="000B3B4A">
        <w:rPr>
          <w:lang w:val="en-US"/>
        </w:rPr>
        <w:t>sequencing</w:t>
      </w:r>
      <w:r>
        <w:rPr>
          <w:lang w:val="en-US"/>
        </w:rPr>
        <w:t xml:space="preserve"> realized with a nextseq 500 </w:t>
      </w:r>
      <w:r w:rsidRPr="000B3B4A">
        <w:rPr>
          <w:lang w:val="en-US"/>
        </w:rPr>
        <w:t xml:space="preserve">using </w:t>
      </w:r>
      <w:r>
        <w:rPr>
          <w:lang w:val="en-US"/>
        </w:rPr>
        <w:t>75</w:t>
      </w:r>
      <w:r w:rsidRPr="000B3B4A">
        <w:rPr>
          <w:lang w:val="en-US"/>
        </w:rPr>
        <w:t> bp paired-end reads.</w:t>
      </w:r>
    </w:p>
    <w:p w14:paraId="0BAB04B9" w14:textId="77777777" w:rsidR="00392487" w:rsidRPr="00F379EE" w:rsidRDefault="00392487" w:rsidP="00E44BA0">
      <w:pPr>
        <w:spacing w:line="480" w:lineRule="auto"/>
        <w:ind w:firstLine="708"/>
        <w:jc w:val="both"/>
        <w:rPr>
          <w:lang w:val="en-US"/>
        </w:rPr>
      </w:pPr>
      <w:r>
        <w:rPr>
          <w:lang w:val="en-US"/>
        </w:rPr>
        <w:t>R</w:t>
      </w:r>
      <w:r w:rsidRPr="001E0F16">
        <w:rPr>
          <w:lang w:val="en-US"/>
        </w:rPr>
        <w:t xml:space="preserve">aw data from the Illumina NextSeq 500 sequencer </w:t>
      </w:r>
      <w:r w:rsidR="00AE323D">
        <w:rPr>
          <w:lang w:val="en-US"/>
        </w:rPr>
        <w:t xml:space="preserve">(Illumina) </w:t>
      </w:r>
      <w:r w:rsidRPr="001E0F16">
        <w:rPr>
          <w:lang w:val="en-US"/>
        </w:rPr>
        <w:t>is converted to FASTQ an</w:t>
      </w:r>
      <w:r>
        <w:rPr>
          <w:lang w:val="en-US"/>
        </w:rPr>
        <w:t xml:space="preserve">d demultiplexed with bcl2fastq. </w:t>
      </w:r>
      <w:r w:rsidRPr="001E0F16">
        <w:rPr>
          <w:lang w:val="en-US"/>
        </w:rPr>
        <w:t>Reads from each sample are aligned to the human hg38 refere</w:t>
      </w:r>
      <w:r>
        <w:rPr>
          <w:lang w:val="en-US"/>
        </w:rPr>
        <w:t xml:space="preserve">nce genome using the STAR tool. </w:t>
      </w:r>
      <w:r w:rsidRPr="001E0F16">
        <w:rPr>
          <w:lang w:val="en-US"/>
        </w:rPr>
        <w:t>The quality metrics of the two previous software are supplemented by those of FastQC, Picard RnaSeqMetrics and RNA</w:t>
      </w:r>
      <w:r>
        <w:rPr>
          <w:lang w:val="en-US"/>
        </w:rPr>
        <w:t>-SeQC and brought together in an HTML file thanks to MultiQC.</w:t>
      </w:r>
      <w:r>
        <w:rPr>
          <w:lang w:val="en-US"/>
        </w:rPr>
        <w:br/>
      </w:r>
      <w:r w:rsidRPr="001E0F16">
        <w:rPr>
          <w:lang w:val="en-US"/>
        </w:rPr>
        <w:t>The analysis of aberrant transcripts is carried out on the one hand without a priori with the DROP pipeline (Detection of RNA Outlier Pipelin</w:t>
      </w:r>
      <w:r>
        <w:rPr>
          <w:lang w:val="en-US"/>
        </w:rPr>
        <w:t xml:space="preserve">e) and on the other hand </w:t>
      </w:r>
      <w:r w:rsidRPr="001E0F16">
        <w:rPr>
          <w:lang w:val="en-US"/>
        </w:rPr>
        <w:t>manually with Sashimi plots in IGV (Integrative Genome Browser) on the regions of interest previously identified after DNA sequencing.</w:t>
      </w:r>
      <w:r>
        <w:rPr>
          <w:lang w:val="en-US"/>
        </w:rPr>
        <w:t xml:space="preserve"> </w:t>
      </w:r>
      <w:r w:rsidRPr="0027611E">
        <w:rPr>
          <w:lang w:val="en-US"/>
        </w:rPr>
        <w:t xml:space="preserve">For quantification analysis, data </w:t>
      </w:r>
      <w:r>
        <w:rPr>
          <w:lang w:val="en-US"/>
        </w:rPr>
        <w:t xml:space="preserve">of the </w:t>
      </w:r>
      <w:r w:rsidRPr="00254EC9">
        <w:rPr>
          <w:lang w:val="en-US"/>
        </w:rPr>
        <w:t xml:space="preserve">five </w:t>
      </w:r>
      <w:r>
        <w:rPr>
          <w:lang w:val="en-US"/>
        </w:rPr>
        <w:t xml:space="preserve">controls sequenced with the proband and those of </w:t>
      </w:r>
      <w:r w:rsidRPr="0027611E">
        <w:rPr>
          <w:lang w:val="en-US"/>
        </w:rPr>
        <w:t xml:space="preserve">33 </w:t>
      </w:r>
      <w:r>
        <w:rPr>
          <w:lang w:val="en-US"/>
        </w:rPr>
        <w:t xml:space="preserve">others </w:t>
      </w:r>
      <w:r w:rsidRPr="0027611E">
        <w:rPr>
          <w:lang w:val="en-US"/>
        </w:rPr>
        <w:t xml:space="preserve">without </w:t>
      </w:r>
      <w:r w:rsidRPr="00254EC9">
        <w:rPr>
          <w:i/>
          <w:iCs/>
          <w:lang w:val="en-US"/>
        </w:rPr>
        <w:t>ADNP</w:t>
      </w:r>
      <w:r w:rsidRPr="0027611E">
        <w:rPr>
          <w:lang w:val="en-US"/>
        </w:rPr>
        <w:t xml:space="preserve"> mutation</w:t>
      </w:r>
      <w:r>
        <w:rPr>
          <w:lang w:val="en-US"/>
        </w:rPr>
        <w:t>,</w:t>
      </w:r>
      <w:r w:rsidRPr="0027611E">
        <w:rPr>
          <w:lang w:val="en-US"/>
        </w:rPr>
        <w:t xml:space="preserve"> previously analyzed with the same protocol</w:t>
      </w:r>
      <w:r>
        <w:rPr>
          <w:lang w:val="en-US"/>
        </w:rPr>
        <w:t xml:space="preserve">, were used. </w:t>
      </w:r>
      <w:r w:rsidRPr="00B71B83">
        <w:rPr>
          <w:lang w:val="en-US"/>
        </w:rPr>
        <w:t xml:space="preserve">After recuperation of the number of reads mapped on </w:t>
      </w:r>
      <w:r w:rsidRPr="00B71B83">
        <w:rPr>
          <w:i/>
          <w:lang w:val="en-US"/>
        </w:rPr>
        <w:t>ADNP</w:t>
      </w:r>
      <w:r w:rsidRPr="00B71B83">
        <w:rPr>
          <w:lang w:val="en-US"/>
        </w:rPr>
        <w:t xml:space="preserve"> we make a normalization with the total number of read mapped of each sample.</w:t>
      </w:r>
    </w:p>
    <w:p w14:paraId="318111CB" w14:textId="77777777" w:rsidR="009274E3" w:rsidRDefault="009274E3" w:rsidP="00E44BA0">
      <w:pPr>
        <w:spacing w:line="480" w:lineRule="auto"/>
        <w:jc w:val="both"/>
        <w:rPr>
          <w:sz w:val="24"/>
          <w:lang w:val="en-US"/>
        </w:rPr>
      </w:pPr>
    </w:p>
    <w:p w14:paraId="3AE0DA3D" w14:textId="69CE7C3D" w:rsidR="00392487" w:rsidRPr="00305A45" w:rsidRDefault="00392487" w:rsidP="009274E3">
      <w:pPr>
        <w:spacing w:line="240" w:lineRule="auto"/>
        <w:jc w:val="both"/>
        <w:rPr>
          <w:sz w:val="24"/>
          <w:lang w:val="en-US"/>
        </w:rPr>
      </w:pPr>
      <w:r w:rsidRPr="00305A45">
        <w:rPr>
          <w:sz w:val="24"/>
          <w:lang w:val="en-US"/>
        </w:rPr>
        <w:lastRenderedPageBreak/>
        <w:t xml:space="preserve">Supplemental figures: </w:t>
      </w:r>
    </w:p>
    <w:p w14:paraId="2753B1F0" w14:textId="3F946639" w:rsidR="00E44BA0" w:rsidRDefault="00392487" w:rsidP="009274E3">
      <w:pPr>
        <w:spacing w:line="240" w:lineRule="auto"/>
        <w:jc w:val="both"/>
        <w:rPr>
          <w:lang w:val="en-US"/>
        </w:rPr>
      </w:pPr>
      <w:r>
        <w:rPr>
          <w:lang w:val="en-US"/>
        </w:rPr>
        <w:t>Figure S1: Profile achieved after migration of PCR products with the TapeStation 4200 system</w:t>
      </w:r>
    </w:p>
    <w:p w14:paraId="182F96AF" w14:textId="77777777" w:rsidR="00392487" w:rsidRDefault="00392487" w:rsidP="00392487">
      <w:pPr>
        <w:jc w:val="both"/>
        <w:rPr>
          <w:lang w:val="en-US"/>
        </w:rPr>
      </w:pPr>
      <w:r w:rsidRPr="00506BEF">
        <w:rPr>
          <w:noProof/>
          <w:lang w:eastAsia="fr-FR"/>
        </w:rPr>
        <w:drawing>
          <wp:anchor distT="0" distB="0" distL="114300" distR="114300" simplePos="0" relativeHeight="251660288" behindDoc="1" locked="0" layoutInCell="1" allowOverlap="1" wp14:anchorId="1511AE81" wp14:editId="62605ABC">
            <wp:simplePos x="0" y="0"/>
            <wp:positionH relativeFrom="margin">
              <wp:posOffset>652780</wp:posOffset>
            </wp:positionH>
            <wp:positionV relativeFrom="paragraph">
              <wp:posOffset>29845</wp:posOffset>
            </wp:positionV>
            <wp:extent cx="3657600" cy="3600450"/>
            <wp:effectExtent l="19050" t="19050" r="19050" b="19050"/>
            <wp:wrapNone/>
            <wp:docPr id="4" name="Espace réservé du contenu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Espace réservé du contenu 3"/>
                    <pic:cNvPicPr>
                      <a:picLocks noGrp="1"/>
                    </pic:cNvPicPr>
                  </pic:nvPicPr>
                  <pic:blipFill>
                    <a:blip r:embed="rId4">
                      <a:extLst>
                        <a:ext uri="{28A0092B-C50C-407E-A947-70E740481C1C}">
                          <a14:useLocalDpi xmlns:a14="http://schemas.microsoft.com/office/drawing/2010/main" val="0"/>
                        </a:ext>
                      </a:extLst>
                    </a:blip>
                    <a:stretch>
                      <a:fillRect/>
                    </a:stretch>
                  </pic:blipFill>
                  <pic:spPr>
                    <a:xfrm>
                      <a:off x="0" y="0"/>
                      <a:ext cx="3657600" cy="36004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4B46594" w14:textId="77777777" w:rsidR="00392487" w:rsidRDefault="00392487" w:rsidP="00392487">
      <w:pPr>
        <w:jc w:val="both"/>
        <w:rPr>
          <w:lang w:val="en-US"/>
        </w:rPr>
      </w:pPr>
    </w:p>
    <w:p w14:paraId="47A9CCD6" w14:textId="77777777" w:rsidR="00392487" w:rsidRDefault="00392487" w:rsidP="00392487">
      <w:pPr>
        <w:jc w:val="both"/>
        <w:rPr>
          <w:lang w:val="en-US"/>
        </w:rPr>
      </w:pPr>
    </w:p>
    <w:p w14:paraId="58240123" w14:textId="77777777" w:rsidR="00392487" w:rsidRDefault="00392487" w:rsidP="00392487">
      <w:pPr>
        <w:jc w:val="both"/>
        <w:rPr>
          <w:lang w:val="en-US"/>
        </w:rPr>
      </w:pPr>
    </w:p>
    <w:p w14:paraId="784C7BEB" w14:textId="77777777" w:rsidR="00392487" w:rsidRDefault="00392487" w:rsidP="00392487">
      <w:pPr>
        <w:jc w:val="both"/>
        <w:rPr>
          <w:lang w:val="en-US"/>
        </w:rPr>
      </w:pPr>
    </w:p>
    <w:p w14:paraId="293AEF44" w14:textId="77777777" w:rsidR="00392487" w:rsidRDefault="00392487" w:rsidP="00392487">
      <w:pPr>
        <w:jc w:val="both"/>
        <w:rPr>
          <w:lang w:val="en-US"/>
        </w:rPr>
      </w:pPr>
    </w:p>
    <w:p w14:paraId="54F9D825" w14:textId="77777777" w:rsidR="00392487" w:rsidRDefault="00392487" w:rsidP="00392487">
      <w:pPr>
        <w:jc w:val="both"/>
        <w:rPr>
          <w:lang w:val="en-US"/>
        </w:rPr>
      </w:pPr>
    </w:p>
    <w:p w14:paraId="0FE5F87C" w14:textId="77777777" w:rsidR="00392487" w:rsidRDefault="00392487" w:rsidP="00392487">
      <w:pPr>
        <w:jc w:val="both"/>
        <w:rPr>
          <w:lang w:val="en-US"/>
        </w:rPr>
      </w:pPr>
    </w:p>
    <w:p w14:paraId="047A55E3" w14:textId="77777777" w:rsidR="00392487" w:rsidRDefault="00392487" w:rsidP="00392487">
      <w:pPr>
        <w:jc w:val="both"/>
        <w:rPr>
          <w:lang w:val="en-US"/>
        </w:rPr>
      </w:pPr>
    </w:p>
    <w:p w14:paraId="643D98B7" w14:textId="77777777" w:rsidR="00392487" w:rsidRDefault="00392487" w:rsidP="00392487">
      <w:pPr>
        <w:jc w:val="both"/>
        <w:rPr>
          <w:lang w:val="en-US"/>
        </w:rPr>
      </w:pPr>
    </w:p>
    <w:p w14:paraId="2A18879D" w14:textId="77777777" w:rsidR="00392487" w:rsidRDefault="00392487" w:rsidP="00392487">
      <w:pPr>
        <w:jc w:val="both"/>
        <w:rPr>
          <w:lang w:val="en-US"/>
        </w:rPr>
      </w:pPr>
      <w:r w:rsidRPr="00506BEF">
        <w:rPr>
          <w:noProof/>
          <w:lang w:eastAsia="fr-FR"/>
        </w:rPr>
        <mc:AlternateContent>
          <mc:Choice Requires="wpg">
            <w:drawing>
              <wp:anchor distT="0" distB="0" distL="114300" distR="114300" simplePos="0" relativeHeight="251659264" behindDoc="0" locked="0" layoutInCell="1" allowOverlap="1" wp14:anchorId="2585D044" wp14:editId="19937EBF">
                <wp:simplePos x="0" y="0"/>
                <wp:positionH relativeFrom="margin">
                  <wp:posOffset>1884045</wp:posOffset>
                </wp:positionH>
                <wp:positionV relativeFrom="paragraph">
                  <wp:posOffset>208915</wp:posOffset>
                </wp:positionV>
                <wp:extent cx="1934845" cy="215265"/>
                <wp:effectExtent l="0" t="0" r="0" b="0"/>
                <wp:wrapNone/>
                <wp:docPr id="6" name="Groupe 8"/>
                <wp:cNvGraphicFramePr/>
                <a:graphic xmlns:a="http://schemas.openxmlformats.org/drawingml/2006/main">
                  <a:graphicData uri="http://schemas.microsoft.com/office/word/2010/wordprocessingGroup">
                    <wpg:wgp>
                      <wpg:cNvGrpSpPr/>
                      <wpg:grpSpPr>
                        <a:xfrm>
                          <a:off x="0" y="0"/>
                          <a:ext cx="1934845" cy="215265"/>
                          <a:chOff x="1263930" y="255617"/>
                          <a:chExt cx="1935421" cy="215444"/>
                        </a:xfrm>
                      </wpg:grpSpPr>
                      <wps:wsp>
                        <wps:cNvPr id="7" name="ZoneTexte 4"/>
                        <wps:cNvSpPr txBox="1"/>
                        <wps:spPr>
                          <a:xfrm>
                            <a:off x="1263930" y="255617"/>
                            <a:ext cx="577516" cy="215444"/>
                          </a:xfrm>
                          <a:prstGeom prst="rect">
                            <a:avLst/>
                          </a:prstGeom>
                          <a:noFill/>
                        </wps:spPr>
                        <wps:txbx>
                          <w:txbxContent>
                            <w:p w14:paraId="40852556" w14:textId="77777777" w:rsidR="00392487" w:rsidRDefault="00392487" w:rsidP="00392487">
                              <w:pPr>
                                <w:pStyle w:val="NormalWeb"/>
                                <w:spacing w:before="0" w:beforeAutospacing="0" w:after="0" w:afterAutospacing="0"/>
                                <w:jc w:val="center"/>
                              </w:pPr>
                              <w:r>
                                <w:rPr>
                                  <w:rFonts w:asciiTheme="minorHAnsi" w:hAnsi="Calibri" w:cstheme="minorBidi"/>
                                  <w:color w:val="000000" w:themeColor="text1"/>
                                  <w:kern w:val="24"/>
                                  <w:sz w:val="16"/>
                                  <w:szCs w:val="16"/>
                                </w:rPr>
                                <w:t>Proband</w:t>
                              </w:r>
                            </w:p>
                          </w:txbxContent>
                        </wps:txbx>
                        <wps:bodyPr wrap="square" rtlCol="0">
                          <a:spAutoFit/>
                        </wps:bodyPr>
                      </wps:wsp>
                      <wps:wsp>
                        <wps:cNvPr id="8" name="ZoneTexte 5"/>
                        <wps:cNvSpPr txBox="1"/>
                        <wps:spPr>
                          <a:xfrm>
                            <a:off x="1761236" y="255617"/>
                            <a:ext cx="577516" cy="215444"/>
                          </a:xfrm>
                          <a:prstGeom prst="rect">
                            <a:avLst/>
                          </a:prstGeom>
                          <a:noFill/>
                        </wps:spPr>
                        <wps:txbx>
                          <w:txbxContent>
                            <w:p w14:paraId="56A2FE2B" w14:textId="77777777" w:rsidR="00392487" w:rsidRDefault="00392487" w:rsidP="00392487">
                              <w:pPr>
                                <w:pStyle w:val="NormalWeb"/>
                                <w:spacing w:before="0" w:beforeAutospacing="0" w:after="0" w:afterAutospacing="0"/>
                              </w:pPr>
                              <w:r>
                                <w:rPr>
                                  <w:rFonts w:asciiTheme="minorHAnsi" w:hAnsi="Calibri" w:cstheme="minorBidi"/>
                                  <w:color w:val="000000" w:themeColor="text1"/>
                                  <w:kern w:val="24"/>
                                  <w:sz w:val="16"/>
                                  <w:szCs w:val="16"/>
                                </w:rPr>
                                <w:t>Mother</w:t>
                              </w:r>
                            </w:p>
                          </w:txbxContent>
                        </wps:txbx>
                        <wps:bodyPr wrap="square" rtlCol="0">
                          <a:spAutoFit/>
                        </wps:bodyPr>
                      </wps:wsp>
                      <wps:wsp>
                        <wps:cNvPr id="9" name="ZoneTexte 6"/>
                        <wps:cNvSpPr txBox="1"/>
                        <wps:spPr>
                          <a:xfrm>
                            <a:off x="2195937" y="255617"/>
                            <a:ext cx="577516" cy="215444"/>
                          </a:xfrm>
                          <a:prstGeom prst="rect">
                            <a:avLst/>
                          </a:prstGeom>
                          <a:noFill/>
                        </wps:spPr>
                        <wps:txbx>
                          <w:txbxContent>
                            <w:p w14:paraId="2E2C31BC" w14:textId="77777777" w:rsidR="00392487" w:rsidRDefault="00392487" w:rsidP="00392487">
                              <w:pPr>
                                <w:pStyle w:val="NormalWeb"/>
                                <w:spacing w:before="0" w:beforeAutospacing="0" w:after="0" w:afterAutospacing="0"/>
                              </w:pPr>
                              <w:r>
                                <w:rPr>
                                  <w:rFonts w:asciiTheme="minorHAnsi" w:hAnsi="Calibri" w:cstheme="minorBidi"/>
                                  <w:color w:val="000000" w:themeColor="text1"/>
                                  <w:kern w:val="24"/>
                                  <w:sz w:val="16"/>
                                  <w:szCs w:val="16"/>
                                  <w:lang w:val="en-US"/>
                                </w:rPr>
                                <w:t>Father</w:t>
                              </w:r>
                            </w:p>
                          </w:txbxContent>
                        </wps:txbx>
                        <wps:bodyPr wrap="square" rtlCol="0">
                          <a:spAutoFit/>
                        </wps:bodyPr>
                      </wps:wsp>
                      <wps:wsp>
                        <wps:cNvPr id="10" name="ZoneTexte 7"/>
                        <wps:cNvSpPr txBox="1"/>
                        <wps:spPr>
                          <a:xfrm>
                            <a:off x="2621835" y="255617"/>
                            <a:ext cx="577516" cy="215444"/>
                          </a:xfrm>
                          <a:prstGeom prst="rect">
                            <a:avLst/>
                          </a:prstGeom>
                          <a:noFill/>
                        </wps:spPr>
                        <wps:txbx>
                          <w:txbxContent>
                            <w:p w14:paraId="7F1E9E7F" w14:textId="77777777" w:rsidR="00392487" w:rsidRDefault="00392487" w:rsidP="00392487">
                              <w:pPr>
                                <w:pStyle w:val="NormalWeb"/>
                                <w:spacing w:before="0" w:beforeAutospacing="0" w:after="0" w:afterAutospacing="0"/>
                              </w:pPr>
                              <w:r>
                                <w:rPr>
                                  <w:rFonts w:asciiTheme="minorHAnsi" w:hAnsi="Calibri" w:cstheme="minorBidi"/>
                                  <w:noProof/>
                                  <w:color w:val="000000" w:themeColor="text1"/>
                                  <w:kern w:val="24"/>
                                  <w:sz w:val="16"/>
                                  <w:szCs w:val="16"/>
                                  <w:lang w:val="en-US"/>
                                </w:rPr>
                                <w:t>Blank</w:t>
                              </w:r>
                            </w:p>
                          </w:txbxContent>
                        </wps:txbx>
                        <wps:bodyPr wrap="square" rtlCol="0">
                          <a:sp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85D044" id="Groupe 8" o:spid="_x0000_s1026" style="position:absolute;left:0;text-align:left;margin-left:148.35pt;margin-top:16.45pt;width:152.35pt;height:16.95pt;z-index:251659264;mso-position-horizontal-relative:margin" coordorigin="12639,2556" coordsize="19354,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CcTQIAAOEIAAAOAAAAZHJzL2Uyb0RvYy54bWzUVklz0zAUvjPDf9DoThx5S+KJ0wFKc2Fo&#10;Z1ou3BRZXmZsS0hK7Px7nuQ4gZQeGmBoL4q1PX3L01OWV31Tox1XuhJtislkihFvmciqtkjx14eb&#10;d3OMtKFtRmvR8hTvucZXq7dvlp1MuC9KUWdcIQjS6qSTKS6NkYnnaVbyhuqJkLyFyVyohhroqsLL&#10;FO0gelN7/nQae51QmVSCca1h9HqYxCsXP885M7d5rrlBdYoBm3Gtcu3Gtt5qSZNCUVlW7ACDXoCi&#10;oVULhx5DXVND0VZVj0I1FVNCi9xMmGg8kecV444DsCHTMzZrJbbScSmSrpBHmUDaM50uDsu+7NZK&#10;3ss7BUp0sgAtXM9y6XPV2F9AiXon2f4oGe8NYjBIFkE4DyOMGMz5JPLjaNCUlSC83Ub8OFgEoL1d&#10;EEUxmY0LPp1iRKFPjjHCMLRLvBGB9wuuTkKm6JMY+s/EuC+p5E5jnYAYdwpVWYpnGLW0gXz9Bln7&#10;AGQ5cpjs4bDK6oVM/0FYfharHdcw+BvZnuI/KhjNZhGJnyRPE6m0WXPRIPuRYgU57VKN7j5rM+g0&#10;LrHHt+Kmqms7fgJlv0y/6Q9INyLbA4EO0j7F+vuWKo6RMvVH4W6JjaLl+62BSO4Au33Yc4gK+g+c&#10;/7kRUD7OjXAJZiE914hZTPwAlD5LxP9hhEuyY+a8Ij8Wj/2IxwvwTD98sogWAdy0l+KHPxJ5RX4Q&#10;KKznF8QV2AsuiB/7ZB5ALX8phgR/1xD3jsA76p6Ww5tvH+qf+67Anf6ZrH4AAAD//wMAUEsDBBQA&#10;BgAIAAAAIQCRgXDr4QAAAAkBAAAPAAAAZHJzL2Rvd25yZXYueG1sTI/BSsNAEIbvgu+wjODNbpJq&#10;bGM2pRT1VAq2gnibZqdJaHY3ZLdJ+vaOJ73NMB//fH++mkwrBup946yCeBaBIFs63dhKwefh7WEB&#10;wge0GltnScGVPKyK25scM+1G+0HDPlSCQ6zPUEEdQpdJ6cuaDPqZ68jy7eR6g4HXvpK6x5HDTSuT&#10;KEqlwcbyhxo72tRUnvcXo+B9xHE9j1+H7fm0uX4fnnZf25iUur+b1i8gAk3hD4ZffVaHgp2O7mK1&#10;F62CZJk+M6pgnixBMJBG8SOIIw/pAmSRy/8Nih8AAAD//wMAUEsBAi0AFAAGAAgAAAAhALaDOJL+&#10;AAAA4QEAABMAAAAAAAAAAAAAAAAAAAAAAFtDb250ZW50X1R5cGVzXS54bWxQSwECLQAUAAYACAAA&#10;ACEAOP0h/9YAAACUAQAACwAAAAAAAAAAAAAAAAAvAQAAX3JlbHMvLnJlbHNQSwECLQAUAAYACAAA&#10;ACEARiyAnE0CAADhCAAADgAAAAAAAAAAAAAAAAAuAgAAZHJzL2Uyb0RvYy54bWxQSwECLQAUAAYA&#10;CAAAACEAkYFw6+EAAAAJAQAADwAAAAAAAAAAAAAAAACnBAAAZHJzL2Rvd25yZXYueG1sUEsFBgAA&#10;AAAEAAQA8wAAALUFAAAAAA==&#10;">
                <v:shapetype id="_x0000_t202" coordsize="21600,21600" o:spt="202" path="m,l,21600r21600,l21600,xe">
                  <v:stroke joinstyle="miter"/>
                  <v:path gradientshapeok="t" o:connecttype="rect"/>
                </v:shapetype>
                <v:shape id="ZoneTexte 4" o:spid="_x0000_s1027" type="#_x0000_t202" style="position:absolute;left:12639;top:2556;width:577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40852556" w14:textId="77777777" w:rsidR="00392487" w:rsidRDefault="00392487" w:rsidP="00392487">
                        <w:pPr>
                          <w:pStyle w:val="NormalWeb"/>
                          <w:spacing w:before="0" w:beforeAutospacing="0" w:after="0" w:afterAutospacing="0"/>
                          <w:jc w:val="center"/>
                        </w:pPr>
                        <w:proofErr w:type="spellStart"/>
                        <w:r>
                          <w:rPr>
                            <w:rFonts w:asciiTheme="minorHAnsi" w:hAnsi="Calibri" w:cstheme="minorBidi"/>
                            <w:color w:val="000000" w:themeColor="text1"/>
                            <w:kern w:val="24"/>
                            <w:sz w:val="16"/>
                            <w:szCs w:val="16"/>
                          </w:rPr>
                          <w:t>Proband</w:t>
                        </w:r>
                        <w:proofErr w:type="spellEnd"/>
                      </w:p>
                    </w:txbxContent>
                  </v:textbox>
                </v:shape>
                <v:shape id="ZoneTexte 5" o:spid="_x0000_s1028" type="#_x0000_t202" style="position:absolute;left:17612;top:2556;width:577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56A2FE2B" w14:textId="77777777" w:rsidR="00392487" w:rsidRDefault="00392487" w:rsidP="00392487">
                        <w:pPr>
                          <w:pStyle w:val="NormalWeb"/>
                          <w:spacing w:before="0" w:beforeAutospacing="0" w:after="0" w:afterAutospacing="0"/>
                        </w:pPr>
                        <w:r>
                          <w:rPr>
                            <w:rFonts w:asciiTheme="minorHAnsi" w:hAnsi="Calibri" w:cstheme="minorBidi"/>
                            <w:color w:val="000000" w:themeColor="text1"/>
                            <w:kern w:val="24"/>
                            <w:sz w:val="16"/>
                            <w:szCs w:val="16"/>
                          </w:rPr>
                          <w:t>Mother</w:t>
                        </w:r>
                      </w:p>
                    </w:txbxContent>
                  </v:textbox>
                </v:shape>
                <v:shape id="ZoneTexte 6" o:spid="_x0000_s1029" type="#_x0000_t202" style="position:absolute;left:21959;top:2556;width:577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2E2C31BC" w14:textId="77777777" w:rsidR="00392487" w:rsidRDefault="00392487" w:rsidP="00392487">
                        <w:pPr>
                          <w:pStyle w:val="NormalWeb"/>
                          <w:spacing w:before="0" w:beforeAutospacing="0" w:after="0" w:afterAutospacing="0"/>
                        </w:pPr>
                        <w:r>
                          <w:rPr>
                            <w:rFonts w:asciiTheme="minorHAnsi" w:hAnsi="Calibri" w:cstheme="minorBidi"/>
                            <w:color w:val="000000" w:themeColor="text1"/>
                            <w:kern w:val="24"/>
                            <w:sz w:val="16"/>
                            <w:szCs w:val="16"/>
                            <w:lang w:val="en-US"/>
                          </w:rPr>
                          <w:t>Father</w:t>
                        </w:r>
                      </w:p>
                    </w:txbxContent>
                  </v:textbox>
                </v:shape>
                <v:shape id="ZoneTexte 7" o:spid="_x0000_s1030" type="#_x0000_t202" style="position:absolute;left:26218;top:2556;width:577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7F1E9E7F" w14:textId="77777777" w:rsidR="00392487" w:rsidRDefault="00392487" w:rsidP="00392487">
                        <w:pPr>
                          <w:pStyle w:val="NormalWeb"/>
                          <w:spacing w:before="0" w:beforeAutospacing="0" w:after="0" w:afterAutospacing="0"/>
                        </w:pPr>
                        <w:r>
                          <w:rPr>
                            <w:rFonts w:asciiTheme="minorHAnsi" w:hAnsi="Calibri" w:cstheme="minorBidi"/>
                            <w:noProof/>
                            <w:color w:val="000000" w:themeColor="text1"/>
                            <w:kern w:val="24"/>
                            <w:sz w:val="16"/>
                            <w:szCs w:val="16"/>
                            <w:lang w:val="en-US"/>
                          </w:rPr>
                          <w:t>Blank</w:t>
                        </w:r>
                      </w:p>
                    </w:txbxContent>
                  </v:textbox>
                </v:shape>
                <w10:wrap anchorx="margin"/>
              </v:group>
            </w:pict>
          </mc:Fallback>
        </mc:AlternateContent>
      </w:r>
    </w:p>
    <w:p w14:paraId="0A17516E" w14:textId="77777777" w:rsidR="00392487" w:rsidRDefault="00392487" w:rsidP="00392487">
      <w:pPr>
        <w:jc w:val="both"/>
        <w:rPr>
          <w:lang w:val="en-US"/>
        </w:rPr>
      </w:pPr>
    </w:p>
    <w:p w14:paraId="3B9B8FB3" w14:textId="77777777" w:rsidR="00392487" w:rsidRDefault="00392487" w:rsidP="00392487">
      <w:pPr>
        <w:jc w:val="both"/>
        <w:rPr>
          <w:lang w:val="en-US"/>
        </w:rPr>
      </w:pPr>
    </w:p>
    <w:p w14:paraId="3788B4ED" w14:textId="50DE0347" w:rsidR="00392487" w:rsidRPr="00E714A0" w:rsidRDefault="00392487" w:rsidP="00E44BA0">
      <w:pPr>
        <w:jc w:val="center"/>
        <w:rPr>
          <w:sz w:val="16"/>
          <w:lang w:val="en-US"/>
        </w:rPr>
      </w:pPr>
      <w:r w:rsidRPr="00571705">
        <w:rPr>
          <w:sz w:val="16"/>
          <w:lang w:val="en-US"/>
        </w:rPr>
        <w:t xml:space="preserve">Legend: Lane A1 corresponds to the ladder, B1 to the proband products, C1 mother, D1 father and E1 negative control. Expected presence of the chimeric and WT product on the proband and only the WT product on the parents were obtained, thus confirming the </w:t>
      </w:r>
      <w:r w:rsidRPr="00571705">
        <w:rPr>
          <w:i/>
          <w:sz w:val="16"/>
          <w:lang w:val="en-US"/>
        </w:rPr>
        <w:t>de novo</w:t>
      </w:r>
      <w:r w:rsidRPr="00571705">
        <w:rPr>
          <w:sz w:val="16"/>
          <w:lang w:val="en-US"/>
        </w:rPr>
        <w:t xml:space="preserve"> inheritance</w:t>
      </w:r>
    </w:p>
    <w:p w14:paraId="1291BDAB" w14:textId="77777777" w:rsidR="00392487" w:rsidRDefault="00392487" w:rsidP="00392487">
      <w:pPr>
        <w:jc w:val="both"/>
        <w:rPr>
          <w:lang w:val="en-US"/>
        </w:rPr>
      </w:pPr>
      <w:r>
        <w:rPr>
          <w:lang w:val="en-US"/>
        </w:rPr>
        <w:t>Figure S2: Sequences achieved after Sanger sequencing for the patient</w:t>
      </w:r>
    </w:p>
    <w:p w14:paraId="7C260D3A" w14:textId="77777777" w:rsidR="00392487" w:rsidRDefault="00392487" w:rsidP="00392487">
      <w:pPr>
        <w:jc w:val="center"/>
        <w:rPr>
          <w:lang w:val="en-US"/>
        </w:rPr>
      </w:pPr>
      <w:r w:rsidRPr="005C3D20">
        <w:rPr>
          <w:noProof/>
          <w:lang w:eastAsia="fr-FR"/>
        </w:rPr>
        <w:drawing>
          <wp:inline distT="0" distB="0" distL="0" distR="0" wp14:anchorId="4A722826" wp14:editId="187B0D94">
            <wp:extent cx="5760720" cy="2761097"/>
            <wp:effectExtent l="19050" t="19050" r="11430" b="203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761097"/>
                    </a:xfrm>
                    <a:prstGeom prst="rect">
                      <a:avLst/>
                    </a:prstGeom>
                    <a:ln>
                      <a:solidFill>
                        <a:schemeClr val="tx1"/>
                      </a:solidFill>
                    </a:ln>
                  </pic:spPr>
                </pic:pic>
              </a:graphicData>
            </a:graphic>
          </wp:inline>
        </w:drawing>
      </w:r>
    </w:p>
    <w:p w14:paraId="13A26F88" w14:textId="4BFF4C72" w:rsidR="00E44BA0" w:rsidRPr="009274E3" w:rsidRDefault="00392487" w:rsidP="009274E3">
      <w:pPr>
        <w:jc w:val="center"/>
        <w:rPr>
          <w:sz w:val="16"/>
          <w:lang w:val="en-US"/>
        </w:rPr>
      </w:pPr>
      <w:r w:rsidRPr="00571705">
        <w:rPr>
          <w:sz w:val="16"/>
          <w:lang w:val="en-US"/>
        </w:rPr>
        <w:t>Legend: Sequence achieved with R1 primer (specific of the WT allele) upside and with R2 primer specific of the inverted allele (downside). Upside both chromatograms is mentioned the expected sequence. Part inside the rearrangement are highlighted in blue and yellow respectively for the WT and the inverted alleles. The first nucleotide after the expected breakpoint is underlined. We obtained the expected rearranged sequence for the patient and WT sequence for both patient and her parents (parents not shown). We also noticed near the breakpoint a small deletion of five nucleotides marked in red, which after verification was also noticeable on the soft-clip of the WGS reads (data not shown).</w:t>
      </w:r>
    </w:p>
    <w:p w14:paraId="6F5BA9BA" w14:textId="1231980A" w:rsidR="00392487" w:rsidRDefault="00392487" w:rsidP="00392487">
      <w:pPr>
        <w:jc w:val="both"/>
        <w:rPr>
          <w:lang w:val="en-US"/>
        </w:rPr>
      </w:pPr>
      <w:r>
        <w:rPr>
          <w:lang w:val="en-US"/>
        </w:rPr>
        <w:lastRenderedPageBreak/>
        <w:t xml:space="preserve">Figure S3: Regulation elements located in the </w:t>
      </w:r>
      <w:r w:rsidRPr="001455C2">
        <w:rPr>
          <w:i/>
          <w:lang w:val="en-US"/>
        </w:rPr>
        <w:t>ADNP</w:t>
      </w:r>
      <w:r>
        <w:rPr>
          <w:lang w:val="en-US"/>
        </w:rPr>
        <w:t xml:space="preserve"> gene</w:t>
      </w:r>
    </w:p>
    <w:p w14:paraId="2A8B3F9B" w14:textId="77777777" w:rsidR="00392487" w:rsidRDefault="00392487" w:rsidP="00392487">
      <w:pPr>
        <w:jc w:val="center"/>
        <w:rPr>
          <w:lang w:val="en-US"/>
        </w:rPr>
      </w:pPr>
      <w:r>
        <w:rPr>
          <w:noProof/>
          <w:lang w:eastAsia="fr-FR"/>
        </w:rPr>
        <w:drawing>
          <wp:inline distT="0" distB="0" distL="0" distR="0" wp14:anchorId="43C49D17" wp14:editId="68CB4947">
            <wp:extent cx="5760720" cy="1532890"/>
            <wp:effectExtent l="19050" t="19050" r="11430" b="1016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532890"/>
                    </a:xfrm>
                    <a:prstGeom prst="rect">
                      <a:avLst/>
                    </a:prstGeom>
                    <a:ln>
                      <a:solidFill>
                        <a:schemeClr val="tx1"/>
                      </a:solidFill>
                    </a:ln>
                  </pic:spPr>
                </pic:pic>
              </a:graphicData>
            </a:graphic>
          </wp:inline>
        </w:drawing>
      </w:r>
    </w:p>
    <w:p w14:paraId="3B13DAAD" w14:textId="77777777" w:rsidR="00392487" w:rsidRPr="00571705" w:rsidRDefault="00392487" w:rsidP="00392487">
      <w:pPr>
        <w:jc w:val="center"/>
        <w:rPr>
          <w:sz w:val="16"/>
          <w:lang w:val="en-US"/>
        </w:rPr>
      </w:pPr>
      <w:r w:rsidRPr="00571705">
        <w:rPr>
          <w:sz w:val="16"/>
          <w:lang w:val="en-US"/>
        </w:rPr>
        <w:t xml:space="preserve">Legend: </w:t>
      </w:r>
      <w:r w:rsidRPr="00571705">
        <w:rPr>
          <w:rFonts w:cstheme="minorHAnsi"/>
          <w:sz w:val="16"/>
          <w:lang w:val="en-US"/>
        </w:rPr>
        <w:t>UCSC tracks encode regulation and Candidate Cis-Regulatory Elements (cCREs) are displayed. Reversed region highlighted in blue. Most regulatory element are located outside the reverse region.</w:t>
      </w:r>
    </w:p>
    <w:p w14:paraId="03B8EFA0" w14:textId="77777777" w:rsidR="00392487" w:rsidRDefault="00392487" w:rsidP="00392487">
      <w:pPr>
        <w:jc w:val="both"/>
        <w:rPr>
          <w:lang w:val="en-US"/>
        </w:rPr>
      </w:pPr>
      <w:r>
        <w:rPr>
          <w:lang w:val="en-US"/>
        </w:rPr>
        <w:t>Figure S4: Region of homozygosity located in chromosome 20 of our patient</w:t>
      </w:r>
    </w:p>
    <w:p w14:paraId="68CD7941" w14:textId="77777777" w:rsidR="00392487" w:rsidRPr="007077C9" w:rsidRDefault="00392487" w:rsidP="00392487">
      <w:pPr>
        <w:jc w:val="center"/>
        <w:rPr>
          <w:sz w:val="16"/>
          <w:lang w:val="en-US"/>
        </w:rPr>
      </w:pPr>
      <w:r>
        <w:rPr>
          <w:noProof/>
          <w:lang w:eastAsia="fr-FR"/>
        </w:rPr>
        <w:drawing>
          <wp:inline distT="0" distB="0" distL="0" distR="0" wp14:anchorId="59C72566" wp14:editId="47F29684">
            <wp:extent cx="5760720" cy="1555115"/>
            <wp:effectExtent l="19050" t="19050" r="11430" b="2603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555115"/>
                    </a:xfrm>
                    <a:prstGeom prst="rect">
                      <a:avLst/>
                    </a:prstGeom>
                    <a:ln>
                      <a:solidFill>
                        <a:schemeClr val="tx1"/>
                      </a:solidFill>
                    </a:ln>
                  </pic:spPr>
                </pic:pic>
              </a:graphicData>
            </a:graphic>
          </wp:inline>
        </w:drawing>
      </w:r>
      <w:r>
        <w:rPr>
          <w:lang w:val="en-US"/>
        </w:rPr>
        <w:br/>
      </w:r>
      <w:r w:rsidRPr="00571705">
        <w:rPr>
          <w:sz w:val="16"/>
          <w:lang w:val="en-US"/>
        </w:rPr>
        <w:t xml:space="preserve">Legend: </w:t>
      </w:r>
      <w:r w:rsidRPr="00571705">
        <w:rPr>
          <w:i/>
          <w:sz w:val="16"/>
          <w:lang w:val="en-US"/>
        </w:rPr>
        <w:t>ADNP</w:t>
      </w:r>
      <w:r w:rsidRPr="00571705">
        <w:rPr>
          <w:sz w:val="16"/>
          <w:lang w:val="en-US"/>
        </w:rPr>
        <w:t xml:space="preserve"> locus is pointed with the black arrow. As ADNP is in a region of homozygosity bi-allelic expression could not be confirmed.</w:t>
      </w:r>
    </w:p>
    <w:p w14:paraId="2DB1B24B" w14:textId="77777777" w:rsidR="00BF6A49" w:rsidRPr="00392487" w:rsidRDefault="00BF6A49">
      <w:pPr>
        <w:rPr>
          <w:lang w:val="en-US"/>
        </w:rPr>
      </w:pPr>
    </w:p>
    <w:sectPr w:rsidR="00BF6A49" w:rsidRPr="00392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487"/>
    <w:rsid w:val="00392487"/>
    <w:rsid w:val="006437CF"/>
    <w:rsid w:val="008520A9"/>
    <w:rsid w:val="009274E3"/>
    <w:rsid w:val="009540DA"/>
    <w:rsid w:val="00970716"/>
    <w:rsid w:val="00981F01"/>
    <w:rsid w:val="00AE323D"/>
    <w:rsid w:val="00BF6A49"/>
    <w:rsid w:val="00C73EDD"/>
    <w:rsid w:val="00D3334C"/>
    <w:rsid w:val="00E44BA0"/>
    <w:rsid w:val="00FB52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D7AA5"/>
  <w15:chartTrackingRefBased/>
  <w15:docId w15:val="{BD0B75B7-3C45-4F41-8D85-FEF256FA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48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92487"/>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830</Words>
  <Characters>4570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 Mathieu</dc:creator>
  <cp:keywords/>
  <dc:description/>
  <cp:lastModifiedBy>GEORGET Mathieu</cp:lastModifiedBy>
  <cp:revision>2</cp:revision>
  <dcterms:created xsi:type="dcterms:W3CDTF">2022-11-14T09:51:00Z</dcterms:created>
  <dcterms:modified xsi:type="dcterms:W3CDTF">2022-11-14T09:51:00Z</dcterms:modified>
</cp:coreProperties>
</file>